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40"/>
        <w:spacing w:after="0"/>
        <w:rPr>
          <w:sz w:val="20"/>
          <w:szCs w:val="20"/>
          <w:color w:val="auto"/>
        </w:rPr>
      </w:pPr>
      <w:r>
        <w:rPr>
          <w:rFonts w:ascii="Arial" w:cs="Arial" w:eastAsia="Arial" w:hAnsi="Arial"/>
          <w:sz w:val="20"/>
          <w:szCs w:val="20"/>
          <w:b w:val="1"/>
          <w:bCs w:val="1"/>
          <w:color w:val="auto"/>
        </w:rPr>
        <w:t xml:space="preserve">WASHINGTON, </w:t>
      </w:r>
      <w:r>
        <w:rPr>
          <w:rFonts w:ascii="Arial" w:cs="Arial" w:eastAsia="Arial" w:hAnsi="Arial"/>
          <w:sz w:val="17"/>
          <w:szCs w:val="17"/>
          <w:b w:val="1"/>
          <w:bCs w:val="1"/>
          <w:color w:val="auto"/>
        </w:rPr>
        <w:t>D.C.</w:t>
      </w:r>
      <w:r>
        <w:rPr>
          <w:rFonts w:ascii="Arial" w:cs="Arial" w:eastAsia="Arial" w:hAnsi="Arial"/>
          <w:sz w:val="20"/>
          <w:szCs w:val="20"/>
          <w:b w:val="1"/>
          <w:bCs w:val="1"/>
          <w:color w:val="auto"/>
        </w:rPr>
        <w:t xml:space="preserve">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jc w:val="center"/>
        <w:spacing w:after="0" w:line="203" w:lineRule="auto"/>
        <w:rPr>
          <w:sz w:val="20"/>
          <w:szCs w:val="20"/>
          <w:color w:val="auto"/>
        </w:rPr>
      </w:pPr>
      <w:r>
        <w:rPr>
          <w:rFonts w:ascii="Arial" w:cs="Arial" w:eastAsia="Arial" w:hAnsi="Arial"/>
          <w:sz w:val="18"/>
          <w:szCs w:val="18"/>
          <w:color w:val="auto"/>
        </w:rPr>
        <w:t>Pursuant to Section 13 or 15(d) of the</w:t>
      </w: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w:t>
      </w:r>
      <w:r>
        <w:rPr>
          <w:rFonts w:ascii="Arial" w:cs="Arial" w:eastAsia="Arial" w:hAnsi="Arial"/>
          <w:sz w:val="21"/>
          <w:szCs w:val="21"/>
          <w:b w:val="1"/>
          <w:bCs w:val="1"/>
          <w:color w:val="auto"/>
        </w:rPr>
        <w:t>:</w:t>
      </w:r>
      <w:r>
        <w:rPr>
          <w:rFonts w:ascii="Arial" w:cs="Arial" w:eastAsia="Arial" w:hAnsi="Arial"/>
          <w:sz w:val="18"/>
          <w:szCs w:val="18"/>
          <w:b w:val="1"/>
          <w:bCs w:val="1"/>
          <w:color w:val="auto"/>
        </w:rPr>
        <w:t xml:space="preserve"> June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Standard BioTools Inc.</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280" w:type="dxa"/>
        <w:tblCellMar>
          <w:top w:w="0" w:type="dxa"/>
          <w:left w:w="0" w:type="dxa"/>
          <w:bottom w:w="0" w:type="dxa"/>
          <w:right w:w="0" w:type="dxa"/>
        </w:tblCellMar>
      </w:tblPr>
      <w:tr>
        <w:trPr>
          <w:trHeight w:val="229"/>
        </w:trPr>
        <w:tc>
          <w:tcPr>
            <w:tcW w:w="1980" w:type="dxa"/>
            <w:vAlign w:val="bottom"/>
          </w:tcPr>
          <w:p>
            <w:pPr>
              <w:jc w:val="center"/>
              <w:ind w:right="342"/>
              <w:spacing w:after="0"/>
              <w:rPr>
                <w:sz w:val="20"/>
                <w:szCs w:val="20"/>
                <w:color w:val="auto"/>
              </w:rPr>
            </w:pPr>
            <w:r>
              <w:rPr>
                <w:rFonts w:ascii="Arial" w:cs="Arial" w:eastAsia="Arial" w:hAnsi="Arial"/>
                <w:sz w:val="18"/>
                <w:szCs w:val="18"/>
                <w:b w:val="1"/>
                <w:bCs w:val="1"/>
                <w:color w:val="auto"/>
                <w:w w:val="91"/>
              </w:rPr>
              <w:t>Delaware</w:t>
            </w:r>
          </w:p>
        </w:tc>
        <w:tc>
          <w:tcPr>
            <w:tcW w:w="4800" w:type="dxa"/>
            <w:vAlign w:val="bottom"/>
          </w:tcPr>
          <w:p>
            <w:pPr>
              <w:jc w:val="center"/>
              <w:ind w:right="100"/>
              <w:spacing w:after="0"/>
              <w:rPr>
                <w:sz w:val="20"/>
                <w:szCs w:val="20"/>
                <w:color w:val="auto"/>
              </w:rPr>
            </w:pPr>
            <w:r>
              <w:rPr>
                <w:rFonts w:ascii="Arial" w:cs="Arial" w:eastAsia="Arial" w:hAnsi="Arial"/>
                <w:sz w:val="18"/>
                <w:szCs w:val="18"/>
                <w:b w:val="1"/>
                <w:bCs w:val="1"/>
                <w:color w:val="auto"/>
                <w:w w:val="90"/>
              </w:rPr>
              <w:t>001-34180</w:t>
            </w:r>
          </w:p>
        </w:tc>
        <w:tc>
          <w:tcPr>
            <w:tcW w:w="1640" w:type="dxa"/>
            <w:vAlign w:val="bottom"/>
          </w:tcPr>
          <w:p>
            <w:pPr>
              <w:jc w:val="center"/>
              <w:ind w:left="502"/>
              <w:spacing w:after="0"/>
              <w:rPr>
                <w:sz w:val="20"/>
                <w:szCs w:val="20"/>
                <w:color w:val="auto"/>
              </w:rPr>
            </w:pPr>
            <w:r>
              <w:rPr>
                <w:rFonts w:ascii="Arial" w:cs="Arial" w:eastAsia="Arial" w:hAnsi="Arial"/>
                <w:sz w:val="18"/>
                <w:szCs w:val="18"/>
                <w:b w:val="1"/>
                <w:bCs w:val="1"/>
                <w:color w:val="auto"/>
                <w:w w:val="89"/>
              </w:rPr>
              <w:t>77-0513190</w:t>
            </w:r>
          </w:p>
        </w:tc>
      </w:tr>
      <w:tr>
        <w:trPr>
          <w:trHeight w:val="148"/>
        </w:trPr>
        <w:tc>
          <w:tcPr>
            <w:tcW w:w="1980" w:type="dxa"/>
            <w:vAlign w:val="bottom"/>
          </w:tcPr>
          <w:p>
            <w:pPr>
              <w:jc w:val="center"/>
              <w:ind w:right="342"/>
              <w:spacing w:after="0" w:line="149" w:lineRule="exact"/>
              <w:rPr>
                <w:sz w:val="20"/>
                <w:szCs w:val="20"/>
                <w:color w:val="auto"/>
              </w:rPr>
            </w:pPr>
            <w:r>
              <w:rPr>
                <w:rFonts w:ascii="Arial" w:cs="Arial" w:eastAsia="Arial" w:hAnsi="Arial"/>
                <w:sz w:val="14"/>
                <w:szCs w:val="14"/>
                <w:color w:val="auto"/>
                <w:w w:val="93"/>
              </w:rPr>
              <w:t>(State or Other Jurisdiction</w:t>
            </w:r>
          </w:p>
        </w:tc>
        <w:tc>
          <w:tcPr>
            <w:tcW w:w="4800" w:type="dxa"/>
            <w:vAlign w:val="bottom"/>
          </w:tcPr>
          <w:p>
            <w:pPr>
              <w:jc w:val="center"/>
              <w:ind w:right="80"/>
              <w:spacing w:after="0" w:line="149" w:lineRule="exact"/>
              <w:rPr>
                <w:sz w:val="20"/>
                <w:szCs w:val="20"/>
                <w:color w:val="auto"/>
              </w:rPr>
            </w:pPr>
            <w:r>
              <w:rPr>
                <w:rFonts w:ascii="Arial" w:cs="Arial" w:eastAsia="Arial" w:hAnsi="Arial"/>
                <w:sz w:val="14"/>
                <w:szCs w:val="14"/>
                <w:color w:val="auto"/>
                <w:w w:val="93"/>
              </w:rPr>
              <w:t>(Commission</w:t>
            </w:r>
          </w:p>
        </w:tc>
        <w:tc>
          <w:tcPr>
            <w:tcW w:w="1640" w:type="dxa"/>
            <w:vAlign w:val="bottom"/>
          </w:tcPr>
          <w:p>
            <w:pPr>
              <w:jc w:val="center"/>
              <w:ind w:left="502"/>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1980" w:type="dxa"/>
            <w:vAlign w:val="bottom"/>
          </w:tcPr>
          <w:p>
            <w:pPr>
              <w:jc w:val="center"/>
              <w:ind w:right="362"/>
              <w:spacing w:after="0"/>
              <w:rPr>
                <w:sz w:val="20"/>
                <w:szCs w:val="20"/>
                <w:color w:val="auto"/>
              </w:rPr>
            </w:pPr>
            <w:r>
              <w:rPr>
                <w:rFonts w:ascii="Arial" w:cs="Arial" w:eastAsia="Arial" w:hAnsi="Arial"/>
                <w:sz w:val="14"/>
                <w:szCs w:val="14"/>
                <w:color w:val="auto"/>
                <w:w w:val="96"/>
              </w:rPr>
              <w:t>of Incorporation)</w:t>
            </w:r>
          </w:p>
        </w:tc>
        <w:tc>
          <w:tcPr>
            <w:tcW w:w="4800" w:type="dxa"/>
            <w:vAlign w:val="bottom"/>
          </w:tcPr>
          <w:p>
            <w:pPr>
              <w:jc w:val="center"/>
              <w:ind w:right="100"/>
              <w:spacing w:after="0"/>
              <w:rPr>
                <w:sz w:val="20"/>
                <w:szCs w:val="20"/>
                <w:color w:val="auto"/>
              </w:rPr>
            </w:pPr>
            <w:r>
              <w:rPr>
                <w:rFonts w:ascii="Arial" w:cs="Arial" w:eastAsia="Arial" w:hAnsi="Arial"/>
                <w:sz w:val="14"/>
                <w:szCs w:val="14"/>
                <w:color w:val="auto"/>
                <w:w w:val="96"/>
              </w:rPr>
              <w:t>File Number)</w:t>
            </w:r>
          </w:p>
        </w:tc>
        <w:tc>
          <w:tcPr>
            <w:tcW w:w="1640" w:type="dxa"/>
            <w:vAlign w:val="bottom"/>
          </w:tcPr>
          <w:p>
            <w:pPr>
              <w:jc w:val="center"/>
              <w:ind w:left="502"/>
              <w:spacing w:after="0"/>
              <w:rPr>
                <w:sz w:val="20"/>
                <w:szCs w:val="20"/>
                <w:color w:val="auto"/>
              </w:rPr>
            </w:pPr>
            <w:r>
              <w:rPr>
                <w:rFonts w:ascii="Arial" w:cs="Arial" w:eastAsia="Arial" w:hAnsi="Arial"/>
                <w:sz w:val="14"/>
                <w:szCs w:val="14"/>
                <w:color w:val="auto"/>
                <w:w w:val="97"/>
              </w:rPr>
              <w:t>Identification No.)</w:t>
            </w:r>
          </w:p>
        </w:tc>
      </w:tr>
      <w:tr>
        <w:trPr>
          <w:trHeight w:val="520"/>
        </w:trPr>
        <w:tc>
          <w:tcPr>
            <w:tcW w:w="198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89"/>
              </w:rPr>
              <w:t>2 Tower Place, Suite 2000</w:t>
            </w:r>
          </w:p>
        </w:tc>
        <w:tc>
          <w:tcPr>
            <w:tcW w:w="1640" w:type="dxa"/>
            <w:vAlign w:val="bottom"/>
          </w:tcPr>
          <w:p>
            <w:pPr>
              <w:spacing w:after="0"/>
              <w:rPr>
                <w:sz w:val="24"/>
                <w:szCs w:val="24"/>
                <w:color w:val="auto"/>
              </w:rPr>
            </w:pPr>
          </w:p>
        </w:tc>
      </w:tr>
      <w:tr>
        <w:trPr>
          <w:trHeight w:val="180"/>
        </w:trPr>
        <w:tc>
          <w:tcPr>
            <w:tcW w:w="1980" w:type="dxa"/>
            <w:vAlign w:val="bottom"/>
          </w:tcPr>
          <w:p>
            <w:pPr>
              <w:spacing w:after="0"/>
              <w:rPr>
                <w:sz w:val="15"/>
                <w:szCs w:val="15"/>
                <w:color w:val="auto"/>
              </w:rPr>
            </w:pPr>
          </w:p>
        </w:tc>
        <w:tc>
          <w:tcPr>
            <w:tcW w:w="48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0"/>
              </w:rPr>
              <w:t>South San Francisco, California 94080</w:t>
            </w:r>
          </w:p>
        </w:tc>
        <w:tc>
          <w:tcPr>
            <w:tcW w:w="1640" w:type="dxa"/>
            <w:vAlign w:val="bottom"/>
          </w:tcPr>
          <w:p>
            <w:pPr>
              <w:spacing w:after="0"/>
              <w:rPr>
                <w:sz w:val="15"/>
                <w:szCs w:val="15"/>
                <w:color w:val="auto"/>
              </w:rPr>
            </w:pPr>
          </w:p>
        </w:tc>
      </w:tr>
      <w:tr>
        <w:trPr>
          <w:trHeight w:val="182"/>
        </w:trPr>
        <w:tc>
          <w:tcPr>
            <w:tcW w:w="1980" w:type="dxa"/>
            <w:vAlign w:val="bottom"/>
          </w:tcPr>
          <w:p>
            <w:pPr>
              <w:spacing w:after="0"/>
              <w:rPr>
                <w:sz w:val="15"/>
                <w:szCs w:val="15"/>
                <w:color w:val="auto"/>
              </w:rPr>
            </w:pPr>
          </w:p>
        </w:tc>
        <w:tc>
          <w:tcPr>
            <w:tcW w:w="480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 (Zip Code)</w:t>
            </w:r>
          </w:p>
        </w:tc>
        <w:tc>
          <w:tcPr>
            <w:tcW w:w="1640" w:type="dxa"/>
            <w:vAlign w:val="bottom"/>
          </w:tcPr>
          <w:p>
            <w:pPr>
              <w:spacing w:after="0"/>
              <w:rPr>
                <w:sz w:val="15"/>
                <w:szCs w:val="15"/>
                <w:color w:val="auto"/>
              </w:rPr>
            </w:pPr>
          </w:p>
        </w:tc>
      </w:tr>
      <w:tr>
        <w:trPr>
          <w:trHeight w:val="385"/>
        </w:trPr>
        <w:tc>
          <w:tcPr>
            <w:tcW w:w="198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90"/>
              </w:rPr>
              <w:t>(650) 266-6000</w:t>
            </w:r>
          </w:p>
        </w:tc>
        <w:tc>
          <w:tcPr>
            <w:tcW w:w="1640" w:type="dxa"/>
            <w:vAlign w:val="bottom"/>
          </w:tcPr>
          <w:p>
            <w:pPr>
              <w:spacing w:after="0"/>
              <w:rPr>
                <w:sz w:val="24"/>
                <w:szCs w:val="24"/>
                <w:color w:val="auto"/>
              </w:rPr>
            </w:pPr>
          </w:p>
        </w:tc>
      </w:tr>
      <w:tr>
        <w:trPr>
          <w:trHeight w:val="182"/>
        </w:trPr>
        <w:tc>
          <w:tcPr>
            <w:tcW w:w="1980" w:type="dxa"/>
            <w:vAlign w:val="bottom"/>
          </w:tcPr>
          <w:p>
            <w:pPr>
              <w:spacing w:after="0"/>
              <w:rPr>
                <w:sz w:val="15"/>
                <w:szCs w:val="15"/>
                <w:color w:val="auto"/>
              </w:rPr>
            </w:pPr>
          </w:p>
        </w:tc>
        <w:tc>
          <w:tcPr>
            <w:tcW w:w="4800" w:type="dxa"/>
            <w:vAlign w:val="bottom"/>
          </w:tcPr>
          <w:p>
            <w:pPr>
              <w:jc w:val="center"/>
              <w:spacing w:after="0"/>
              <w:rPr>
                <w:sz w:val="20"/>
                <w:szCs w:val="20"/>
                <w:color w:val="auto"/>
              </w:rPr>
            </w:pPr>
            <w:r>
              <w:rPr>
                <w:rFonts w:ascii="Arial" w:cs="Arial" w:eastAsia="Arial" w:hAnsi="Arial"/>
                <w:sz w:val="14"/>
                <w:szCs w:val="14"/>
                <w:color w:val="auto"/>
                <w:w w:val="93"/>
              </w:rPr>
              <w:t>(Registrant’s Telephone Number, Including Area Code)</w:t>
            </w:r>
          </w:p>
        </w:tc>
        <w:tc>
          <w:tcPr>
            <w:tcW w:w="1640" w:type="dxa"/>
            <w:vAlign w:val="bottom"/>
          </w:tcPr>
          <w:p>
            <w:pPr>
              <w:spacing w:after="0"/>
              <w:rPr>
                <w:sz w:val="15"/>
                <w:szCs w:val="15"/>
                <w:color w:val="auto"/>
              </w:rPr>
            </w:pPr>
          </w:p>
        </w:tc>
      </w:tr>
      <w:tr>
        <w:trPr>
          <w:trHeight w:val="454"/>
        </w:trPr>
        <w:tc>
          <w:tcPr>
            <w:tcW w:w="1980" w:type="dxa"/>
            <w:vAlign w:val="bottom"/>
          </w:tcPr>
          <w:p>
            <w:pPr>
              <w:spacing w:after="0"/>
              <w:rPr>
                <w:sz w:val="24"/>
                <w:szCs w:val="24"/>
                <w:color w:val="auto"/>
              </w:rPr>
            </w:pPr>
          </w:p>
        </w:tc>
        <w:tc>
          <w:tcPr>
            <w:tcW w:w="4800" w:type="dxa"/>
            <w:vAlign w:val="bottom"/>
          </w:tcPr>
          <w:p>
            <w:pPr>
              <w:jc w:val="center"/>
              <w:ind w:right="40"/>
              <w:spacing w:after="0"/>
              <w:rPr>
                <w:sz w:val="20"/>
                <w:szCs w:val="20"/>
                <w:color w:val="auto"/>
              </w:rPr>
            </w:pPr>
            <w:r>
              <w:rPr>
                <w:rFonts w:ascii="Arial" w:cs="Arial" w:eastAsia="Arial" w:hAnsi="Arial"/>
                <w:sz w:val="14"/>
                <w:szCs w:val="14"/>
                <w:color w:val="auto"/>
                <w:w w:val="93"/>
              </w:rPr>
              <w:t>(Former Name or Former Address, if Changed Since Last Report)</w:t>
            </w:r>
          </w:p>
        </w:tc>
        <w:tc>
          <w:tcPr>
            <w:tcW w:w="1640" w:type="dxa"/>
            <w:vAlign w:val="bottom"/>
          </w:tcPr>
          <w:p>
            <w:pPr>
              <w:spacing w:after="0"/>
              <w:rPr>
                <w:sz w:val="24"/>
                <w:szCs w:val="24"/>
                <w:color w:val="auto"/>
              </w:rPr>
            </w:pPr>
          </w:p>
        </w:tc>
      </w:tr>
    </w:tbl>
    <w:p>
      <w:pPr>
        <w:spacing w:after="0" w:line="21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i w:val="1"/>
          <w:iCs w:val="1"/>
          <w:color w:val="auto"/>
        </w:rPr>
        <w:t>see</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14"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5" w:lineRule="exact"/>
        <w:rPr>
          <w:rFonts w:ascii="MS PGothic" w:cs="MS PGothic" w:eastAsia="MS PGothic" w:hAnsi="MS PGothic"/>
          <w:sz w:val="18"/>
          <w:szCs w:val="18"/>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79"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50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26"/>
        </w:trPr>
        <w:tc>
          <w:tcPr>
            <w:tcW w:w="5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LAB</w:t>
            </w:r>
          </w:p>
        </w:tc>
        <w:tc>
          <w:tcPr>
            <w:tcW w:w="4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10" w:lineRule="exact"/>
        <w:rPr>
          <w:sz w:val="24"/>
          <w:szCs w:val="24"/>
          <w:color w:val="auto"/>
        </w:rPr>
      </w:pPr>
    </w:p>
    <w:p>
      <w:pPr>
        <w:ind w:right="16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280"/>
        <w:spacing w:after="0" w:line="23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68" w:lineRule="exact"/>
        <w:rPr>
          <w:sz w:val="20"/>
          <w:szCs w:val="20"/>
          <w:color w:val="auto"/>
        </w:rPr>
      </w:pPr>
    </w:p>
    <w:p>
      <w:pPr>
        <w:jc w:val="both"/>
        <w:ind w:right="220" w:firstLine="423"/>
        <w:spacing w:after="0" w:line="224" w:lineRule="auto"/>
        <w:rPr>
          <w:sz w:val="20"/>
          <w:szCs w:val="20"/>
          <w:color w:val="auto"/>
        </w:rPr>
      </w:pPr>
      <w:r>
        <w:rPr>
          <w:rFonts w:ascii="Arial" w:cs="Arial" w:eastAsia="Arial" w:hAnsi="Arial"/>
          <w:sz w:val="18"/>
          <w:szCs w:val="18"/>
          <w:color w:val="auto"/>
        </w:rPr>
        <w:t>Standard BioTools Inc. (the “Company”) held its 2023 Annual Meeting of Stockholders (the “Annual Meeting”) on June 14, 2023. The Company’s stockholders voted to approve its Amended and Restated 2011 Equity Incentive Plan (the “Amended Plan”) increasing the number of shares of common stock reserved for issuance thereunder by 4,700,000 shares.</w:t>
      </w:r>
    </w:p>
    <w:p>
      <w:pPr>
        <w:spacing w:after="0" w:line="176" w:lineRule="exact"/>
        <w:rPr>
          <w:sz w:val="20"/>
          <w:szCs w:val="20"/>
          <w:color w:val="auto"/>
        </w:rPr>
      </w:pPr>
    </w:p>
    <w:p>
      <w:pPr>
        <w:jc w:val="both"/>
        <w:ind w:right="100" w:firstLine="423"/>
        <w:spacing w:after="0" w:line="237" w:lineRule="auto"/>
        <w:rPr>
          <w:sz w:val="20"/>
          <w:szCs w:val="20"/>
          <w:color w:val="auto"/>
        </w:rPr>
      </w:pPr>
      <w:r>
        <w:rPr>
          <w:rFonts w:ascii="Arial" w:cs="Arial" w:eastAsia="Arial" w:hAnsi="Arial"/>
          <w:sz w:val="17"/>
          <w:szCs w:val="17"/>
          <w:color w:val="auto"/>
        </w:rPr>
        <w:t>The Amended Plan is described in further detail in the Company’s definitive proxy statement on Schedule 14A for the Annual Meeting filed with the Securities and Exchange Commission on April 28, 2023 (the “Proxy Statement”), which description is incorporated herein by reference. The complete text of the Amended Plan is set forth in Exhibit 10.1 to this Current Report on Form 8-K and is incorporated herein by reference.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16" w:lineRule="exact"/>
        <w:rPr>
          <w:sz w:val="20"/>
          <w:szCs w:val="20"/>
          <w:color w:val="auto"/>
        </w:rPr>
      </w:pPr>
    </w:p>
    <w:p>
      <w:pPr>
        <w:jc w:val="both"/>
        <w:ind w:right="100" w:firstLine="324"/>
        <w:spacing w:after="0" w:line="248" w:lineRule="auto"/>
        <w:rPr>
          <w:sz w:val="20"/>
          <w:szCs w:val="20"/>
          <w:color w:val="auto"/>
        </w:rPr>
      </w:pPr>
      <w:r>
        <w:rPr>
          <w:rFonts w:ascii="Arial" w:cs="Arial" w:eastAsia="Arial" w:hAnsi="Arial"/>
          <w:sz w:val="16"/>
          <w:szCs w:val="16"/>
          <w:color w:val="auto"/>
        </w:rPr>
        <w:t>On April 18, 2023 (the “Record Date”), the Company had 78,666,309 shares of common stock, 127,780 shares of Series B-1 Convertible Preferred Stock (“Series B-1 Preferred Stock”) and 127,779 shares of Series B-2 Convertible Preferred Stock (“Series B-2 Preferred Stock”) issued and outstanding.</w:t>
      </w:r>
    </w:p>
    <w:p>
      <w:pPr>
        <w:ind w:right="120"/>
        <w:spacing w:after="0" w:line="234" w:lineRule="auto"/>
        <w:rPr>
          <w:sz w:val="20"/>
          <w:szCs w:val="20"/>
          <w:color w:val="auto"/>
        </w:rPr>
      </w:pPr>
      <w:r>
        <w:rPr>
          <w:rFonts w:ascii="Arial" w:cs="Arial" w:eastAsia="Arial" w:hAnsi="Arial"/>
          <w:sz w:val="16"/>
          <w:szCs w:val="16"/>
          <w:color w:val="auto"/>
        </w:rPr>
        <w:t>The holders of the Company’s capital stock (including votes related to the Company’s Series B-1 Preferred Stock and Series B-2 Preferred Stock) were entitled to an aggregate of 153,830,705 votes as of the close of business on the Record Date. A total of 139,536,659 votes, or approximately 90.71% of the total voting power of the shares of the Company’s capital stock issued and outstanding and entitled to vote at the Annual Meeting (including votes related</w:t>
      </w:r>
    </w:p>
    <w:p>
      <w:pPr>
        <w:spacing w:after="0" w:line="2" w:lineRule="exact"/>
        <w:rPr>
          <w:sz w:val="20"/>
          <w:szCs w:val="20"/>
          <w:color w:val="auto"/>
        </w:rPr>
      </w:pPr>
    </w:p>
    <w:p>
      <w:pPr>
        <w:ind w:right="40"/>
        <w:spacing w:after="0" w:line="218" w:lineRule="auto"/>
        <w:rPr>
          <w:sz w:val="20"/>
          <w:szCs w:val="20"/>
          <w:color w:val="auto"/>
        </w:rPr>
      </w:pPr>
      <w:r>
        <w:rPr>
          <w:rFonts w:ascii="Arial" w:cs="Arial" w:eastAsia="Arial" w:hAnsi="Arial"/>
          <w:sz w:val="18"/>
          <w:szCs w:val="18"/>
          <w:color w:val="auto"/>
        </w:rPr>
        <w:t>to the Company’s Series B-1 Preferred Stock and Series B-2 Preferred Stock) were represented in person or by proxy at the Annual Meeting. The following proposals are described in detail in the Proxy Statement. The final voting results for each of the matters submitted to a stockholder vote at the Annual Meeting are set forth below:</w:t>
      </w:r>
    </w:p>
    <w:p>
      <w:pPr>
        <w:spacing w:after="0" w:line="199" w:lineRule="exact"/>
        <w:rPr>
          <w:sz w:val="20"/>
          <w:szCs w:val="20"/>
          <w:color w:val="auto"/>
        </w:rPr>
      </w:pPr>
    </w:p>
    <w:p>
      <w:pPr>
        <w:ind w:right="260" w:firstLine="332"/>
        <w:spacing w:after="0" w:line="251" w:lineRule="auto"/>
        <w:tabs>
          <w:tab w:leader="none" w:pos="504"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Election of Class I Directors. </w:t>
      </w:r>
      <w:r>
        <w:rPr>
          <w:rFonts w:ascii="Arial" w:cs="Arial" w:eastAsia="Arial" w:hAnsi="Arial"/>
          <w:sz w:val="17"/>
          <w:szCs w:val="17"/>
          <w:color w:val="auto"/>
        </w:rPr>
        <w:t>The following nominees were elected to serve as Class I directors, to hold office until the Company’s 2026 annual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of stockholders or until their respective successors have been duly elected and qualified or their earlier resignation or removal: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Nominee</w:t>
            </w:r>
          </w:p>
        </w:tc>
        <w:tc>
          <w:tcPr>
            <w:tcW w:w="420" w:type="dxa"/>
            <w:vAlign w:val="bottom"/>
          </w:tcPr>
          <w:p>
            <w:pPr>
              <w:spacing w:after="0"/>
              <w:rPr>
                <w:sz w:val="20"/>
                <w:szCs w:val="20"/>
                <w:color w:val="auto"/>
              </w:rPr>
            </w:pPr>
          </w:p>
        </w:tc>
        <w:tc>
          <w:tcPr>
            <w:tcW w:w="23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9"/>
              </w:rPr>
              <w:t>Votes For</w:t>
            </w:r>
          </w:p>
        </w:tc>
        <w:tc>
          <w:tcPr>
            <w:tcW w:w="420" w:type="dxa"/>
            <w:vAlign w:val="bottom"/>
          </w:tcPr>
          <w:p>
            <w:pPr>
              <w:spacing w:after="0"/>
              <w:rPr>
                <w:sz w:val="20"/>
                <w:szCs w:val="20"/>
                <w:color w:val="auto"/>
              </w:rPr>
            </w:pPr>
          </w:p>
        </w:tc>
        <w:tc>
          <w:tcPr>
            <w:tcW w:w="23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9"/>
              </w:rPr>
              <w:t>Votes Withheld</w:t>
            </w:r>
          </w:p>
        </w:tc>
        <w:tc>
          <w:tcPr>
            <w:tcW w:w="420" w:type="dxa"/>
            <w:vAlign w:val="bottom"/>
          </w:tcPr>
          <w:p>
            <w:pPr>
              <w:spacing w:after="0"/>
              <w:rPr>
                <w:sz w:val="20"/>
                <w:szCs w:val="20"/>
                <w:color w:val="auto"/>
              </w:rPr>
            </w:pPr>
          </w:p>
        </w:tc>
        <w:tc>
          <w:tcPr>
            <w:tcW w:w="23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0"/>
              </w:rPr>
              <w:t>Broker Non-Votes</w:t>
            </w:r>
          </w:p>
        </w:tc>
      </w:tr>
      <w:tr>
        <w:trPr>
          <w:trHeight w:val="228"/>
        </w:trPr>
        <w:tc>
          <w:tcPr>
            <w:tcW w:w="2860" w:type="dxa"/>
            <w:vAlign w:val="bottom"/>
          </w:tcPr>
          <w:p>
            <w:pPr>
              <w:ind w:left="20"/>
              <w:spacing w:after="0"/>
              <w:rPr>
                <w:sz w:val="20"/>
                <w:szCs w:val="20"/>
                <w:color w:val="auto"/>
              </w:rPr>
            </w:pPr>
            <w:r>
              <w:rPr>
                <w:rFonts w:ascii="Arial" w:cs="Arial" w:eastAsia="Arial" w:hAnsi="Arial"/>
                <w:sz w:val="18"/>
                <w:szCs w:val="18"/>
                <w:color w:val="auto"/>
              </w:rPr>
              <w:t>Michael Egholm, Ph.D.</w:t>
            </w:r>
          </w:p>
        </w:tc>
        <w:tc>
          <w:tcPr>
            <w:tcW w:w="420" w:type="dxa"/>
            <w:vAlign w:val="bottom"/>
          </w:tcPr>
          <w:p>
            <w:pPr>
              <w:spacing w:after="0"/>
              <w:rPr>
                <w:sz w:val="19"/>
                <w:szCs w:val="19"/>
                <w:color w:val="auto"/>
              </w:rPr>
            </w:pPr>
          </w:p>
        </w:tc>
        <w:tc>
          <w:tcPr>
            <w:tcW w:w="2380" w:type="dxa"/>
            <w:vAlign w:val="bottom"/>
          </w:tcPr>
          <w:p>
            <w:pPr>
              <w:jc w:val="center"/>
              <w:ind w:left="310"/>
              <w:spacing w:after="0"/>
              <w:rPr>
                <w:sz w:val="20"/>
                <w:szCs w:val="20"/>
                <w:color w:val="auto"/>
              </w:rPr>
            </w:pPr>
            <w:r>
              <w:rPr>
                <w:rFonts w:ascii="Arial" w:cs="Arial" w:eastAsia="Arial" w:hAnsi="Arial"/>
                <w:sz w:val="18"/>
                <w:szCs w:val="18"/>
                <w:color w:val="auto"/>
                <w:w w:val="89"/>
              </w:rPr>
              <w:t>120,101,799</w:t>
            </w:r>
          </w:p>
        </w:tc>
        <w:tc>
          <w:tcPr>
            <w:tcW w:w="420" w:type="dxa"/>
            <w:vAlign w:val="bottom"/>
          </w:tcPr>
          <w:p>
            <w:pPr>
              <w:spacing w:after="0"/>
              <w:rPr>
                <w:sz w:val="19"/>
                <w:szCs w:val="19"/>
                <w:color w:val="auto"/>
              </w:rPr>
            </w:pPr>
          </w:p>
        </w:tc>
        <w:tc>
          <w:tcPr>
            <w:tcW w:w="2380" w:type="dxa"/>
            <w:vAlign w:val="bottom"/>
          </w:tcPr>
          <w:p>
            <w:pPr>
              <w:jc w:val="center"/>
              <w:ind w:left="290"/>
              <w:spacing w:after="0"/>
              <w:rPr>
                <w:sz w:val="20"/>
                <w:szCs w:val="20"/>
                <w:color w:val="auto"/>
              </w:rPr>
            </w:pPr>
            <w:r>
              <w:rPr>
                <w:rFonts w:ascii="Arial" w:cs="Arial" w:eastAsia="Arial" w:hAnsi="Arial"/>
                <w:sz w:val="18"/>
                <w:szCs w:val="18"/>
                <w:color w:val="auto"/>
                <w:w w:val="89"/>
              </w:rPr>
              <w:t>1,362,966</w:t>
            </w:r>
          </w:p>
        </w:tc>
        <w:tc>
          <w:tcPr>
            <w:tcW w:w="420" w:type="dxa"/>
            <w:vAlign w:val="bottom"/>
          </w:tcPr>
          <w:p>
            <w:pPr>
              <w:spacing w:after="0"/>
              <w:rPr>
                <w:sz w:val="19"/>
                <w:szCs w:val="19"/>
                <w:color w:val="auto"/>
              </w:rPr>
            </w:pPr>
          </w:p>
        </w:tc>
        <w:tc>
          <w:tcPr>
            <w:tcW w:w="2360" w:type="dxa"/>
            <w:vAlign w:val="bottom"/>
          </w:tcPr>
          <w:p>
            <w:pPr>
              <w:jc w:val="center"/>
              <w:ind w:left="290"/>
              <w:spacing w:after="0"/>
              <w:rPr>
                <w:sz w:val="20"/>
                <w:szCs w:val="20"/>
                <w:color w:val="auto"/>
              </w:rPr>
            </w:pPr>
            <w:r>
              <w:rPr>
                <w:rFonts w:ascii="Arial" w:cs="Arial" w:eastAsia="Arial" w:hAnsi="Arial"/>
                <w:sz w:val="18"/>
                <w:szCs w:val="18"/>
                <w:color w:val="auto"/>
                <w:w w:val="90"/>
              </w:rPr>
              <w:t>18,071,894</w:t>
            </w:r>
          </w:p>
        </w:tc>
      </w:tr>
      <w:tr>
        <w:trPr>
          <w:trHeight w:val="242"/>
        </w:trPr>
        <w:tc>
          <w:tcPr>
            <w:tcW w:w="2860" w:type="dxa"/>
            <w:vAlign w:val="bottom"/>
          </w:tcPr>
          <w:p>
            <w:pPr>
              <w:ind w:left="20"/>
              <w:spacing w:after="0"/>
              <w:rPr>
                <w:sz w:val="20"/>
                <w:szCs w:val="20"/>
                <w:color w:val="auto"/>
              </w:rPr>
            </w:pPr>
            <w:r>
              <w:rPr>
                <w:rFonts w:ascii="Arial" w:cs="Arial" w:eastAsia="Arial" w:hAnsi="Arial"/>
                <w:sz w:val="18"/>
                <w:szCs w:val="18"/>
                <w:color w:val="auto"/>
              </w:rPr>
              <w:t>Fenel M. Eloi</w:t>
            </w:r>
          </w:p>
        </w:tc>
        <w:tc>
          <w:tcPr>
            <w:tcW w:w="2800" w:type="dxa"/>
            <w:vAlign w:val="bottom"/>
            <w:gridSpan w:val="2"/>
          </w:tcPr>
          <w:p>
            <w:pPr>
              <w:jc w:val="center"/>
              <w:ind w:left="730"/>
              <w:spacing w:after="0"/>
              <w:rPr>
                <w:sz w:val="20"/>
                <w:szCs w:val="20"/>
                <w:color w:val="auto"/>
              </w:rPr>
            </w:pPr>
            <w:r>
              <w:rPr>
                <w:rFonts w:ascii="Arial" w:cs="Arial" w:eastAsia="Arial" w:hAnsi="Arial"/>
                <w:sz w:val="18"/>
                <w:szCs w:val="18"/>
                <w:color w:val="auto"/>
                <w:w w:val="89"/>
              </w:rPr>
              <w:t>120,414,232</w:t>
            </w:r>
          </w:p>
        </w:tc>
        <w:tc>
          <w:tcPr>
            <w:tcW w:w="2800" w:type="dxa"/>
            <w:vAlign w:val="bottom"/>
            <w:gridSpan w:val="2"/>
          </w:tcPr>
          <w:p>
            <w:pPr>
              <w:jc w:val="center"/>
              <w:ind w:left="710"/>
              <w:spacing w:after="0"/>
              <w:rPr>
                <w:sz w:val="20"/>
                <w:szCs w:val="20"/>
                <w:color w:val="auto"/>
              </w:rPr>
            </w:pPr>
            <w:r>
              <w:rPr>
                <w:rFonts w:ascii="Arial" w:cs="Arial" w:eastAsia="Arial" w:hAnsi="Arial"/>
                <w:sz w:val="18"/>
                <w:szCs w:val="18"/>
                <w:color w:val="auto"/>
                <w:w w:val="89"/>
              </w:rPr>
              <w:t>1,050,533</w:t>
            </w:r>
          </w:p>
        </w:tc>
        <w:tc>
          <w:tcPr>
            <w:tcW w:w="2780" w:type="dxa"/>
            <w:vAlign w:val="bottom"/>
            <w:gridSpan w:val="2"/>
          </w:tcPr>
          <w:p>
            <w:pPr>
              <w:jc w:val="center"/>
              <w:ind w:left="710"/>
              <w:spacing w:after="0"/>
              <w:rPr>
                <w:sz w:val="20"/>
                <w:szCs w:val="20"/>
                <w:color w:val="auto"/>
              </w:rPr>
            </w:pPr>
            <w:r>
              <w:rPr>
                <w:rFonts w:ascii="Arial" w:cs="Arial" w:eastAsia="Arial" w:hAnsi="Arial"/>
                <w:sz w:val="18"/>
                <w:szCs w:val="18"/>
                <w:color w:val="auto"/>
                <w:w w:val="90"/>
              </w:rPr>
              <w:t>18,071,894</w:t>
            </w:r>
          </w:p>
        </w:tc>
      </w:tr>
    </w:tbl>
    <w:p>
      <w:pPr>
        <w:spacing w:after="0" w:line="306" w:lineRule="exact"/>
        <w:rPr>
          <w:sz w:val="20"/>
          <w:szCs w:val="20"/>
          <w:color w:val="auto"/>
        </w:rPr>
      </w:pPr>
    </w:p>
    <w:p>
      <w:pPr>
        <w:ind w:right="440" w:firstLine="332"/>
        <w:spacing w:after="0" w:line="237" w:lineRule="auto"/>
        <w:tabs>
          <w:tab w:leader="none" w:pos="49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Advisory Vote on Approval of Executive Compensation. </w:t>
      </w:r>
      <w:r>
        <w:rPr>
          <w:rFonts w:ascii="Arial" w:cs="Arial" w:eastAsia="Arial" w:hAnsi="Arial"/>
          <w:sz w:val="18"/>
          <w:szCs w:val="18"/>
          <w:color w:val="auto"/>
        </w:rPr>
        <w:t>The proposal to approve, on an advisory basis, the compensation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named executive officers for the year ended December 31, 2022 was approved by the following vote: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9"/>
              </w:rPr>
              <w:t>Votes For</w:t>
            </w:r>
          </w:p>
        </w:tc>
        <w:tc>
          <w:tcPr>
            <w:tcW w:w="420" w:type="dxa"/>
            <w:vAlign w:val="bottom"/>
          </w:tcPr>
          <w:p>
            <w:pPr>
              <w:spacing w:after="0"/>
              <w:rPr>
                <w:sz w:val="20"/>
                <w:szCs w:val="20"/>
                <w:color w:val="auto"/>
              </w:rPr>
            </w:pPr>
          </w:p>
        </w:tc>
        <w:tc>
          <w:tcPr>
            <w:tcW w:w="24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6"/>
              </w:rPr>
              <w:t>Votes Against</w:t>
            </w:r>
          </w:p>
        </w:tc>
        <w:tc>
          <w:tcPr>
            <w:tcW w:w="440" w:type="dxa"/>
            <w:vAlign w:val="bottom"/>
          </w:tcPr>
          <w:p>
            <w:pPr>
              <w:spacing w:after="0"/>
              <w:rPr>
                <w:sz w:val="20"/>
                <w:szCs w:val="20"/>
                <w:color w:val="auto"/>
              </w:rPr>
            </w:pPr>
          </w:p>
        </w:tc>
        <w:tc>
          <w:tcPr>
            <w:tcW w:w="250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8"/>
              </w:rPr>
              <w:t>Abstentions</w:t>
            </w:r>
          </w:p>
        </w:tc>
        <w:tc>
          <w:tcPr>
            <w:tcW w:w="420" w:type="dxa"/>
            <w:vAlign w:val="bottom"/>
          </w:tcPr>
          <w:p>
            <w:pPr>
              <w:spacing w:after="0"/>
              <w:rPr>
                <w:sz w:val="20"/>
                <w:szCs w:val="20"/>
                <w:color w:val="auto"/>
              </w:rPr>
            </w:pPr>
          </w:p>
        </w:tc>
        <w:tc>
          <w:tcPr>
            <w:tcW w:w="24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2500" w:type="dxa"/>
            <w:vAlign w:val="bottom"/>
          </w:tcPr>
          <w:p>
            <w:pPr>
              <w:jc w:val="right"/>
              <w:ind w:right="550"/>
              <w:spacing w:after="0"/>
              <w:rPr>
                <w:sz w:val="20"/>
                <w:szCs w:val="20"/>
                <w:color w:val="auto"/>
              </w:rPr>
            </w:pPr>
            <w:r>
              <w:rPr>
                <w:rFonts w:ascii="Arial" w:cs="Arial" w:eastAsia="Arial" w:hAnsi="Arial"/>
                <w:sz w:val="18"/>
                <w:szCs w:val="18"/>
                <w:color w:val="auto"/>
              </w:rPr>
              <w:t>99,659,482</w:t>
            </w:r>
          </w:p>
        </w:tc>
        <w:tc>
          <w:tcPr>
            <w:tcW w:w="420" w:type="dxa"/>
            <w:vAlign w:val="bottom"/>
          </w:tcPr>
          <w:p>
            <w:pPr>
              <w:spacing w:after="0"/>
              <w:rPr>
                <w:sz w:val="19"/>
                <w:szCs w:val="19"/>
                <w:color w:val="auto"/>
              </w:rPr>
            </w:pPr>
          </w:p>
        </w:tc>
        <w:tc>
          <w:tcPr>
            <w:tcW w:w="2480" w:type="dxa"/>
            <w:vAlign w:val="bottom"/>
          </w:tcPr>
          <w:p>
            <w:pPr>
              <w:jc w:val="right"/>
              <w:ind w:right="550"/>
              <w:spacing w:after="0"/>
              <w:rPr>
                <w:sz w:val="20"/>
                <w:szCs w:val="20"/>
                <w:color w:val="auto"/>
              </w:rPr>
            </w:pPr>
            <w:r>
              <w:rPr>
                <w:rFonts w:ascii="Arial" w:cs="Arial" w:eastAsia="Arial" w:hAnsi="Arial"/>
                <w:sz w:val="18"/>
                <w:szCs w:val="18"/>
                <w:color w:val="auto"/>
              </w:rPr>
              <w:t>21,330,720</w:t>
            </w:r>
          </w:p>
        </w:tc>
        <w:tc>
          <w:tcPr>
            <w:tcW w:w="440" w:type="dxa"/>
            <w:vAlign w:val="bottom"/>
          </w:tcPr>
          <w:p>
            <w:pPr>
              <w:spacing w:after="0"/>
              <w:rPr>
                <w:sz w:val="19"/>
                <w:szCs w:val="19"/>
                <w:color w:val="auto"/>
              </w:rPr>
            </w:pPr>
          </w:p>
        </w:tc>
        <w:tc>
          <w:tcPr>
            <w:tcW w:w="2500" w:type="dxa"/>
            <w:vAlign w:val="bottom"/>
          </w:tcPr>
          <w:p>
            <w:pPr>
              <w:jc w:val="right"/>
              <w:ind w:right="670"/>
              <w:spacing w:after="0"/>
              <w:rPr>
                <w:sz w:val="20"/>
                <w:szCs w:val="20"/>
                <w:color w:val="auto"/>
              </w:rPr>
            </w:pPr>
            <w:r>
              <w:rPr>
                <w:rFonts w:ascii="Arial" w:cs="Arial" w:eastAsia="Arial" w:hAnsi="Arial"/>
                <w:sz w:val="18"/>
                <w:szCs w:val="18"/>
                <w:color w:val="auto"/>
              </w:rPr>
              <w:t>474,563</w:t>
            </w:r>
          </w:p>
        </w:tc>
        <w:tc>
          <w:tcPr>
            <w:tcW w:w="420" w:type="dxa"/>
            <w:vAlign w:val="bottom"/>
          </w:tcPr>
          <w:p>
            <w:pPr>
              <w:spacing w:after="0"/>
              <w:rPr>
                <w:sz w:val="19"/>
                <w:szCs w:val="19"/>
                <w:color w:val="auto"/>
              </w:rPr>
            </w:pPr>
          </w:p>
        </w:tc>
        <w:tc>
          <w:tcPr>
            <w:tcW w:w="2480" w:type="dxa"/>
            <w:vAlign w:val="bottom"/>
          </w:tcPr>
          <w:p>
            <w:pPr>
              <w:jc w:val="right"/>
              <w:ind w:right="550"/>
              <w:spacing w:after="0"/>
              <w:rPr>
                <w:sz w:val="20"/>
                <w:szCs w:val="20"/>
                <w:color w:val="auto"/>
              </w:rPr>
            </w:pPr>
            <w:r>
              <w:rPr>
                <w:rFonts w:ascii="Arial" w:cs="Arial" w:eastAsia="Arial" w:hAnsi="Arial"/>
                <w:sz w:val="18"/>
                <w:szCs w:val="18"/>
                <w:color w:val="auto"/>
              </w:rPr>
              <w:t>18,071,894</w:t>
            </w:r>
          </w:p>
        </w:tc>
      </w:tr>
    </w:tbl>
    <w:p>
      <w:pPr>
        <w:spacing w:after="0" w:line="305" w:lineRule="exact"/>
        <w:rPr>
          <w:sz w:val="20"/>
          <w:szCs w:val="20"/>
          <w:color w:val="auto"/>
        </w:rPr>
      </w:pPr>
    </w:p>
    <w:p>
      <w:pPr>
        <w:ind w:right="200" w:firstLine="332"/>
        <w:spacing w:after="0" w:line="276" w:lineRule="auto"/>
        <w:tabs>
          <w:tab w:leader="none" w:pos="49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Advisory Vote on Frequency of Vote to Approve Executive Compensation. </w:t>
      </w:r>
      <w:r>
        <w:rPr>
          <w:rFonts w:ascii="Arial" w:cs="Arial" w:eastAsia="Arial" w:hAnsi="Arial"/>
          <w:sz w:val="16"/>
          <w:szCs w:val="16"/>
          <w:color w:val="auto"/>
        </w:rPr>
        <w:t>The proposal to approve, on an advisory basis, the frequency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advisory stockholder vote on the compensation of the Company’s named executive officers was ratified as one year by the following vote:</w:t>
      </w:r>
    </w:p>
    <w:tbl>
      <w:tblPr>
        <w:tblLayout w:type="fixed"/>
        <w:tblInd w:w="0" w:type="dxa"/>
        <w:tblCellMar>
          <w:top w:w="0" w:type="dxa"/>
          <w:left w:w="0" w:type="dxa"/>
          <w:bottom w:w="0" w:type="dxa"/>
          <w:right w:w="0" w:type="dxa"/>
        </w:tblCellMar>
      </w:tblPr>
      <w:tr>
        <w:trPr>
          <w:trHeight w:val="229"/>
        </w:trPr>
        <w:tc>
          <w:tcPr>
            <w:tcW w:w="1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Votes For One Year</w:t>
            </w:r>
          </w:p>
        </w:tc>
        <w:tc>
          <w:tcPr>
            <w:tcW w:w="440" w:type="dxa"/>
            <w:vAlign w:val="bottom"/>
          </w:tcPr>
          <w:p>
            <w:pPr>
              <w:spacing w:after="0"/>
              <w:rPr>
                <w:sz w:val="19"/>
                <w:szCs w:val="19"/>
                <w:color w:val="auto"/>
              </w:rPr>
            </w:pPr>
          </w:p>
        </w:tc>
        <w:tc>
          <w:tcPr>
            <w:tcW w:w="1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Votes For Two Years</w:t>
            </w:r>
          </w:p>
        </w:tc>
        <w:tc>
          <w:tcPr>
            <w:tcW w:w="4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Votes For Three Years</w:t>
            </w:r>
          </w:p>
        </w:tc>
        <w:tc>
          <w:tcPr>
            <w:tcW w:w="420" w:type="dxa"/>
            <w:vAlign w:val="bottom"/>
          </w:tcPr>
          <w:p>
            <w:pPr>
              <w:spacing w:after="0"/>
              <w:rPr>
                <w:sz w:val="19"/>
                <w:szCs w:val="19"/>
                <w:color w:val="auto"/>
              </w:rPr>
            </w:pPr>
          </w:p>
        </w:tc>
        <w:tc>
          <w:tcPr>
            <w:tcW w:w="1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Abstentions</w:t>
            </w:r>
          </w:p>
        </w:tc>
        <w:tc>
          <w:tcPr>
            <w:tcW w:w="420" w:type="dxa"/>
            <w:vAlign w:val="bottom"/>
          </w:tcPr>
          <w:p>
            <w:pPr>
              <w:spacing w:after="0"/>
              <w:rPr>
                <w:sz w:val="19"/>
                <w:szCs w:val="19"/>
                <w:color w:val="auto"/>
              </w:rPr>
            </w:pPr>
          </w:p>
        </w:tc>
        <w:tc>
          <w:tcPr>
            <w:tcW w:w="1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Broker Non-Votes</w:t>
            </w:r>
          </w:p>
        </w:tc>
      </w:tr>
      <w:tr>
        <w:trPr>
          <w:trHeight w:val="237"/>
        </w:trPr>
        <w:tc>
          <w:tcPr>
            <w:tcW w:w="1980" w:type="dxa"/>
            <w:vAlign w:val="bottom"/>
          </w:tcPr>
          <w:p>
            <w:pPr>
              <w:jc w:val="right"/>
              <w:ind w:right="250"/>
              <w:spacing w:after="0"/>
              <w:rPr>
                <w:sz w:val="20"/>
                <w:szCs w:val="20"/>
                <w:color w:val="auto"/>
              </w:rPr>
            </w:pPr>
            <w:r>
              <w:rPr>
                <w:rFonts w:ascii="Arial" w:cs="Arial" w:eastAsia="Arial" w:hAnsi="Arial"/>
                <w:sz w:val="18"/>
                <w:szCs w:val="18"/>
                <w:color w:val="auto"/>
              </w:rPr>
              <w:t>120,966,667</w:t>
            </w:r>
          </w:p>
        </w:tc>
        <w:tc>
          <w:tcPr>
            <w:tcW w:w="2300" w:type="dxa"/>
            <w:vAlign w:val="bottom"/>
            <w:gridSpan w:val="2"/>
          </w:tcPr>
          <w:p>
            <w:pPr>
              <w:jc w:val="right"/>
              <w:ind w:right="350"/>
              <w:spacing w:after="0"/>
              <w:rPr>
                <w:sz w:val="20"/>
                <w:szCs w:val="20"/>
                <w:color w:val="auto"/>
              </w:rPr>
            </w:pPr>
            <w:r>
              <w:rPr>
                <w:rFonts w:ascii="Arial" w:cs="Arial" w:eastAsia="Arial" w:hAnsi="Arial"/>
                <w:sz w:val="18"/>
                <w:szCs w:val="18"/>
                <w:color w:val="auto"/>
              </w:rPr>
              <w:t>163,420</w:t>
            </w:r>
          </w:p>
        </w:tc>
        <w:tc>
          <w:tcPr>
            <w:tcW w:w="2300" w:type="dxa"/>
            <w:vAlign w:val="bottom"/>
            <w:gridSpan w:val="2"/>
          </w:tcPr>
          <w:p>
            <w:pPr>
              <w:jc w:val="right"/>
              <w:ind w:right="370"/>
              <w:spacing w:after="0"/>
              <w:rPr>
                <w:sz w:val="20"/>
                <w:szCs w:val="20"/>
                <w:color w:val="auto"/>
              </w:rPr>
            </w:pPr>
            <w:r>
              <w:rPr>
                <w:rFonts w:ascii="Arial" w:cs="Arial" w:eastAsia="Arial" w:hAnsi="Arial"/>
                <w:sz w:val="18"/>
                <w:szCs w:val="18"/>
                <w:color w:val="auto"/>
              </w:rPr>
              <w:t>221,890</w:t>
            </w:r>
          </w:p>
        </w:tc>
        <w:tc>
          <w:tcPr>
            <w:tcW w:w="2300" w:type="dxa"/>
            <w:vAlign w:val="bottom"/>
            <w:gridSpan w:val="2"/>
          </w:tcPr>
          <w:p>
            <w:pPr>
              <w:jc w:val="right"/>
              <w:ind w:right="370"/>
              <w:spacing w:after="0"/>
              <w:rPr>
                <w:sz w:val="20"/>
                <w:szCs w:val="20"/>
                <w:color w:val="auto"/>
              </w:rPr>
            </w:pPr>
            <w:r>
              <w:rPr>
                <w:rFonts w:ascii="Arial" w:cs="Arial" w:eastAsia="Arial" w:hAnsi="Arial"/>
                <w:sz w:val="18"/>
                <w:szCs w:val="18"/>
                <w:color w:val="auto"/>
              </w:rPr>
              <w:t>112,788</w:t>
            </w:r>
          </w:p>
        </w:tc>
        <w:tc>
          <w:tcPr>
            <w:tcW w:w="2360" w:type="dxa"/>
            <w:vAlign w:val="bottom"/>
            <w:gridSpan w:val="2"/>
          </w:tcPr>
          <w:p>
            <w:pPr>
              <w:jc w:val="right"/>
              <w:ind w:right="270"/>
              <w:spacing w:after="0"/>
              <w:rPr>
                <w:sz w:val="20"/>
                <w:szCs w:val="20"/>
                <w:color w:val="auto"/>
              </w:rPr>
            </w:pPr>
            <w:r>
              <w:rPr>
                <w:rFonts w:ascii="Arial" w:cs="Arial" w:eastAsia="Arial" w:hAnsi="Arial"/>
                <w:sz w:val="18"/>
                <w:szCs w:val="18"/>
                <w:color w:val="auto"/>
              </w:rPr>
              <w:t>18,071,894</w:t>
            </w:r>
          </w:p>
        </w:tc>
      </w:tr>
    </w:tbl>
    <w:p>
      <w:pPr>
        <w:spacing w:after="0" w:line="306" w:lineRule="exact"/>
        <w:rPr>
          <w:sz w:val="20"/>
          <w:szCs w:val="20"/>
          <w:color w:val="auto"/>
        </w:rPr>
      </w:pPr>
    </w:p>
    <w:p>
      <w:pPr>
        <w:ind w:right="520" w:firstLine="332"/>
        <w:spacing w:after="0" w:line="267" w:lineRule="auto"/>
        <w:tabs>
          <w:tab w:leader="none" w:pos="49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Approval of the Amended and Restated 2011 Equity Incentive Plan. </w:t>
      </w:r>
      <w:r>
        <w:rPr>
          <w:rFonts w:ascii="Arial" w:cs="Arial" w:eastAsia="Arial" w:hAnsi="Arial"/>
          <w:sz w:val="16"/>
          <w:szCs w:val="16"/>
          <w:color w:val="auto"/>
        </w:rPr>
        <w:t>The proposal to approve the Company’s Amended and Restated 2011</w:t>
      </w:r>
      <w:r>
        <w:rPr>
          <w:rFonts w:ascii="Arial" w:cs="Arial" w:eastAsia="Arial" w:hAnsi="Arial"/>
          <w:sz w:val="16"/>
          <w:szCs w:val="16"/>
          <w:b w:val="1"/>
          <w:bCs w:val="1"/>
          <w:color w:val="auto"/>
        </w:rPr>
        <w:t xml:space="preserve"> </w:t>
      </w:r>
      <w:r>
        <w:rPr>
          <w:rFonts w:ascii="Arial" w:cs="Arial" w:eastAsia="Arial" w:hAnsi="Arial"/>
          <w:sz w:val="16"/>
          <w:szCs w:val="16"/>
          <w:color w:val="auto"/>
        </w:rPr>
        <w:t>Equity Incentive Plan to increase the shares of common stock reserved thereunder by 4,700,000 shares was approved by the following vote:</w:t>
      </w:r>
    </w:p>
    <w:tbl>
      <w:tblPr>
        <w:tblLayout w:type="fixed"/>
        <w:tblInd w:w="0" w:type="dxa"/>
        <w:tblCellMar>
          <w:top w:w="0" w:type="dxa"/>
          <w:left w:w="0" w:type="dxa"/>
          <w:bottom w:w="0" w:type="dxa"/>
          <w:right w:w="0" w:type="dxa"/>
        </w:tblCellMar>
      </w:tblPr>
      <w:tr>
        <w:trPr>
          <w:trHeight w:val="239"/>
        </w:trPr>
        <w:tc>
          <w:tcPr>
            <w:tcW w:w="23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9"/>
              </w:rPr>
              <w:t>Votes For</w:t>
            </w:r>
          </w:p>
        </w:tc>
        <w:tc>
          <w:tcPr>
            <w:tcW w:w="420" w:type="dxa"/>
            <w:vAlign w:val="bottom"/>
          </w:tcPr>
          <w:p>
            <w:pPr>
              <w:spacing w:after="0"/>
              <w:rPr>
                <w:sz w:val="20"/>
                <w:szCs w:val="20"/>
                <w:color w:val="auto"/>
              </w:rPr>
            </w:pPr>
          </w:p>
        </w:tc>
        <w:tc>
          <w:tcPr>
            <w:tcW w:w="22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6"/>
              </w:rPr>
              <w:t>Votes Against</w:t>
            </w:r>
          </w:p>
        </w:tc>
        <w:tc>
          <w:tcPr>
            <w:tcW w:w="420" w:type="dxa"/>
            <w:vAlign w:val="bottom"/>
          </w:tcPr>
          <w:p>
            <w:pPr>
              <w:spacing w:after="0"/>
              <w:rPr>
                <w:sz w:val="20"/>
                <w:szCs w:val="20"/>
                <w:color w:val="auto"/>
              </w:rPr>
            </w:pPr>
          </w:p>
        </w:tc>
        <w:tc>
          <w:tcPr>
            <w:tcW w:w="230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6"/>
              </w:rPr>
              <w:t>Abstentions</w:t>
            </w:r>
          </w:p>
        </w:tc>
        <w:tc>
          <w:tcPr>
            <w:tcW w:w="440" w:type="dxa"/>
            <w:vAlign w:val="bottom"/>
          </w:tcPr>
          <w:p>
            <w:pPr>
              <w:spacing w:after="0"/>
              <w:rPr>
                <w:sz w:val="20"/>
                <w:szCs w:val="20"/>
                <w:color w:val="auto"/>
              </w:rPr>
            </w:pPr>
          </w:p>
        </w:tc>
        <w:tc>
          <w:tcPr>
            <w:tcW w:w="30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0"/>
              </w:rPr>
              <w:t>Broker Non-Votes</w:t>
            </w:r>
          </w:p>
        </w:tc>
      </w:tr>
      <w:tr>
        <w:trPr>
          <w:trHeight w:val="228"/>
        </w:trPr>
        <w:tc>
          <w:tcPr>
            <w:tcW w:w="2320" w:type="dxa"/>
            <w:vAlign w:val="bottom"/>
          </w:tcPr>
          <w:p>
            <w:pPr>
              <w:jc w:val="right"/>
              <w:ind w:right="430"/>
              <w:spacing w:after="0"/>
              <w:rPr>
                <w:sz w:val="20"/>
                <w:szCs w:val="20"/>
                <w:color w:val="auto"/>
              </w:rPr>
            </w:pPr>
            <w:r>
              <w:rPr>
                <w:rFonts w:ascii="Arial" w:cs="Arial" w:eastAsia="Arial" w:hAnsi="Arial"/>
                <w:sz w:val="18"/>
                <w:szCs w:val="18"/>
                <w:color w:val="auto"/>
              </w:rPr>
              <w:t>109,601,367</w:t>
            </w:r>
          </w:p>
        </w:tc>
        <w:tc>
          <w:tcPr>
            <w:tcW w:w="420" w:type="dxa"/>
            <w:vAlign w:val="bottom"/>
          </w:tcPr>
          <w:p>
            <w:pPr>
              <w:spacing w:after="0"/>
              <w:rPr>
                <w:sz w:val="19"/>
                <w:szCs w:val="19"/>
                <w:color w:val="auto"/>
              </w:rPr>
            </w:pPr>
          </w:p>
        </w:tc>
        <w:tc>
          <w:tcPr>
            <w:tcW w:w="2280" w:type="dxa"/>
            <w:vAlign w:val="bottom"/>
          </w:tcPr>
          <w:p>
            <w:pPr>
              <w:jc w:val="right"/>
              <w:ind w:right="450"/>
              <w:spacing w:after="0"/>
              <w:rPr>
                <w:sz w:val="20"/>
                <w:szCs w:val="20"/>
                <w:color w:val="auto"/>
              </w:rPr>
            </w:pPr>
            <w:r>
              <w:rPr>
                <w:rFonts w:ascii="Arial" w:cs="Arial" w:eastAsia="Arial" w:hAnsi="Arial"/>
                <w:sz w:val="18"/>
                <w:szCs w:val="18"/>
                <w:color w:val="auto"/>
              </w:rPr>
              <w:t>11,404,808</w:t>
            </w:r>
          </w:p>
        </w:tc>
        <w:tc>
          <w:tcPr>
            <w:tcW w:w="420" w:type="dxa"/>
            <w:vAlign w:val="bottom"/>
          </w:tcPr>
          <w:p>
            <w:pPr>
              <w:spacing w:after="0"/>
              <w:rPr>
                <w:sz w:val="19"/>
                <w:szCs w:val="19"/>
                <w:color w:val="auto"/>
              </w:rPr>
            </w:pPr>
          </w:p>
        </w:tc>
        <w:tc>
          <w:tcPr>
            <w:tcW w:w="2300" w:type="dxa"/>
            <w:vAlign w:val="bottom"/>
          </w:tcPr>
          <w:p>
            <w:pPr>
              <w:jc w:val="right"/>
              <w:ind w:right="570"/>
              <w:spacing w:after="0"/>
              <w:rPr>
                <w:sz w:val="20"/>
                <w:szCs w:val="20"/>
                <w:color w:val="auto"/>
              </w:rPr>
            </w:pPr>
            <w:r>
              <w:rPr>
                <w:rFonts w:ascii="Arial" w:cs="Arial" w:eastAsia="Arial" w:hAnsi="Arial"/>
                <w:sz w:val="18"/>
                <w:szCs w:val="18"/>
                <w:color w:val="auto"/>
              </w:rPr>
              <w:t>458,590</w:t>
            </w:r>
          </w:p>
        </w:tc>
        <w:tc>
          <w:tcPr>
            <w:tcW w:w="440" w:type="dxa"/>
            <w:vAlign w:val="bottom"/>
          </w:tcPr>
          <w:p>
            <w:pPr>
              <w:spacing w:after="0"/>
              <w:rPr>
                <w:sz w:val="19"/>
                <w:szCs w:val="19"/>
                <w:color w:val="auto"/>
              </w:rPr>
            </w:pPr>
          </w:p>
        </w:tc>
        <w:tc>
          <w:tcPr>
            <w:tcW w:w="3060" w:type="dxa"/>
            <w:vAlign w:val="bottom"/>
          </w:tcPr>
          <w:p>
            <w:pPr>
              <w:jc w:val="right"/>
              <w:ind w:right="850"/>
              <w:spacing w:after="0"/>
              <w:rPr>
                <w:sz w:val="20"/>
                <w:szCs w:val="20"/>
                <w:color w:val="auto"/>
              </w:rPr>
            </w:pPr>
            <w:r>
              <w:rPr>
                <w:rFonts w:ascii="Arial" w:cs="Arial" w:eastAsia="Arial" w:hAnsi="Arial"/>
                <w:sz w:val="18"/>
                <w:szCs w:val="18"/>
                <w:color w:val="auto"/>
              </w:rPr>
              <w:t>18,071,894</w:t>
            </w:r>
          </w:p>
        </w:tc>
      </w:tr>
    </w:tbl>
    <w:p>
      <w:pPr>
        <w:spacing w:after="0" w:line="305" w:lineRule="exact"/>
        <w:rPr>
          <w:sz w:val="20"/>
          <w:szCs w:val="20"/>
          <w:color w:val="auto"/>
        </w:rPr>
      </w:pPr>
    </w:p>
    <w:p>
      <w:pPr>
        <w:ind w:firstLine="332"/>
        <w:spacing w:after="0" w:line="226" w:lineRule="auto"/>
        <w:tabs>
          <w:tab w:leader="none" w:pos="50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Ratification of Appointment of Independent Registered Public Accounting Firm. </w:t>
      </w:r>
      <w:r>
        <w:rPr>
          <w:rFonts w:ascii="Arial" w:cs="Arial" w:eastAsia="Arial" w:hAnsi="Arial"/>
          <w:sz w:val="18"/>
          <w:szCs w:val="18"/>
          <w:color w:val="auto"/>
        </w:rPr>
        <w:t>The proposal to ratify the appointment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PricewaterhouseCoopers LLP as the Company’s independent registered public accounting firm for the year ending December 31, 2023 was approved by the following vote: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9"/>
              </w:rPr>
              <w:t>Votes For</w:t>
            </w:r>
          </w:p>
        </w:tc>
        <w:tc>
          <w:tcPr>
            <w:tcW w:w="440" w:type="dxa"/>
            <w:vAlign w:val="bottom"/>
          </w:tcPr>
          <w:p>
            <w:pPr>
              <w:spacing w:after="0"/>
              <w:rPr>
                <w:sz w:val="20"/>
                <w:szCs w:val="20"/>
                <w:color w:val="auto"/>
              </w:rPr>
            </w:pPr>
          </w:p>
        </w:tc>
        <w:tc>
          <w:tcPr>
            <w:tcW w:w="314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6"/>
              </w:rPr>
              <w:t>Votes Against</w:t>
            </w:r>
          </w:p>
        </w:tc>
        <w:tc>
          <w:tcPr>
            <w:tcW w:w="420" w:type="dxa"/>
            <w:vAlign w:val="bottom"/>
          </w:tcPr>
          <w:p>
            <w:pPr>
              <w:spacing w:after="0"/>
              <w:rPr>
                <w:sz w:val="20"/>
                <w:szCs w:val="20"/>
                <w:color w:val="auto"/>
              </w:rPr>
            </w:pPr>
          </w:p>
        </w:tc>
        <w:tc>
          <w:tcPr>
            <w:tcW w:w="40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8"/>
              </w:rPr>
              <w:t>Abstentions</w:t>
            </w:r>
          </w:p>
        </w:tc>
      </w:tr>
      <w:tr>
        <w:trPr>
          <w:trHeight w:val="224"/>
        </w:trPr>
        <w:tc>
          <w:tcPr>
            <w:tcW w:w="3180" w:type="dxa"/>
            <w:vAlign w:val="bottom"/>
          </w:tcPr>
          <w:p>
            <w:pPr>
              <w:jc w:val="right"/>
              <w:ind w:right="850"/>
              <w:spacing w:after="0"/>
              <w:rPr>
                <w:sz w:val="20"/>
                <w:szCs w:val="20"/>
                <w:color w:val="auto"/>
              </w:rPr>
            </w:pPr>
            <w:r>
              <w:rPr>
                <w:rFonts w:ascii="Arial" w:cs="Arial" w:eastAsia="Arial" w:hAnsi="Arial"/>
                <w:sz w:val="18"/>
                <w:szCs w:val="18"/>
                <w:color w:val="auto"/>
              </w:rPr>
              <w:t>139,270,633</w:t>
            </w:r>
          </w:p>
        </w:tc>
        <w:tc>
          <w:tcPr>
            <w:tcW w:w="440" w:type="dxa"/>
            <w:vAlign w:val="bottom"/>
          </w:tcPr>
          <w:p>
            <w:pPr>
              <w:spacing w:after="0"/>
              <w:rPr>
                <w:sz w:val="19"/>
                <w:szCs w:val="19"/>
                <w:color w:val="auto"/>
              </w:rPr>
            </w:pPr>
          </w:p>
        </w:tc>
        <w:tc>
          <w:tcPr>
            <w:tcW w:w="3140" w:type="dxa"/>
            <w:vAlign w:val="bottom"/>
          </w:tcPr>
          <w:p>
            <w:pPr>
              <w:jc w:val="right"/>
              <w:ind w:right="1010"/>
              <w:spacing w:after="0"/>
              <w:rPr>
                <w:sz w:val="20"/>
                <w:szCs w:val="20"/>
                <w:color w:val="auto"/>
              </w:rPr>
            </w:pPr>
            <w:r>
              <w:rPr>
                <w:rFonts w:ascii="Arial" w:cs="Arial" w:eastAsia="Arial" w:hAnsi="Arial"/>
                <w:sz w:val="18"/>
                <w:szCs w:val="18"/>
                <w:color w:val="auto"/>
              </w:rPr>
              <w:t>233,343</w:t>
            </w:r>
          </w:p>
        </w:tc>
        <w:tc>
          <w:tcPr>
            <w:tcW w:w="420" w:type="dxa"/>
            <w:vAlign w:val="bottom"/>
          </w:tcPr>
          <w:p>
            <w:pPr>
              <w:spacing w:after="0"/>
              <w:rPr>
                <w:sz w:val="19"/>
                <w:szCs w:val="19"/>
                <w:color w:val="auto"/>
              </w:rPr>
            </w:pPr>
          </w:p>
        </w:tc>
        <w:tc>
          <w:tcPr>
            <w:tcW w:w="4060" w:type="dxa"/>
            <w:vAlign w:val="bottom"/>
          </w:tcPr>
          <w:p>
            <w:pPr>
              <w:jc w:val="right"/>
              <w:ind w:right="1490"/>
              <w:spacing w:after="0"/>
              <w:rPr>
                <w:sz w:val="20"/>
                <w:szCs w:val="20"/>
                <w:color w:val="auto"/>
              </w:rPr>
            </w:pPr>
            <w:r>
              <w:rPr>
                <w:rFonts w:ascii="Arial" w:cs="Arial" w:eastAsia="Arial" w:hAnsi="Arial"/>
                <w:sz w:val="18"/>
                <w:szCs w:val="18"/>
                <w:color w:val="auto"/>
              </w:rPr>
              <w:t>32,683</w:t>
            </w:r>
          </w:p>
        </w:tc>
      </w:tr>
      <w:tr>
        <w:trPr>
          <w:trHeight w:val="1748"/>
        </w:trPr>
        <w:tc>
          <w:tcPr>
            <w:tcW w:w="3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ind w:left="340"/>
        <w:spacing w:after="0"/>
        <w:rPr>
          <w:sz w:val="20"/>
          <w:szCs w:val="20"/>
          <w:color w:val="auto"/>
        </w:rPr>
      </w:pPr>
      <w:r>
        <w:rPr>
          <w:rFonts w:ascii="Arial" w:cs="Arial" w:eastAsia="Arial" w:hAnsi="Arial"/>
          <w:sz w:val="18"/>
          <w:szCs w:val="18"/>
          <w:b w:val="1"/>
          <w:bCs w:val="1"/>
          <w:color w:val="auto"/>
        </w:rPr>
        <w:t>6. Election of B-1 Director and B-2 Director.</w:t>
      </w:r>
    </w:p>
    <w:p>
      <w:pPr>
        <w:spacing w:after="0" w:line="81" w:lineRule="exact"/>
        <w:rPr>
          <w:sz w:val="20"/>
          <w:szCs w:val="20"/>
          <w:color w:val="auto"/>
        </w:rPr>
      </w:pPr>
    </w:p>
    <w:p>
      <w:pPr>
        <w:ind w:right="60" w:firstLine="324"/>
        <w:spacing w:after="0" w:line="246" w:lineRule="auto"/>
        <w:rPr>
          <w:sz w:val="20"/>
          <w:szCs w:val="20"/>
          <w:color w:val="auto"/>
        </w:rPr>
      </w:pPr>
      <w:r>
        <w:rPr>
          <w:rFonts w:ascii="Arial" w:cs="Arial" w:eastAsia="Arial" w:hAnsi="Arial"/>
          <w:sz w:val="18"/>
          <w:szCs w:val="18"/>
          <w:color w:val="auto"/>
        </w:rPr>
        <w:t>The holders of Series B-1 Preferred Stock, voting separately as a class, voted all shares of Series B-1 Preferred Stock to nominate and elect Eli Casdin to the Company’s board of directors in connection with the Annual Meeting.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Nominee</w:t>
            </w:r>
          </w:p>
        </w:tc>
        <w:tc>
          <w:tcPr>
            <w:tcW w:w="420" w:type="dxa"/>
            <w:vAlign w:val="bottom"/>
          </w:tcPr>
          <w:p>
            <w:pPr>
              <w:spacing w:after="0"/>
              <w:rPr>
                <w:sz w:val="20"/>
                <w:szCs w:val="20"/>
                <w:color w:val="auto"/>
              </w:rPr>
            </w:pPr>
          </w:p>
        </w:tc>
        <w:tc>
          <w:tcPr>
            <w:tcW w:w="31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9"/>
              </w:rPr>
              <w:t>Votes For</w:t>
            </w:r>
          </w:p>
        </w:tc>
        <w:tc>
          <w:tcPr>
            <w:tcW w:w="420" w:type="dxa"/>
            <w:vAlign w:val="bottom"/>
          </w:tcPr>
          <w:p>
            <w:pPr>
              <w:spacing w:after="0"/>
              <w:rPr>
                <w:sz w:val="20"/>
                <w:szCs w:val="20"/>
                <w:color w:val="auto"/>
              </w:rPr>
            </w:pPr>
          </w:p>
        </w:tc>
        <w:tc>
          <w:tcPr>
            <w:tcW w:w="37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0"/>
              </w:rPr>
              <w:t>Votes Withheld</w:t>
            </w:r>
          </w:p>
        </w:tc>
      </w:tr>
      <w:tr>
        <w:trPr>
          <w:trHeight w:val="237"/>
        </w:trPr>
        <w:tc>
          <w:tcPr>
            <w:tcW w:w="3060" w:type="dxa"/>
            <w:vAlign w:val="bottom"/>
          </w:tcPr>
          <w:p>
            <w:pPr>
              <w:ind w:left="420"/>
              <w:spacing w:after="0"/>
              <w:rPr>
                <w:sz w:val="20"/>
                <w:szCs w:val="20"/>
                <w:color w:val="auto"/>
              </w:rPr>
            </w:pPr>
            <w:r>
              <w:rPr>
                <w:rFonts w:ascii="Arial" w:cs="Arial" w:eastAsia="Arial" w:hAnsi="Arial"/>
                <w:sz w:val="18"/>
                <w:szCs w:val="18"/>
                <w:color w:val="auto"/>
              </w:rPr>
              <w:t>Eli Casdin</w:t>
            </w:r>
          </w:p>
        </w:tc>
        <w:tc>
          <w:tcPr>
            <w:tcW w:w="3560" w:type="dxa"/>
            <w:vAlign w:val="bottom"/>
            <w:gridSpan w:val="2"/>
          </w:tcPr>
          <w:p>
            <w:pPr>
              <w:jc w:val="right"/>
              <w:ind w:right="990"/>
              <w:spacing w:after="0"/>
              <w:rPr>
                <w:sz w:val="20"/>
                <w:szCs w:val="20"/>
                <w:color w:val="auto"/>
              </w:rPr>
            </w:pPr>
            <w:r>
              <w:rPr>
                <w:rFonts w:ascii="Arial" w:cs="Arial" w:eastAsia="Arial" w:hAnsi="Arial"/>
                <w:sz w:val="18"/>
                <w:szCs w:val="18"/>
                <w:color w:val="auto"/>
              </w:rPr>
              <w:t>127,780</w:t>
            </w:r>
          </w:p>
        </w:tc>
        <w:tc>
          <w:tcPr>
            <w:tcW w:w="4200" w:type="dxa"/>
            <w:vAlign w:val="bottom"/>
            <w:gridSpan w:val="2"/>
          </w:tcPr>
          <w:p>
            <w:pPr>
              <w:jc w:val="right"/>
              <w:ind w:right="157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holders of Series B-2 Preferred Stock, voting separately as a class, voted all shares of Series B-2 Preferred Stock to nominate and elect Martin 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Madaus to the Company’s board of directors in connection with the Annual Meeting.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Nominee</w:t>
            </w:r>
          </w:p>
        </w:tc>
        <w:tc>
          <w:tcPr>
            <w:tcW w:w="420" w:type="dxa"/>
            <w:vAlign w:val="bottom"/>
          </w:tcPr>
          <w:p>
            <w:pPr>
              <w:spacing w:after="0"/>
              <w:rPr>
                <w:sz w:val="20"/>
                <w:szCs w:val="20"/>
                <w:color w:val="auto"/>
              </w:rPr>
            </w:pPr>
          </w:p>
        </w:tc>
        <w:tc>
          <w:tcPr>
            <w:tcW w:w="314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6"/>
              </w:rPr>
              <w:t>Votes For</w:t>
            </w:r>
          </w:p>
        </w:tc>
        <w:tc>
          <w:tcPr>
            <w:tcW w:w="400" w:type="dxa"/>
            <w:vAlign w:val="bottom"/>
          </w:tcPr>
          <w:p>
            <w:pPr>
              <w:spacing w:after="0"/>
              <w:rPr>
                <w:sz w:val="20"/>
                <w:szCs w:val="20"/>
                <w:color w:val="auto"/>
              </w:rPr>
            </w:pPr>
          </w:p>
        </w:tc>
        <w:tc>
          <w:tcPr>
            <w:tcW w:w="37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9"/>
              </w:rPr>
              <w:t>Votes Withheld</w:t>
            </w:r>
          </w:p>
        </w:tc>
      </w:tr>
      <w:tr>
        <w:trPr>
          <w:trHeight w:val="230"/>
        </w:trPr>
        <w:tc>
          <w:tcPr>
            <w:tcW w:w="3140" w:type="dxa"/>
            <w:vAlign w:val="bottom"/>
          </w:tcPr>
          <w:p>
            <w:pPr>
              <w:ind w:left="420"/>
              <w:spacing w:after="0"/>
              <w:rPr>
                <w:sz w:val="20"/>
                <w:szCs w:val="20"/>
                <w:color w:val="auto"/>
              </w:rPr>
            </w:pPr>
            <w:r>
              <w:rPr>
                <w:rFonts w:ascii="Arial" w:cs="Arial" w:eastAsia="Arial" w:hAnsi="Arial"/>
                <w:sz w:val="18"/>
                <w:szCs w:val="18"/>
                <w:color w:val="auto"/>
              </w:rPr>
              <w:t>Martin D. Madaus</w:t>
            </w:r>
          </w:p>
        </w:tc>
        <w:tc>
          <w:tcPr>
            <w:tcW w:w="420" w:type="dxa"/>
            <w:vAlign w:val="bottom"/>
          </w:tcPr>
          <w:p>
            <w:pPr>
              <w:spacing w:after="0"/>
              <w:rPr>
                <w:sz w:val="20"/>
                <w:szCs w:val="20"/>
                <w:color w:val="auto"/>
              </w:rPr>
            </w:pPr>
          </w:p>
        </w:tc>
        <w:tc>
          <w:tcPr>
            <w:tcW w:w="3140" w:type="dxa"/>
            <w:vAlign w:val="bottom"/>
          </w:tcPr>
          <w:p>
            <w:pPr>
              <w:jc w:val="right"/>
              <w:ind w:right="990"/>
              <w:spacing w:after="0"/>
              <w:rPr>
                <w:sz w:val="20"/>
                <w:szCs w:val="20"/>
                <w:color w:val="auto"/>
              </w:rPr>
            </w:pPr>
            <w:r>
              <w:rPr>
                <w:rFonts w:ascii="Arial" w:cs="Arial" w:eastAsia="Arial" w:hAnsi="Arial"/>
                <w:sz w:val="18"/>
                <w:szCs w:val="18"/>
                <w:color w:val="auto"/>
              </w:rPr>
              <w:t>127,779</w:t>
            </w:r>
          </w:p>
        </w:tc>
        <w:tc>
          <w:tcPr>
            <w:tcW w:w="400" w:type="dxa"/>
            <w:vAlign w:val="bottom"/>
          </w:tcPr>
          <w:p>
            <w:pPr>
              <w:spacing w:after="0"/>
              <w:rPr>
                <w:sz w:val="20"/>
                <w:szCs w:val="20"/>
                <w:color w:val="auto"/>
              </w:rPr>
            </w:pPr>
          </w:p>
        </w:tc>
        <w:tc>
          <w:tcPr>
            <w:tcW w:w="3720" w:type="dxa"/>
            <w:vAlign w:val="bottom"/>
          </w:tcPr>
          <w:p>
            <w:pPr>
              <w:jc w:val="right"/>
              <w:ind w:right="1550"/>
              <w:spacing w:after="0"/>
              <w:rPr>
                <w:sz w:val="20"/>
                <w:szCs w:val="20"/>
                <w:color w:val="auto"/>
              </w:rPr>
            </w:pPr>
            <w:r>
              <w:rPr>
                <w:rFonts w:ascii="Arial" w:cs="Arial" w:eastAsia="Arial" w:hAnsi="Arial"/>
                <w:sz w:val="18"/>
                <w:szCs w:val="18"/>
                <w:color w:val="auto"/>
              </w:rPr>
              <w:t>-</w:t>
            </w:r>
          </w:p>
        </w:tc>
      </w:tr>
    </w:tbl>
    <w:p>
      <w:pPr>
        <w:spacing w:after="0" w:line="282" w:lineRule="exact"/>
        <w:rPr>
          <w:sz w:val="20"/>
          <w:szCs w:val="20"/>
          <w:color w:val="auto"/>
        </w:rPr>
      </w:pPr>
    </w:p>
    <w:p>
      <w:pPr>
        <w:ind w:right="160" w:firstLine="180"/>
        <w:spacing w:after="0" w:line="248" w:lineRule="auto"/>
        <w:rPr>
          <w:sz w:val="20"/>
          <w:szCs w:val="20"/>
          <w:color w:val="auto"/>
        </w:rPr>
      </w:pPr>
      <w:r>
        <w:rPr>
          <w:rFonts w:ascii="Arial" w:cs="Arial" w:eastAsia="Arial" w:hAnsi="Arial"/>
          <w:sz w:val="16"/>
          <w:szCs w:val="16"/>
          <w:color w:val="auto"/>
        </w:rPr>
        <w:t>Accordingly, after consideration of these voting results and other factors, the Company’s board of directors has determined that the Company will hold future non-binding, advisory votes of stockholders to approve the compensation of the named executive officers on an annual basis until the next non-</w:t>
      </w:r>
    </w:p>
    <w:p>
      <w:pPr>
        <w:spacing w:after="0" w:line="226" w:lineRule="auto"/>
        <w:rPr>
          <w:sz w:val="20"/>
          <w:szCs w:val="20"/>
          <w:color w:val="auto"/>
        </w:rPr>
      </w:pPr>
      <w:r>
        <w:rPr>
          <w:rFonts w:ascii="Arial" w:cs="Arial" w:eastAsia="Arial" w:hAnsi="Arial"/>
          <w:sz w:val="18"/>
          <w:szCs w:val="18"/>
          <w:color w:val="auto"/>
        </w:rPr>
        <w:t>binding stockholder vote on the frequency of stockholder votes on executive compensation, or until the Company’s board of directors otherwise determines a different frequency for such non-binding votes.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4"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Exhibits.</w:t>
      </w:r>
    </w:p>
    <w:p>
      <w:pPr>
        <w:spacing w:after="0" w:line="250"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b w:val="1"/>
          <w:bCs w:val="1"/>
          <w:color w:val="auto"/>
        </w:rPr>
        <w:t>Exhibit</w:t>
      </w:r>
    </w:p>
    <w:p>
      <w:pPr>
        <w:ind w:left="560"/>
        <w:spacing w:after="0"/>
        <w:rPr>
          <w:rFonts w:ascii="Arial" w:cs="Arial" w:eastAsia="Arial" w:hAnsi="Arial"/>
          <w:sz w:val="18"/>
          <w:szCs w:val="18"/>
          <w:color w:val="auto"/>
        </w:rPr>
      </w:pPr>
      <w:r>
        <w:rPr>
          <w:rFonts w:ascii="Arial" w:cs="Arial" w:eastAsia="Arial" w:hAnsi="Arial"/>
          <w:sz w:val="18"/>
          <w:szCs w:val="18"/>
          <w:b w:val="1"/>
          <w:bCs w:val="1"/>
          <w:color w:val="auto"/>
        </w:rPr>
        <w:t>No.</w:t>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Standard BioTools Inc. Amended and Restated 2011 Equity Incentive Plan.</w:t>
      </w:r>
    </w:p>
    <w:p>
      <w:pPr>
        <w:spacing w:after="0" w:line="23" w:lineRule="exact"/>
        <w:rPr>
          <w:sz w:val="20"/>
          <w:szCs w:val="20"/>
          <w:color w:val="auto"/>
        </w:rPr>
      </w:pPr>
    </w:p>
    <w:p>
      <w:pPr>
        <w:ind w:left="1560" w:hanging="1534"/>
        <w:spacing w:after="0"/>
        <w:tabs>
          <w:tab w:leader="none" w:pos="156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64"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compensation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1039495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1143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sectPr>
      </w:pPr>
    </w:p>
    <w:bookmarkStart w:id="3" w:name="page4"/>
    <w:bookmarkEnd w:id="3"/>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16" w:lineRule="exact"/>
        <w:rPr>
          <w:sz w:val="20"/>
          <w:szCs w:val="20"/>
          <w:color w:val="auto"/>
        </w:rPr>
      </w:pPr>
    </w:p>
    <w:p>
      <w:pPr>
        <w:ind w:right="640" w:firstLine="324"/>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Date: June 16, 2023</w:t>
            </w:r>
          </w:p>
        </w:tc>
        <w:tc>
          <w:tcPr>
            <w:tcW w:w="8040" w:type="dxa"/>
            <w:vAlign w:val="bottom"/>
            <w:gridSpan w:val="2"/>
          </w:tcPr>
          <w:p>
            <w:pPr>
              <w:ind w:left="1740"/>
              <w:spacing w:after="0"/>
              <w:rPr>
                <w:sz w:val="20"/>
                <w:szCs w:val="20"/>
                <w:color w:val="auto"/>
              </w:rPr>
            </w:pPr>
            <w:r>
              <w:rPr>
                <w:rFonts w:ascii="Arial" w:cs="Arial" w:eastAsia="Arial" w:hAnsi="Arial"/>
                <w:sz w:val="18"/>
                <w:szCs w:val="18"/>
                <w:color w:val="auto"/>
              </w:rPr>
              <w:t>STANDARD BIOTOOLS INC.</w:t>
            </w:r>
          </w:p>
        </w:tc>
      </w:tr>
      <w:tr>
        <w:trPr>
          <w:trHeight w:val="453"/>
        </w:trPr>
        <w:tc>
          <w:tcPr>
            <w:tcW w:w="3180" w:type="dxa"/>
            <w:vAlign w:val="bottom"/>
          </w:tcPr>
          <w:p>
            <w:pPr>
              <w:spacing w:after="0"/>
              <w:rPr>
                <w:sz w:val="24"/>
                <w:szCs w:val="24"/>
                <w:color w:val="auto"/>
              </w:rPr>
            </w:pPr>
          </w:p>
        </w:tc>
        <w:tc>
          <w:tcPr>
            <w:tcW w:w="2660" w:type="dxa"/>
            <w:vAlign w:val="bottom"/>
          </w:tcPr>
          <w:p>
            <w:pPr>
              <w:ind w:left="174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Jeffrey Black</w:t>
            </w:r>
          </w:p>
        </w:tc>
      </w:tr>
      <w:tr>
        <w:trPr>
          <w:trHeight w:val="229"/>
        </w:trPr>
        <w:tc>
          <w:tcPr>
            <w:tcW w:w="3180" w:type="dxa"/>
            <w:vAlign w:val="bottom"/>
          </w:tcPr>
          <w:p>
            <w:pPr>
              <w:spacing w:after="0"/>
              <w:rPr>
                <w:sz w:val="19"/>
                <w:szCs w:val="19"/>
                <w:color w:val="auto"/>
              </w:rPr>
            </w:pPr>
          </w:p>
        </w:tc>
        <w:tc>
          <w:tcPr>
            <w:tcW w:w="2660" w:type="dxa"/>
            <w:vAlign w:val="bottom"/>
          </w:tcPr>
          <w:p>
            <w:pPr>
              <w:ind w:left="1740"/>
              <w:spacing w:after="0"/>
              <w:rPr>
                <w:sz w:val="20"/>
                <w:szCs w:val="20"/>
                <w:color w:val="auto"/>
              </w:rPr>
            </w:pPr>
            <w:r>
              <w:rPr>
                <w:rFonts w:ascii="Arial" w:cs="Arial" w:eastAsia="Arial" w:hAnsi="Arial"/>
                <w:sz w:val="18"/>
                <w:szCs w:val="18"/>
                <w:color w:val="auto"/>
              </w:rPr>
              <w:t>Name:</w:t>
            </w:r>
          </w:p>
        </w:tc>
        <w:tc>
          <w:tcPr>
            <w:tcW w:w="5380" w:type="dxa"/>
            <w:vAlign w:val="bottom"/>
          </w:tcPr>
          <w:p>
            <w:pPr>
              <w:ind w:left="20"/>
              <w:spacing w:after="0"/>
              <w:rPr>
                <w:sz w:val="20"/>
                <w:szCs w:val="20"/>
                <w:color w:val="auto"/>
              </w:rPr>
            </w:pPr>
            <w:r>
              <w:rPr>
                <w:rFonts w:ascii="Arial" w:cs="Arial" w:eastAsia="Arial" w:hAnsi="Arial"/>
                <w:sz w:val="18"/>
                <w:szCs w:val="18"/>
                <w:color w:val="auto"/>
              </w:rPr>
              <w:t>Jeffrey Black</w:t>
            </w:r>
          </w:p>
        </w:tc>
      </w:tr>
      <w:tr>
        <w:trPr>
          <w:trHeight w:val="230"/>
        </w:trPr>
        <w:tc>
          <w:tcPr>
            <w:tcW w:w="3180" w:type="dxa"/>
            <w:vAlign w:val="bottom"/>
          </w:tcPr>
          <w:p>
            <w:pPr>
              <w:spacing w:after="0"/>
              <w:rPr>
                <w:sz w:val="20"/>
                <w:szCs w:val="20"/>
                <w:color w:val="auto"/>
              </w:rPr>
            </w:pPr>
          </w:p>
        </w:tc>
        <w:tc>
          <w:tcPr>
            <w:tcW w:w="2660" w:type="dxa"/>
            <w:vAlign w:val="bottom"/>
          </w:tcPr>
          <w:p>
            <w:pPr>
              <w:ind w:left="1740"/>
              <w:spacing w:after="0"/>
              <w:rPr>
                <w:sz w:val="20"/>
                <w:szCs w:val="20"/>
                <w:color w:val="auto"/>
              </w:rPr>
            </w:pPr>
            <w:r>
              <w:rPr>
                <w:rFonts w:ascii="Arial" w:cs="Arial" w:eastAsia="Arial" w:hAnsi="Arial"/>
                <w:sz w:val="18"/>
                <w:szCs w:val="18"/>
                <w:color w:val="auto"/>
              </w:rPr>
              <w:t>Title:</w:t>
            </w:r>
          </w:p>
        </w:tc>
        <w:tc>
          <w:tcPr>
            <w:tcW w:w="53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4" w:name="page5"/>
    <w:bookmarkEnd w:id="4"/>
    <w:p>
      <w:pPr>
        <w:ind w:left="10320"/>
        <w:spacing w:after="0"/>
        <w:rPr>
          <w:sz w:val="20"/>
          <w:szCs w:val="20"/>
          <w:color w:val="auto"/>
        </w:rPr>
      </w:pPr>
      <w:r>
        <w:rPr>
          <w:rFonts w:ascii="Arial" w:cs="Arial" w:eastAsia="Arial" w:hAnsi="Arial"/>
          <w:sz w:val="16"/>
          <w:szCs w:val="16"/>
          <w:b w:val="1"/>
          <w:bCs w:val="1"/>
          <w:color w:val="auto"/>
        </w:rPr>
        <w:t>Exhibit 10.1</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STANDARD BIOTOOLS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2011 EQUITY INCENTIVE PLAN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(as amended and restated effective June 3, 2019,</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and as further amended effective June 23, 2020, May 25, 2021 and June 14 2023)</w:t>
      </w:r>
    </w:p>
    <w:p>
      <w:pPr>
        <w:spacing w:after="0" w:line="200" w:lineRule="exact"/>
        <w:rPr>
          <w:sz w:val="20"/>
          <w:szCs w:val="20"/>
          <w:color w:val="auto"/>
        </w:rPr>
      </w:pPr>
    </w:p>
    <w:p>
      <w:pPr>
        <w:spacing w:after="0" w:line="277" w:lineRule="exact"/>
        <w:rPr>
          <w:sz w:val="20"/>
          <w:szCs w:val="20"/>
          <w:color w:val="auto"/>
        </w:rPr>
      </w:pPr>
    </w:p>
    <w:p>
      <w:pPr>
        <w:jc w:val="both"/>
        <w:ind w:left="660" w:hanging="652"/>
        <w:spacing w:after="0" w:line="253" w:lineRule="auto"/>
        <w:tabs>
          <w:tab w:leader="none" w:pos="660"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Purposes of the Plan</w:t>
      </w:r>
      <w:r>
        <w:rPr>
          <w:rFonts w:ascii="Arial" w:cs="Arial" w:eastAsia="Arial" w:hAnsi="Arial"/>
          <w:sz w:val="19"/>
          <w:szCs w:val="19"/>
          <w:color w:val="auto"/>
        </w:rPr>
        <w:t>. The purposes of this Plan are (a) to attract and retain the best available personnel for positions of substantial responsibility, (b) to provide additional incentive to Employees, Directors and Consultants, and (c) to promote the success of the Company’s business. The Plan permits the grant of Incentive Stock Options, Nonstatutory Stock Options, Restricted Stock, Restricted Stock Units, Stock Appreciation Rights, Performance Units and Performance Shares.</w:t>
      </w:r>
    </w:p>
    <w:p>
      <w:pPr>
        <w:spacing w:after="0" w:line="199" w:lineRule="exact"/>
        <w:rPr>
          <w:rFonts w:ascii="Arial" w:cs="Arial" w:eastAsia="Arial" w:hAnsi="Arial"/>
          <w:sz w:val="19"/>
          <w:szCs w:val="19"/>
          <w:color w:val="auto"/>
        </w:rPr>
      </w:pPr>
    </w:p>
    <w:p>
      <w:pPr>
        <w:ind w:left="660" w:hanging="652"/>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As used herein, the following definitions will apply:</w:t>
      </w:r>
    </w:p>
    <w:p>
      <w:pPr>
        <w:spacing w:after="0" w:line="242" w:lineRule="exact"/>
        <w:rPr>
          <w:rFonts w:ascii="Arial" w:cs="Arial" w:eastAsia="Arial" w:hAnsi="Arial"/>
          <w:sz w:val="20"/>
          <w:szCs w:val="20"/>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or any of its Committees as may administer the Plan in accordance with Section 4 hereof.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 means June 14, 2023.</w:t>
      </w:r>
    </w:p>
    <w:p>
      <w:pPr>
        <w:spacing w:after="0" w:line="242" w:lineRule="exact"/>
        <w:rPr>
          <w:rFonts w:ascii="Arial" w:cs="Arial" w:eastAsia="Arial" w:hAnsi="Arial"/>
          <w:sz w:val="20"/>
          <w:szCs w:val="20"/>
          <w:color w:val="auto"/>
        </w:rPr>
      </w:pPr>
    </w:p>
    <w:p>
      <w:pPr>
        <w:jc w:val="both"/>
        <w:ind w:left="1300" w:hanging="644"/>
        <w:spacing w:after="0" w:line="237" w:lineRule="auto"/>
        <w:tabs>
          <w:tab w:leader="none" w:pos="1300" w:val="left"/>
        </w:tabs>
        <w:numPr>
          <w:ilvl w:val="1"/>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Laws</w:t>
      </w:r>
      <w:r>
        <w:rPr>
          <w:rFonts w:ascii="Arial" w:cs="Arial" w:eastAsia="Arial" w:hAnsi="Arial"/>
          <w:sz w:val="20"/>
          <w:szCs w:val="20"/>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212" w:lineRule="exact"/>
        <w:rPr>
          <w:rFonts w:ascii="Arial" w:cs="Arial" w:eastAsia="Arial" w:hAnsi="Arial"/>
          <w:sz w:val="20"/>
          <w:szCs w:val="20"/>
          <w:color w:val="auto"/>
        </w:rPr>
      </w:pPr>
    </w:p>
    <w:p>
      <w:pPr>
        <w:ind w:left="1300" w:hanging="644"/>
        <w:spacing w:after="0" w:line="260" w:lineRule="auto"/>
        <w:tabs>
          <w:tab w:leader="none" w:pos="1300" w:val="left"/>
        </w:tabs>
        <w:numPr>
          <w:ilvl w:val="1"/>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Award</w:t>
      </w:r>
      <w:r>
        <w:rPr>
          <w:rFonts w:ascii="Arial" w:cs="Arial" w:eastAsia="Arial" w:hAnsi="Arial"/>
          <w:sz w:val="20"/>
          <w:szCs w:val="20"/>
          <w:color w:val="auto"/>
        </w:rPr>
        <w:t>” means, individually or collectively, a grant under the Plan of Options, Stock Appreciation Rights, Restricted Stock, Restricted Stock Units, Performance Units or Performance Shares.</w:t>
      </w:r>
    </w:p>
    <w:p>
      <w:pPr>
        <w:spacing w:after="0" w:line="190" w:lineRule="exact"/>
        <w:rPr>
          <w:rFonts w:ascii="Arial" w:cs="Arial" w:eastAsia="Arial" w:hAnsi="Arial"/>
          <w:sz w:val="20"/>
          <w:szCs w:val="20"/>
          <w:color w:val="auto"/>
        </w:rPr>
      </w:pPr>
    </w:p>
    <w:p>
      <w:pPr>
        <w:ind w:left="1300" w:hanging="644"/>
        <w:spacing w:after="0" w:line="260" w:lineRule="auto"/>
        <w:tabs>
          <w:tab w:leader="none" w:pos="1300" w:val="left"/>
        </w:tabs>
        <w:numPr>
          <w:ilvl w:val="1"/>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Award Agreement</w:t>
      </w:r>
      <w:r>
        <w:rPr>
          <w:rFonts w:ascii="Arial" w:cs="Arial" w:eastAsia="Arial" w:hAnsi="Arial"/>
          <w:sz w:val="20"/>
          <w:szCs w:val="20"/>
          <w:color w:val="auto"/>
        </w:rPr>
        <w:t>” means the written or electronic agreement setting forth the terms and provisions applicable to each Award granted under the Plan. The Award Agreement is subject to the terms and conditions of the Plan.</w:t>
      </w:r>
    </w:p>
    <w:p>
      <w:pPr>
        <w:spacing w:after="0" w:line="190" w:lineRule="exact"/>
        <w:rPr>
          <w:rFonts w:ascii="Arial" w:cs="Arial" w:eastAsia="Arial" w:hAnsi="Arial"/>
          <w:sz w:val="20"/>
          <w:szCs w:val="20"/>
          <w:color w:val="auto"/>
        </w:rPr>
      </w:pPr>
    </w:p>
    <w:p>
      <w:pPr>
        <w:ind w:left="1300" w:hanging="644"/>
        <w:spacing w:after="0"/>
        <w:tabs>
          <w:tab w:leader="none" w:pos="1300" w:val="left"/>
        </w:tabs>
        <w:numPr>
          <w:ilvl w:val="1"/>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Directors of the Company.</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1"/>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means the occurrence of any of the following events:</w:t>
      </w:r>
    </w:p>
    <w:p>
      <w:pPr>
        <w:spacing w:after="0" w:line="242" w:lineRule="exact"/>
        <w:rPr>
          <w:rFonts w:ascii="Arial" w:cs="Arial" w:eastAsia="Arial" w:hAnsi="Arial"/>
          <w:sz w:val="20"/>
          <w:szCs w:val="20"/>
          <w:color w:val="auto"/>
        </w:rPr>
      </w:pPr>
    </w:p>
    <w:p>
      <w:pPr>
        <w:jc w:val="both"/>
        <w:ind w:left="1960" w:hanging="842"/>
        <w:spacing w:after="0" w:line="236" w:lineRule="auto"/>
        <w:tabs>
          <w:tab w:leader="none" w:pos="1960" w:val="left"/>
        </w:tabs>
        <w:numPr>
          <w:ilvl w:val="2"/>
          <w:numId w:val="9"/>
        </w:numPr>
        <w:rPr>
          <w:rFonts w:ascii="Arial" w:cs="Arial" w:eastAsia="Arial" w:hAnsi="Arial"/>
          <w:sz w:val="20"/>
          <w:szCs w:val="20"/>
          <w:color w:val="auto"/>
        </w:rPr>
      </w:pPr>
      <w:r>
        <w:rPr>
          <w:rFonts w:ascii="Arial" w:cs="Arial" w:eastAsia="Arial" w:hAnsi="Arial"/>
          <w:sz w:val="20"/>
          <w:szCs w:val="20"/>
          <w:color w:val="auto"/>
        </w:rPr>
        <w:t>A change in the ownership of the Company which occurs on the date that any one person, or more than one person acting as a group (“</w:t>
      </w:r>
      <w:r>
        <w:rPr>
          <w:rFonts w:ascii="Arial" w:cs="Arial" w:eastAsia="Arial" w:hAnsi="Arial"/>
          <w:sz w:val="20"/>
          <w:szCs w:val="20"/>
          <w:u w:val="single" w:color="auto"/>
          <w:color w:val="auto"/>
        </w:rPr>
        <w:t>Person</w:t>
      </w:r>
      <w:r>
        <w:rPr>
          <w:rFonts w:ascii="Arial" w:cs="Arial" w:eastAsia="Arial" w:hAnsi="Arial"/>
          <w:sz w:val="20"/>
          <w:szCs w:val="20"/>
          <w:color w:val="auto"/>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w:t>
      </w:r>
    </w:p>
    <w:p>
      <w:pPr>
        <w:spacing w:after="0" w:line="209" w:lineRule="exact"/>
        <w:rPr>
          <w:rFonts w:ascii="Arial" w:cs="Arial" w:eastAsia="Arial" w:hAnsi="Arial"/>
          <w:sz w:val="20"/>
          <w:szCs w:val="20"/>
          <w:color w:val="auto"/>
        </w:rPr>
      </w:pPr>
    </w:p>
    <w:p>
      <w:pPr>
        <w:ind w:left="1960" w:hanging="898"/>
        <w:spacing w:after="0" w:line="260" w:lineRule="auto"/>
        <w:tabs>
          <w:tab w:leader="none" w:pos="1960" w:val="left"/>
        </w:tabs>
        <w:numPr>
          <w:ilvl w:val="2"/>
          <w:numId w:val="9"/>
        </w:numPr>
        <w:rPr>
          <w:rFonts w:ascii="Arial" w:cs="Arial" w:eastAsia="Arial" w:hAnsi="Arial"/>
          <w:sz w:val="20"/>
          <w:szCs w:val="20"/>
          <w:color w:val="auto"/>
        </w:rPr>
      </w:pPr>
      <w:r>
        <w:rPr>
          <w:rFonts w:ascii="Arial" w:cs="Arial" w:eastAsia="Arial" w:hAnsi="Arial"/>
          <w:sz w:val="20"/>
          <w:szCs w:val="20"/>
          <w:color w:val="auto"/>
        </w:rPr>
        <w:t>A change in the effective control of the Company which occurs on the date that a majority of members of the Board is replaced during any twelve (12)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04" w:right="339" w:bottom="1440" w:gutter="0" w:footer="0" w:header="0"/>
        </w:sectPr>
      </w:pPr>
    </w:p>
    <w:bookmarkStart w:id="5" w:name="page6"/>
    <w:bookmarkEnd w:id="5"/>
    <w:p>
      <w:pPr>
        <w:jc w:val="both"/>
        <w:ind w:left="1960"/>
        <w:spacing w:after="0" w:line="237" w:lineRule="auto"/>
        <w:rPr>
          <w:sz w:val="20"/>
          <w:szCs w:val="20"/>
          <w:color w:val="auto"/>
        </w:rPr>
      </w:pPr>
      <w:r>
        <w:rPr>
          <w:rFonts w:ascii="Arial" w:cs="Arial" w:eastAsia="Arial" w:hAnsi="Arial"/>
          <w:sz w:val="20"/>
          <w:szCs w:val="20"/>
          <w:color w:val="auto"/>
        </w:rPr>
        <w:t>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226" w:lineRule="exact"/>
        <w:rPr>
          <w:sz w:val="20"/>
          <w:szCs w:val="20"/>
          <w:color w:val="auto"/>
        </w:rPr>
      </w:pPr>
    </w:p>
    <w:p>
      <w:pPr>
        <w:jc w:val="both"/>
        <w:ind w:left="1960" w:hanging="952"/>
        <w:spacing w:after="0" w:line="260" w:lineRule="auto"/>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20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20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210" w:lineRule="exact"/>
        <w:rPr>
          <w:sz w:val="20"/>
          <w:szCs w:val="20"/>
          <w:color w:val="auto"/>
        </w:rPr>
      </w:pPr>
    </w:p>
    <w:p>
      <w:pPr>
        <w:jc w:val="both"/>
        <w:ind w:left="1300" w:hanging="644"/>
        <w:spacing w:after="0" w:line="333"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52" w:lineRule="exact"/>
        <w:rPr>
          <w:rFonts w:ascii="Arial" w:cs="Arial" w:eastAsia="Arial" w:hAnsi="Arial"/>
          <w:sz w:val="16"/>
          <w:szCs w:val="16"/>
          <w:color w:val="auto"/>
        </w:rPr>
      </w:pPr>
    </w:p>
    <w:p>
      <w:pPr>
        <w:ind w:left="1300" w:hanging="644"/>
        <w:spacing w:after="0" w:line="246" w:lineRule="auto"/>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means a committee of Directors or of other individuals satisfying Applicable Laws appointed by the Board in accordance with Section 4 hereof.</w:t>
      </w:r>
    </w:p>
    <w:p>
      <w:pPr>
        <w:spacing w:after="0" w:line="217"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Stock</w:t>
      </w:r>
      <w:r>
        <w:rPr>
          <w:rFonts w:ascii="Arial" w:cs="Arial" w:eastAsia="Arial" w:hAnsi="Arial"/>
          <w:sz w:val="20"/>
          <w:szCs w:val="20"/>
          <w:color w:val="auto"/>
        </w:rPr>
        <w:t>” means the common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6" w:name="page7"/>
    <w:bookmarkEnd w:id="6"/>
    <w:p>
      <w:pPr>
        <w:spacing w:after="0" w:line="222" w:lineRule="exact"/>
        <w:rPr>
          <w:sz w:val="20"/>
          <w:szCs w:val="20"/>
          <w:color w:val="auto"/>
        </w:rPr>
      </w:pPr>
    </w:p>
    <w:p>
      <w:pPr>
        <w:ind w:left="644" w:hanging="644"/>
        <w:spacing w:after="0"/>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Standard BioTools Inc. (fka Fluidigm Corporation), a Delaware corporation, or any successor thereto.</w:t>
      </w:r>
    </w:p>
    <w:p>
      <w:pPr>
        <w:spacing w:after="0" w:line="252" w:lineRule="exact"/>
        <w:rPr>
          <w:rFonts w:ascii="Arial" w:cs="Arial" w:eastAsia="Arial" w:hAnsi="Arial"/>
          <w:sz w:val="18"/>
          <w:szCs w:val="18"/>
          <w:color w:val="auto"/>
        </w:rPr>
      </w:pPr>
    </w:p>
    <w:p>
      <w:pPr>
        <w:ind w:left="644" w:hanging="644"/>
        <w:spacing w:after="0" w:line="260" w:lineRule="auto"/>
        <w:tabs>
          <w:tab w:leader="none" w:pos="644" w:val="left"/>
        </w:tabs>
        <w:numPr>
          <w:ilvl w:val="0"/>
          <w:numId w:val="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Consultant</w:t>
      </w:r>
      <w:r>
        <w:rPr>
          <w:rFonts w:ascii="Arial" w:cs="Arial" w:eastAsia="Arial" w:hAnsi="Arial"/>
          <w:sz w:val="20"/>
          <w:szCs w:val="20"/>
          <w:color w:val="auto"/>
        </w:rPr>
        <w:t>” means any person, including an advisor, engaged by the Company or a Parent or Subsidiary to render services to such entity.</w:t>
      </w:r>
    </w:p>
    <w:p>
      <w:pPr>
        <w:spacing w:after="0" w:line="190" w:lineRule="exact"/>
        <w:rPr>
          <w:rFonts w:ascii="Arial" w:cs="Arial" w:eastAsia="Arial" w:hAnsi="Arial"/>
          <w:sz w:val="20"/>
          <w:szCs w:val="20"/>
          <w:color w:val="auto"/>
        </w:rPr>
      </w:pPr>
    </w:p>
    <w:p>
      <w:pPr>
        <w:ind w:left="644" w:hanging="644"/>
        <w:spacing w:after="0"/>
        <w:tabs>
          <w:tab w:leader="none" w:pos="644" w:val="left"/>
        </w:tabs>
        <w:numPr>
          <w:ilvl w:val="0"/>
          <w:numId w:val="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Director</w:t>
      </w:r>
      <w:r>
        <w:rPr>
          <w:rFonts w:ascii="Arial" w:cs="Arial" w:eastAsia="Arial" w:hAnsi="Arial"/>
          <w:sz w:val="20"/>
          <w:szCs w:val="20"/>
          <w:color w:val="auto"/>
        </w:rPr>
        <w:t>” means a member of the Board.</w:t>
      </w:r>
    </w:p>
    <w:p>
      <w:pPr>
        <w:spacing w:after="0" w:line="242" w:lineRule="exact"/>
        <w:rPr>
          <w:rFonts w:ascii="Arial" w:cs="Arial" w:eastAsia="Arial" w:hAnsi="Arial"/>
          <w:sz w:val="20"/>
          <w:szCs w:val="20"/>
          <w:color w:val="auto"/>
        </w:rPr>
      </w:pPr>
    </w:p>
    <w:p>
      <w:pPr>
        <w:jc w:val="both"/>
        <w:ind w:left="644" w:hanging="644"/>
        <w:spacing w:after="0" w:line="237" w:lineRule="auto"/>
        <w:tabs>
          <w:tab w:leader="none" w:pos="644" w:val="left"/>
        </w:tabs>
        <w:numPr>
          <w:ilvl w:val="0"/>
          <w:numId w:val="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212" w:lineRule="exact"/>
        <w:rPr>
          <w:rFonts w:ascii="Arial" w:cs="Arial" w:eastAsia="Arial" w:hAnsi="Arial"/>
          <w:sz w:val="20"/>
          <w:szCs w:val="20"/>
          <w:color w:val="auto"/>
        </w:rPr>
      </w:pPr>
    </w:p>
    <w:p>
      <w:pPr>
        <w:jc w:val="both"/>
        <w:ind w:left="644" w:hanging="644"/>
        <w:spacing w:after="0" w:line="243" w:lineRule="auto"/>
        <w:tabs>
          <w:tab w:leader="none" w:pos="644" w:val="left"/>
        </w:tabs>
        <w:numPr>
          <w:ilvl w:val="0"/>
          <w:numId w:val="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Employee</w:t>
      </w:r>
      <w:r>
        <w:rPr>
          <w:rFonts w:ascii="Arial" w:cs="Arial" w:eastAsia="Arial" w:hAnsi="Arial"/>
          <w:sz w:val="20"/>
          <w:szCs w:val="20"/>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219" w:lineRule="exact"/>
        <w:rPr>
          <w:rFonts w:ascii="Arial" w:cs="Arial" w:eastAsia="Arial" w:hAnsi="Arial"/>
          <w:sz w:val="20"/>
          <w:szCs w:val="20"/>
          <w:color w:val="auto"/>
        </w:rPr>
      </w:pPr>
    </w:p>
    <w:p>
      <w:pPr>
        <w:ind w:left="644" w:hanging="644"/>
        <w:spacing w:after="0"/>
        <w:tabs>
          <w:tab w:leader="none" w:pos="644" w:val="left"/>
        </w:tabs>
        <w:numPr>
          <w:ilvl w:val="0"/>
          <w:numId w:val="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amended.</w:t>
      </w:r>
    </w:p>
    <w:p>
      <w:pPr>
        <w:spacing w:after="0" w:line="229" w:lineRule="exact"/>
        <w:rPr>
          <w:rFonts w:ascii="Arial" w:cs="Arial" w:eastAsia="Arial" w:hAnsi="Arial"/>
          <w:sz w:val="20"/>
          <w:szCs w:val="20"/>
          <w:color w:val="auto"/>
        </w:rPr>
      </w:pPr>
    </w:p>
    <w:p>
      <w:pPr>
        <w:jc w:val="both"/>
        <w:ind w:left="644" w:hanging="644"/>
        <w:spacing w:after="0" w:line="270" w:lineRule="auto"/>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Program</w:t>
      </w:r>
      <w:r>
        <w:rPr>
          <w:rFonts w:ascii="Arial" w:cs="Arial" w:eastAsia="Arial" w:hAnsi="Arial"/>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85" w:lineRule="exact"/>
        <w:rPr>
          <w:rFonts w:ascii="Arial" w:cs="Arial" w:eastAsia="Arial" w:hAnsi="Arial"/>
          <w:sz w:val="18"/>
          <w:szCs w:val="18"/>
          <w:color w:val="auto"/>
        </w:rPr>
      </w:pPr>
    </w:p>
    <w:p>
      <w:pPr>
        <w:ind w:left="644" w:hanging="644"/>
        <w:spacing w:after="0"/>
        <w:tabs>
          <w:tab w:leader="none" w:pos="644" w:val="left"/>
        </w:tabs>
        <w:numPr>
          <w:ilvl w:val="0"/>
          <w:numId w:val="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Market Value</w:t>
      </w:r>
      <w:r>
        <w:rPr>
          <w:rFonts w:ascii="Arial" w:cs="Arial" w:eastAsia="Arial" w:hAnsi="Arial"/>
          <w:sz w:val="20"/>
          <w:szCs w:val="20"/>
          <w:color w:val="auto"/>
        </w:rPr>
        <w:t>” means, as of any date, the value of Common Stock determined as follows:</w:t>
      </w:r>
    </w:p>
    <w:p>
      <w:pPr>
        <w:spacing w:after="0" w:line="242" w:lineRule="exact"/>
        <w:rPr>
          <w:rFonts w:ascii="Arial" w:cs="Arial" w:eastAsia="Arial" w:hAnsi="Arial"/>
          <w:sz w:val="20"/>
          <w:szCs w:val="20"/>
          <w:color w:val="auto"/>
        </w:rPr>
      </w:pPr>
    </w:p>
    <w:p>
      <w:pPr>
        <w:jc w:val="both"/>
        <w:ind w:left="1304" w:hanging="842"/>
        <w:spacing w:after="0" w:line="266" w:lineRule="auto"/>
        <w:tabs>
          <w:tab w:leader="none" w:pos="13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If there are no trades on such date, the closing price on the latest preceding business day upon which trades occurred shall be the Fair Market Value.</w:t>
      </w:r>
    </w:p>
    <w:p>
      <w:pPr>
        <w:spacing w:after="0" w:line="189" w:lineRule="exact"/>
        <w:rPr>
          <w:rFonts w:ascii="Arial" w:cs="Arial" w:eastAsia="Arial" w:hAnsi="Arial"/>
          <w:sz w:val="18"/>
          <w:szCs w:val="18"/>
          <w:color w:val="auto"/>
        </w:rPr>
      </w:pPr>
    </w:p>
    <w:p>
      <w:pPr>
        <w:jc w:val="both"/>
        <w:ind w:left="1304" w:hanging="898"/>
        <w:spacing w:after="0" w:line="237" w:lineRule="auto"/>
        <w:tabs>
          <w:tab w:leader="none" w:pos="1304" w:val="left"/>
        </w:tabs>
        <w:numPr>
          <w:ilvl w:val="1"/>
          <w:numId w:val="12"/>
        </w:numPr>
        <w:rPr>
          <w:rFonts w:ascii="Arial" w:cs="Arial" w:eastAsia="Arial" w:hAnsi="Arial"/>
          <w:sz w:val="20"/>
          <w:szCs w:val="20"/>
          <w:color w:val="auto"/>
        </w:rPr>
      </w:pPr>
      <w:r>
        <w:rPr>
          <w:rFonts w:ascii="Arial" w:cs="Arial" w:eastAsia="Arial" w:hAnsi="Arial"/>
          <w:sz w:val="20"/>
          <w:szCs w:val="20"/>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such other source as the Administrator deems reliable.</w:t>
      </w:r>
    </w:p>
    <w:p>
      <w:pPr>
        <w:spacing w:after="0" w:line="225" w:lineRule="exact"/>
        <w:rPr>
          <w:rFonts w:ascii="Arial" w:cs="Arial" w:eastAsia="Arial" w:hAnsi="Arial"/>
          <w:sz w:val="20"/>
          <w:szCs w:val="20"/>
          <w:color w:val="auto"/>
        </w:rPr>
      </w:pPr>
    </w:p>
    <w:p>
      <w:pPr>
        <w:ind w:left="1304" w:hanging="952"/>
        <w:spacing w:after="0" w:line="246" w:lineRule="auto"/>
        <w:tabs>
          <w:tab w:leader="none" w:pos="1304" w:val="left"/>
        </w:tabs>
        <w:numPr>
          <w:ilvl w:val="1"/>
          <w:numId w:val="12"/>
        </w:numPr>
        <w:rPr>
          <w:rFonts w:ascii="Arial" w:cs="Arial" w:eastAsia="Arial" w:hAnsi="Arial"/>
          <w:sz w:val="20"/>
          <w:szCs w:val="20"/>
          <w:color w:val="auto"/>
        </w:rPr>
      </w:pPr>
      <w:r>
        <w:rPr>
          <w:rFonts w:ascii="Arial" w:cs="Arial" w:eastAsia="Arial" w:hAnsi="Arial"/>
          <w:sz w:val="20"/>
          <w:szCs w:val="20"/>
          <w:color w:val="auto"/>
        </w:rPr>
        <w:t>In the absence of an established market for the Common Stock, the Fair Market Value will be determined in good faith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44"/>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584"/>
          </w:cols>
          <w:pgMar w:left="976" w:top="1440" w:right="339" w:bottom="1440" w:gutter="0" w:footer="0" w:header="0"/>
        </w:sectPr>
      </w:pPr>
    </w:p>
    <w:bookmarkStart w:id="7" w:name="page8"/>
    <w:bookmarkEnd w:id="7"/>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Year</w:t>
      </w:r>
      <w:r>
        <w:rPr>
          <w:rFonts w:ascii="Arial" w:cs="Arial" w:eastAsia="Arial" w:hAnsi="Arial"/>
          <w:sz w:val="20"/>
          <w:szCs w:val="20"/>
          <w:color w:val="auto"/>
        </w:rPr>
        <w:t>” means the fiscal year of the Company.</w:t>
      </w:r>
    </w:p>
    <w:p>
      <w:pPr>
        <w:spacing w:after="0" w:line="229" w:lineRule="exact"/>
        <w:rPr>
          <w:sz w:val="20"/>
          <w:szCs w:val="20"/>
          <w:color w:val="auto"/>
        </w:rPr>
      </w:pPr>
    </w:p>
    <w:p>
      <w:pPr>
        <w:ind w:left="644" w:hanging="644"/>
        <w:spacing w:after="0" w:line="260" w:lineRule="auto"/>
        <w:tabs>
          <w:tab w:leader="none" w:pos="644"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Incentive Stock Option</w:t>
      </w:r>
      <w:r>
        <w:rPr>
          <w:rFonts w:ascii="Arial" w:cs="Arial" w:eastAsia="Arial" w:hAnsi="Arial"/>
          <w:sz w:val="20"/>
          <w:szCs w:val="20"/>
          <w:color w:val="auto"/>
        </w:rPr>
        <w:t>” means an Option intended to qualify as an incentive stock option within the meaning of Section 422 of the Code and the regulations promulgated thereunder.</w:t>
      </w:r>
    </w:p>
    <w:p>
      <w:pPr>
        <w:spacing w:after="0" w:line="190" w:lineRule="exact"/>
        <w:rPr>
          <w:rFonts w:ascii="Arial" w:cs="Arial" w:eastAsia="Arial" w:hAnsi="Arial"/>
          <w:sz w:val="20"/>
          <w:szCs w:val="20"/>
          <w:color w:val="auto"/>
        </w:rPr>
      </w:pPr>
    </w:p>
    <w:p>
      <w:pPr>
        <w:ind w:left="644" w:hanging="644"/>
        <w:spacing w:after="0"/>
        <w:tabs>
          <w:tab w:leader="none" w:pos="644"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Inside Director</w:t>
      </w:r>
      <w:r>
        <w:rPr>
          <w:rFonts w:ascii="Arial" w:cs="Arial" w:eastAsia="Arial" w:hAnsi="Arial"/>
          <w:sz w:val="20"/>
          <w:szCs w:val="20"/>
          <w:color w:val="auto"/>
        </w:rPr>
        <w:t>” means a Director who is an Employee.</w:t>
      </w:r>
    </w:p>
    <w:p>
      <w:pPr>
        <w:spacing w:after="0" w:line="242" w:lineRule="exact"/>
        <w:rPr>
          <w:rFonts w:ascii="Arial" w:cs="Arial" w:eastAsia="Arial" w:hAnsi="Arial"/>
          <w:sz w:val="20"/>
          <w:szCs w:val="20"/>
          <w:color w:val="auto"/>
        </w:rPr>
      </w:pPr>
    </w:p>
    <w:p>
      <w:pPr>
        <w:ind w:left="644" w:hanging="644"/>
        <w:spacing w:after="0" w:line="246" w:lineRule="auto"/>
        <w:tabs>
          <w:tab w:leader="none" w:pos="644"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Nonstatutory Stock Option</w:t>
      </w:r>
      <w:r>
        <w:rPr>
          <w:rFonts w:ascii="Arial" w:cs="Arial" w:eastAsia="Arial" w:hAnsi="Arial"/>
          <w:sz w:val="20"/>
          <w:szCs w:val="20"/>
          <w:color w:val="auto"/>
        </w:rPr>
        <w:t>” means an Option that by its terms does not qualify or is not intended to qualify as an Incentive Stock Option.</w:t>
      </w:r>
    </w:p>
    <w:p>
      <w:pPr>
        <w:spacing w:after="0" w:line="217" w:lineRule="exact"/>
        <w:rPr>
          <w:rFonts w:ascii="Arial" w:cs="Arial" w:eastAsia="Arial" w:hAnsi="Arial"/>
          <w:sz w:val="20"/>
          <w:szCs w:val="20"/>
          <w:color w:val="auto"/>
        </w:rPr>
      </w:pPr>
    </w:p>
    <w:p>
      <w:pPr>
        <w:ind w:left="644" w:hanging="644"/>
        <w:spacing w:after="0" w:line="246" w:lineRule="auto"/>
        <w:tabs>
          <w:tab w:leader="none" w:pos="644"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Officer</w:t>
      </w:r>
      <w:r>
        <w:rPr>
          <w:rFonts w:ascii="Arial" w:cs="Arial" w:eastAsia="Arial" w:hAnsi="Arial"/>
          <w:sz w:val="20"/>
          <w:szCs w:val="20"/>
          <w:color w:val="auto"/>
        </w:rPr>
        <w:t>” means a person who is an officer of the Company within the meaning of Section 16 of the Exchange Act and the rules and regulations promulgated thereunder.</w:t>
      </w:r>
    </w:p>
    <w:p>
      <w:pPr>
        <w:spacing w:after="0" w:line="203" w:lineRule="exact"/>
        <w:rPr>
          <w:rFonts w:ascii="Arial" w:cs="Arial" w:eastAsia="Arial" w:hAnsi="Arial"/>
          <w:sz w:val="20"/>
          <w:szCs w:val="20"/>
          <w:color w:val="auto"/>
        </w:rPr>
      </w:pPr>
    </w:p>
    <w:p>
      <w:pPr>
        <w:ind w:left="644" w:hanging="644"/>
        <w:spacing w:after="0"/>
        <w:tabs>
          <w:tab w:leader="none" w:pos="644"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w:t>
      </w:r>
      <w:r>
        <w:rPr>
          <w:rFonts w:ascii="Arial" w:cs="Arial" w:eastAsia="Arial" w:hAnsi="Arial"/>
          <w:sz w:val="20"/>
          <w:szCs w:val="20"/>
          <w:color w:val="auto"/>
        </w:rPr>
        <w:t>” means a stock option granted pursuant to the Plan.</w:t>
      </w:r>
    </w:p>
    <w:p>
      <w:pPr>
        <w:spacing w:after="0" w:line="242" w:lineRule="exact"/>
        <w:rPr>
          <w:rFonts w:ascii="Arial" w:cs="Arial" w:eastAsia="Arial" w:hAnsi="Arial"/>
          <w:sz w:val="20"/>
          <w:szCs w:val="20"/>
          <w:color w:val="auto"/>
        </w:rPr>
      </w:pPr>
    </w:p>
    <w:p>
      <w:pPr>
        <w:ind w:left="644" w:hanging="644"/>
        <w:spacing w:after="0"/>
        <w:tabs>
          <w:tab w:leader="none" w:pos="644"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Outside Director</w:t>
      </w:r>
      <w:r>
        <w:rPr>
          <w:rFonts w:ascii="Arial" w:cs="Arial" w:eastAsia="Arial" w:hAnsi="Arial"/>
          <w:sz w:val="20"/>
          <w:szCs w:val="20"/>
          <w:color w:val="auto"/>
        </w:rPr>
        <w:t>” means a Director who is not an Employee.</w:t>
      </w:r>
    </w:p>
    <w:p>
      <w:pPr>
        <w:spacing w:after="0" w:line="229" w:lineRule="exact"/>
        <w:rPr>
          <w:rFonts w:ascii="Arial" w:cs="Arial" w:eastAsia="Arial" w:hAnsi="Arial"/>
          <w:sz w:val="20"/>
          <w:szCs w:val="20"/>
          <w:color w:val="auto"/>
        </w:rPr>
      </w:pPr>
    </w:p>
    <w:p>
      <w:pPr>
        <w:ind w:left="644" w:hanging="644"/>
        <w:spacing w:after="0"/>
        <w:tabs>
          <w:tab w:leader="none" w:pos="644" w:val="left"/>
        </w:tabs>
        <w:numPr>
          <w:ilvl w:val="0"/>
          <w:numId w:val="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a “parent corporation,” whether now or hereafter existing, as defined in Section 424(e) of the Code.</w:t>
      </w:r>
    </w:p>
    <w:p>
      <w:pPr>
        <w:spacing w:after="0" w:line="254" w:lineRule="exact"/>
        <w:rPr>
          <w:rFonts w:ascii="Arial" w:cs="Arial" w:eastAsia="Arial" w:hAnsi="Arial"/>
          <w:sz w:val="19"/>
          <w:szCs w:val="19"/>
          <w:color w:val="auto"/>
        </w:rPr>
      </w:pPr>
    </w:p>
    <w:p>
      <w:pPr>
        <w:ind w:left="644" w:hanging="644"/>
        <w:spacing w:after="0"/>
        <w:tabs>
          <w:tab w:leader="none" w:pos="644"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means the holder of an outstanding Award.</w:t>
      </w:r>
    </w:p>
    <w:p>
      <w:pPr>
        <w:spacing w:after="0" w:line="229" w:lineRule="exact"/>
        <w:rPr>
          <w:rFonts w:ascii="Arial" w:cs="Arial" w:eastAsia="Arial" w:hAnsi="Arial"/>
          <w:sz w:val="20"/>
          <w:szCs w:val="20"/>
          <w:color w:val="auto"/>
        </w:rPr>
      </w:pPr>
    </w:p>
    <w:p>
      <w:pPr>
        <w:ind w:left="644" w:hanging="644"/>
        <w:spacing w:after="0" w:line="272" w:lineRule="auto"/>
        <w:tabs>
          <w:tab w:leader="none" w:pos="644" w:val="left"/>
        </w:tabs>
        <w:numPr>
          <w:ilvl w:val="0"/>
          <w:numId w:val="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Share</w:t>
      </w:r>
      <w:r>
        <w:rPr>
          <w:rFonts w:ascii="Arial" w:cs="Arial" w:eastAsia="Arial" w:hAnsi="Arial"/>
          <w:sz w:val="19"/>
          <w:szCs w:val="19"/>
          <w:color w:val="auto"/>
        </w:rPr>
        <w:t>” means an Award denominated in Shares which may be earned in whole or in part upon attainment of performance goals or other vesting criteria as the Administrator may determine pursuant to Section 10.</w:t>
      </w:r>
    </w:p>
    <w:p>
      <w:pPr>
        <w:spacing w:after="0" w:line="193" w:lineRule="exact"/>
        <w:rPr>
          <w:rFonts w:ascii="Arial" w:cs="Arial" w:eastAsia="Arial" w:hAnsi="Arial"/>
          <w:sz w:val="19"/>
          <w:szCs w:val="19"/>
          <w:color w:val="auto"/>
        </w:rPr>
      </w:pPr>
    </w:p>
    <w:p>
      <w:pPr>
        <w:jc w:val="both"/>
        <w:ind w:left="644" w:hanging="644"/>
        <w:spacing w:after="0" w:line="243" w:lineRule="auto"/>
        <w:tabs>
          <w:tab w:leader="none" w:pos="644"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Unit</w:t>
      </w:r>
      <w:r>
        <w:rPr>
          <w:rFonts w:ascii="Arial" w:cs="Arial" w:eastAsia="Arial" w:hAnsi="Arial"/>
          <w:sz w:val="20"/>
          <w:szCs w:val="20"/>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205" w:lineRule="exact"/>
        <w:rPr>
          <w:rFonts w:ascii="Arial" w:cs="Arial" w:eastAsia="Arial" w:hAnsi="Arial"/>
          <w:sz w:val="20"/>
          <w:szCs w:val="20"/>
          <w:color w:val="auto"/>
        </w:rPr>
      </w:pPr>
    </w:p>
    <w:p>
      <w:pPr>
        <w:jc w:val="both"/>
        <w:ind w:left="644" w:hanging="644"/>
        <w:spacing w:after="0" w:line="283" w:lineRule="auto"/>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2" w:lineRule="exact"/>
        <w:rPr>
          <w:rFonts w:ascii="Arial" w:cs="Arial" w:eastAsia="Arial" w:hAnsi="Arial"/>
          <w:sz w:val="18"/>
          <w:szCs w:val="18"/>
          <w:color w:val="auto"/>
        </w:rPr>
      </w:pPr>
    </w:p>
    <w:p>
      <w:pPr>
        <w:jc w:val="both"/>
        <w:ind w:left="644" w:hanging="644"/>
        <w:spacing w:after="0" w:line="243" w:lineRule="auto"/>
        <w:tabs>
          <w:tab w:leader="none" w:pos="644"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this 2011 Equity Incentive Plan, as amended and restated effective June 3, 2019, and as further amended at the 2020 Annual Meeting of Stockholders, the 2021 Annual Meeting of Stockholders and the 2023 Annual Meeting of Stockholders.</w:t>
      </w:r>
    </w:p>
    <w:p>
      <w:pPr>
        <w:spacing w:after="0" w:line="219" w:lineRule="exact"/>
        <w:rPr>
          <w:rFonts w:ascii="Arial" w:cs="Arial" w:eastAsia="Arial" w:hAnsi="Arial"/>
          <w:sz w:val="20"/>
          <w:szCs w:val="20"/>
          <w:color w:val="auto"/>
        </w:rPr>
      </w:pPr>
    </w:p>
    <w:p>
      <w:pPr>
        <w:ind w:left="644" w:hanging="644"/>
        <w:spacing w:after="0" w:line="246" w:lineRule="auto"/>
        <w:tabs>
          <w:tab w:leader="none" w:pos="644"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Stock</w:t>
      </w:r>
      <w:r>
        <w:rPr>
          <w:rFonts w:ascii="Arial" w:cs="Arial" w:eastAsia="Arial" w:hAnsi="Arial"/>
          <w:sz w:val="20"/>
          <w:szCs w:val="20"/>
          <w:color w:val="auto"/>
        </w:rPr>
        <w:t>” means Shares issued pursuant to a Restricted Stock award under Section 7 of the Plan, or issued pursuant to the early exercise of an Option.</w:t>
      </w:r>
    </w:p>
    <w:p>
      <w:pPr>
        <w:spacing w:after="0" w:line="217" w:lineRule="exact"/>
        <w:rPr>
          <w:rFonts w:ascii="Arial" w:cs="Arial" w:eastAsia="Arial" w:hAnsi="Arial"/>
          <w:sz w:val="20"/>
          <w:szCs w:val="20"/>
          <w:color w:val="auto"/>
        </w:rPr>
      </w:pPr>
    </w:p>
    <w:p>
      <w:pPr>
        <w:ind w:left="644" w:hanging="644"/>
        <w:spacing w:after="0" w:line="368" w:lineRule="auto"/>
        <w:tabs>
          <w:tab w:leader="none" w:pos="6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a bookkeeping entry representing an amount equal to the Fair Market Value of one Share, granted pursuant to Section 8. Each Restricted Stock Unit represents an unfunded and unsecured obligation of the Company.</w:t>
      </w:r>
    </w:p>
    <w:p>
      <w:pPr>
        <w:spacing w:after="0" w:line="110" w:lineRule="exact"/>
        <w:rPr>
          <w:rFonts w:ascii="Arial" w:cs="Arial" w:eastAsia="Arial" w:hAnsi="Arial"/>
          <w:sz w:val="16"/>
          <w:szCs w:val="16"/>
          <w:color w:val="auto"/>
        </w:rPr>
      </w:pPr>
    </w:p>
    <w:p>
      <w:pPr>
        <w:ind w:left="644" w:hanging="644"/>
        <w:spacing w:after="0" w:line="260" w:lineRule="auto"/>
        <w:tabs>
          <w:tab w:leader="none" w:pos="644"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Rule 16b-3</w:t>
      </w:r>
      <w:r>
        <w:rPr>
          <w:rFonts w:ascii="Arial" w:cs="Arial" w:eastAsia="Arial" w:hAnsi="Arial"/>
          <w:sz w:val="20"/>
          <w:szCs w:val="20"/>
          <w:color w:val="auto"/>
        </w:rPr>
        <w:t>” means Rule 16b-3 of the Exchange Act or any successor to Rule 16b-3, as in effect when discretion is being exercised with respect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4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584"/>
          </w:cols>
          <w:pgMar w:left="976" w:top="1419" w:right="339" w:bottom="1440" w:gutter="0" w:footer="0" w:header="0"/>
        </w:sectPr>
      </w:pPr>
    </w:p>
    <w:bookmarkStart w:id="8" w:name="page9"/>
    <w:bookmarkEnd w:id="8"/>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Section 16(b)</w:t>
      </w:r>
      <w:r>
        <w:rPr>
          <w:rFonts w:ascii="Arial" w:cs="Arial" w:eastAsia="Arial" w:hAnsi="Arial"/>
          <w:sz w:val="20"/>
          <w:szCs w:val="20"/>
          <w:color w:val="auto"/>
        </w:rPr>
        <w:t>” means Section 16(b) of the Exchange Act.</w:t>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20"/>
                <w:szCs w:val="20"/>
                <w:color w:val="auto"/>
              </w:rPr>
              <w:t>(ab)</w:t>
            </w:r>
          </w:p>
        </w:tc>
        <w:tc>
          <w:tcPr>
            <w:tcW w:w="10100" w:type="dxa"/>
            <w:vAlign w:val="bottom"/>
            <w:gridSpan w:val="6"/>
          </w:tcPr>
          <w:p>
            <w:pPr>
              <w:ind w:left="160"/>
              <w:spacing w:after="0"/>
              <w:rPr>
                <w:sz w:val="20"/>
                <w:szCs w:val="20"/>
                <w:color w:val="auto"/>
              </w:rPr>
            </w:pPr>
            <w:r>
              <w:rPr>
                <w:rFonts w:ascii="Arial" w:cs="Arial" w:eastAsia="Arial" w:hAnsi="Arial"/>
                <w:sz w:val="20"/>
                <w:szCs w:val="20"/>
                <w:color w:val="auto"/>
              </w:rPr>
              <w:t>“Service Provider” means an Employee, Director or Consultant.</w:t>
            </w: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453"/>
        </w:trPr>
        <w:tc>
          <w:tcPr>
            <w:tcW w:w="480" w:type="dxa"/>
            <w:vAlign w:val="bottom"/>
          </w:tcPr>
          <w:p>
            <w:pPr>
              <w:spacing w:after="0"/>
              <w:rPr>
                <w:sz w:val="20"/>
                <w:szCs w:val="20"/>
                <w:color w:val="auto"/>
              </w:rPr>
            </w:pPr>
            <w:r>
              <w:rPr>
                <w:rFonts w:ascii="Arial" w:cs="Arial" w:eastAsia="Arial" w:hAnsi="Arial"/>
                <w:sz w:val="20"/>
                <w:szCs w:val="20"/>
                <w:color w:val="auto"/>
              </w:rPr>
              <w:t>(ac)</w:t>
            </w:r>
          </w:p>
        </w:tc>
        <w:tc>
          <w:tcPr>
            <w:tcW w:w="10100" w:type="dxa"/>
            <w:vAlign w:val="bottom"/>
            <w:gridSpan w:val="6"/>
          </w:tcPr>
          <w:p>
            <w:pPr>
              <w:ind w:left="160"/>
              <w:spacing w:after="0"/>
              <w:rPr>
                <w:sz w:val="20"/>
                <w:szCs w:val="20"/>
                <w:color w:val="auto"/>
              </w:rPr>
            </w:pPr>
            <w:r>
              <w:rPr>
                <w:rFonts w:ascii="Arial" w:cs="Arial" w:eastAsia="Arial" w:hAnsi="Arial"/>
                <w:sz w:val="20"/>
                <w:szCs w:val="20"/>
                <w:color w:val="auto"/>
              </w:rPr>
              <w:t>“Share” means a share of the Common Stock, as adjusted in accordance with Section 13 of the Plan.</w:t>
            </w: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439"/>
        </w:trPr>
        <w:tc>
          <w:tcPr>
            <w:tcW w:w="480" w:type="dxa"/>
            <w:vAlign w:val="bottom"/>
          </w:tcPr>
          <w:p>
            <w:pPr>
              <w:spacing w:after="0"/>
              <w:rPr>
                <w:sz w:val="20"/>
                <w:szCs w:val="20"/>
                <w:color w:val="auto"/>
              </w:rPr>
            </w:pPr>
            <w:r>
              <w:rPr>
                <w:rFonts w:ascii="Arial" w:cs="Arial" w:eastAsia="Arial" w:hAnsi="Arial"/>
                <w:sz w:val="20"/>
                <w:szCs w:val="20"/>
                <w:color w:val="auto"/>
              </w:rPr>
              <w:t>(ad)</w:t>
            </w:r>
          </w:p>
        </w:tc>
        <w:tc>
          <w:tcPr>
            <w:tcW w:w="10100" w:type="dxa"/>
            <w:vAlign w:val="bottom"/>
            <w:gridSpan w:val="6"/>
          </w:tcPr>
          <w:p>
            <w:pPr>
              <w:ind w:left="160"/>
              <w:spacing w:after="0"/>
              <w:rPr>
                <w:sz w:val="20"/>
                <w:szCs w:val="20"/>
                <w:color w:val="auto"/>
              </w:rPr>
            </w:pPr>
            <w:r>
              <w:rPr>
                <w:rFonts w:ascii="Arial" w:cs="Arial" w:eastAsia="Arial" w:hAnsi="Arial"/>
                <w:sz w:val="20"/>
                <w:szCs w:val="20"/>
                <w:color w:val="auto"/>
                <w:w w:val="93"/>
              </w:rPr>
              <w:t>“Stock Appreciation Right” means an Award, granted alone or in connection with an Option, that pursuant to Section 9 is</w:t>
            </w: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254"/>
        </w:trPr>
        <w:tc>
          <w:tcPr>
            <w:tcW w:w="480" w:type="dxa"/>
            <w:vAlign w:val="bottom"/>
          </w:tcPr>
          <w:p>
            <w:pPr>
              <w:spacing w:after="0"/>
              <w:rPr>
                <w:sz w:val="22"/>
                <w:szCs w:val="22"/>
                <w:color w:val="auto"/>
              </w:rPr>
            </w:pPr>
          </w:p>
        </w:tc>
        <w:tc>
          <w:tcPr>
            <w:tcW w:w="10100" w:type="dxa"/>
            <w:vAlign w:val="bottom"/>
            <w:gridSpan w:val="6"/>
          </w:tcPr>
          <w:p>
            <w:pPr>
              <w:ind w:left="160"/>
              <w:spacing w:after="0"/>
              <w:rPr>
                <w:sz w:val="20"/>
                <w:szCs w:val="20"/>
                <w:color w:val="auto"/>
              </w:rPr>
            </w:pPr>
            <w:r>
              <w:rPr>
                <w:rFonts w:ascii="Arial" w:cs="Arial" w:eastAsia="Arial" w:hAnsi="Arial"/>
                <w:sz w:val="20"/>
                <w:szCs w:val="20"/>
                <w:color w:val="auto"/>
              </w:rPr>
              <w:t>designated as a Stock Appreciation Right.</w:t>
            </w:r>
          </w:p>
        </w:tc>
      </w:tr>
      <w:tr>
        <w:trPr>
          <w:trHeight w:val="414"/>
        </w:trPr>
        <w:tc>
          <w:tcPr>
            <w:tcW w:w="480" w:type="dxa"/>
            <w:vAlign w:val="bottom"/>
          </w:tcPr>
          <w:p>
            <w:pPr>
              <w:spacing w:after="0"/>
              <w:rPr>
                <w:sz w:val="20"/>
                <w:szCs w:val="20"/>
                <w:color w:val="auto"/>
              </w:rPr>
            </w:pPr>
            <w:r>
              <w:rPr>
                <w:rFonts w:ascii="Arial" w:cs="Arial" w:eastAsia="Arial" w:hAnsi="Arial"/>
                <w:sz w:val="20"/>
                <w:szCs w:val="20"/>
                <w:color w:val="auto"/>
              </w:rPr>
              <w:t>(ae)</w:t>
            </w:r>
          </w:p>
        </w:tc>
        <w:tc>
          <w:tcPr>
            <w:tcW w:w="10100" w:type="dxa"/>
            <w:vAlign w:val="bottom"/>
            <w:gridSpan w:val="6"/>
          </w:tcPr>
          <w:p>
            <w:pPr>
              <w:ind w:left="160"/>
              <w:spacing w:after="0"/>
              <w:rPr>
                <w:sz w:val="20"/>
                <w:szCs w:val="20"/>
                <w:color w:val="auto"/>
              </w:rPr>
            </w:pPr>
            <w:r>
              <w:rPr>
                <w:rFonts w:ascii="Arial" w:cs="Arial" w:eastAsia="Arial" w:hAnsi="Arial"/>
                <w:sz w:val="20"/>
                <w:szCs w:val="20"/>
                <w:color w:val="auto"/>
                <w:w w:val="91"/>
              </w:rPr>
              <w:t>“Subsidiary” means a “subsidiary corporation,” whether now or hereafter existing, as defined in Section 424(f) of the Code.</w:t>
            </w: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bl>
    <w:p>
      <w:pPr>
        <w:spacing w:after="0" w:line="25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Stock Subject to the Plan</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300" w:hanging="644"/>
        <w:spacing w:after="0" w:line="238" w:lineRule="auto"/>
        <w:tabs>
          <w:tab w:leader="none" w:pos="1300" w:val="left"/>
        </w:tabs>
        <w:numPr>
          <w:ilvl w:val="1"/>
          <w:numId w:val="15"/>
        </w:numPr>
        <w:rPr>
          <w:rFonts w:ascii="Arial" w:cs="Arial" w:eastAsia="Arial" w:hAnsi="Arial"/>
          <w:sz w:val="20"/>
          <w:szCs w:val="20"/>
          <w:color w:val="auto"/>
        </w:rPr>
      </w:pPr>
      <w:r>
        <w:rPr>
          <w:rFonts w:ascii="Arial" w:cs="Arial" w:eastAsia="Arial" w:hAnsi="Arial"/>
          <w:sz w:val="20"/>
          <w:szCs w:val="20"/>
          <w:u w:val="single" w:color="auto"/>
          <w:color w:val="auto"/>
        </w:rPr>
        <w:t>Stock Subject to the Plan</w:t>
      </w:r>
      <w:r>
        <w:rPr>
          <w:rFonts w:ascii="Arial" w:cs="Arial" w:eastAsia="Arial" w:hAnsi="Arial"/>
          <w:sz w:val="20"/>
          <w:szCs w:val="20"/>
          <w:color w:val="auto"/>
        </w:rPr>
        <w:t>. Subject to the provisions of Section 13 of the Plan, the maximum aggregate number of Shares that may be issued under the Plan as of the Amendment Effective Date is (i) 4,700,000 Shares, plus (ii) any Shares that, as of immediately prior to the Amendment Effective Date, were available for grant under the pre-existing version of the 2011 Equity Incentive Plan prior to this amendment (the “</w:t>
      </w:r>
      <w:r>
        <w:rPr>
          <w:rFonts w:ascii="Arial" w:cs="Arial" w:eastAsia="Arial" w:hAnsi="Arial"/>
          <w:sz w:val="20"/>
          <w:szCs w:val="20"/>
          <w:u w:val="single" w:color="auto"/>
          <w:color w:val="auto"/>
        </w:rPr>
        <w:t>Existing Plan</w:t>
      </w:r>
      <w:r>
        <w:rPr>
          <w:rFonts w:ascii="Arial" w:cs="Arial" w:eastAsia="Arial" w:hAnsi="Arial"/>
          <w:sz w:val="20"/>
          <w:szCs w:val="20"/>
          <w:color w:val="auto"/>
        </w:rPr>
        <w:t>”). The Shares may be authorized, but unissued, or reacquired Common Stock.</w:t>
      </w:r>
    </w:p>
    <w:p>
      <w:pPr>
        <w:spacing w:after="0" w:line="209" w:lineRule="exact"/>
        <w:rPr>
          <w:rFonts w:ascii="Arial" w:cs="Arial" w:eastAsia="Arial" w:hAnsi="Arial"/>
          <w:sz w:val="20"/>
          <w:szCs w:val="20"/>
          <w:color w:val="auto"/>
        </w:rPr>
      </w:pPr>
    </w:p>
    <w:p>
      <w:pPr>
        <w:jc w:val="both"/>
        <w:ind w:left="1300" w:hanging="644"/>
        <w:spacing w:after="0" w:line="259"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Lapsed Awards</w:t>
      </w:r>
      <w:r>
        <w:rPr>
          <w:rFonts w:ascii="Arial" w:cs="Arial" w:eastAsia="Arial" w:hAnsi="Arial"/>
          <w:sz w:val="18"/>
          <w:szCs w:val="18"/>
          <w:color w:val="auto"/>
        </w:rPr>
        <w:t>.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Shares granted pursuant to a Stock Appreciation Right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With respect to Options, Shares used to pay the exercise price of an Option or to satisfy tax withholding obligations will cease to be available under the Plan. Shares used to pay the exercise price of an Award other than an Option or to satisfy the tax withholding obligations related to an Award other than an Option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218"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5"/>
        </w:numPr>
        <w:rPr>
          <w:rFonts w:ascii="Arial" w:cs="Arial" w:eastAsia="Arial" w:hAnsi="Arial"/>
          <w:sz w:val="20"/>
          <w:szCs w:val="20"/>
          <w:color w:val="auto"/>
        </w:rPr>
      </w:pPr>
      <w:r>
        <w:rPr>
          <w:rFonts w:ascii="Arial" w:cs="Arial" w:eastAsia="Arial" w:hAnsi="Arial"/>
          <w:sz w:val="20"/>
          <w:szCs w:val="20"/>
          <w:u w:val="single" w:color="auto"/>
          <w:color w:val="auto"/>
        </w:rPr>
        <w:t>Share Reserve</w:t>
      </w:r>
      <w:r>
        <w:rPr>
          <w:rFonts w:ascii="Arial" w:cs="Arial" w:eastAsia="Arial" w:hAnsi="Arial"/>
          <w:sz w:val="20"/>
          <w:szCs w:val="20"/>
          <w:color w:val="auto"/>
        </w:rPr>
        <w:t>. The Company, during the term of this Plan, will at all times reserve and keep available such number of Shares as will be sufficient to satisfy the requirements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9" w:name="page10"/>
    <w:bookmarkEnd w:id="9"/>
    <w:p>
      <w:pPr>
        <w:spacing w:after="0" w:line="22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Administration of the Plan</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1"/>
          <w:numId w:val="16"/>
        </w:numPr>
        <w:rPr>
          <w:rFonts w:ascii="Arial" w:cs="Arial" w:eastAsia="Arial" w:hAnsi="Arial"/>
          <w:sz w:val="20"/>
          <w:szCs w:val="20"/>
          <w:color w:val="auto"/>
        </w:rPr>
      </w:pPr>
      <w:r>
        <w:rPr>
          <w:rFonts w:ascii="Arial" w:cs="Arial" w:eastAsia="Arial" w:hAnsi="Arial"/>
          <w:sz w:val="20"/>
          <w:szCs w:val="20"/>
          <w:u w:val="single" w:color="auto"/>
          <w:color w:val="auto"/>
        </w:rPr>
        <w:t>Procedure</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1960" w:hanging="842"/>
        <w:spacing w:after="0" w:line="246" w:lineRule="auto"/>
        <w:tabs>
          <w:tab w:leader="none" w:pos="1960" w:val="left"/>
        </w:tabs>
        <w:numPr>
          <w:ilvl w:val="2"/>
          <w:numId w:val="16"/>
        </w:numPr>
        <w:rPr>
          <w:rFonts w:ascii="Arial" w:cs="Arial" w:eastAsia="Arial" w:hAnsi="Arial"/>
          <w:sz w:val="20"/>
          <w:szCs w:val="20"/>
          <w:color w:val="auto"/>
        </w:rPr>
      </w:pPr>
      <w:r>
        <w:rPr>
          <w:rFonts w:ascii="Arial" w:cs="Arial" w:eastAsia="Arial" w:hAnsi="Arial"/>
          <w:sz w:val="20"/>
          <w:szCs w:val="20"/>
          <w:u w:val="single" w:color="auto"/>
          <w:color w:val="auto"/>
        </w:rPr>
        <w:t>Multiple Administrative Bodies</w:t>
      </w:r>
      <w:r>
        <w:rPr>
          <w:rFonts w:ascii="Arial" w:cs="Arial" w:eastAsia="Arial" w:hAnsi="Arial"/>
          <w:sz w:val="20"/>
          <w:szCs w:val="20"/>
          <w:color w:val="auto"/>
        </w:rPr>
        <w:t>. Different Committees may administer the Plan with respect to different groups of Service Providers.</w:t>
      </w:r>
    </w:p>
    <w:p>
      <w:pPr>
        <w:spacing w:after="0" w:line="217" w:lineRule="exact"/>
        <w:rPr>
          <w:rFonts w:ascii="Arial" w:cs="Arial" w:eastAsia="Arial" w:hAnsi="Arial"/>
          <w:sz w:val="20"/>
          <w:szCs w:val="20"/>
          <w:color w:val="auto"/>
        </w:rPr>
      </w:pPr>
    </w:p>
    <w:p>
      <w:pPr>
        <w:ind w:left="1960" w:hanging="898"/>
        <w:spacing w:after="0" w:line="246" w:lineRule="auto"/>
        <w:tabs>
          <w:tab w:leader="none" w:pos="1960" w:val="left"/>
        </w:tabs>
        <w:numPr>
          <w:ilvl w:val="2"/>
          <w:numId w:val="16"/>
        </w:numPr>
        <w:rPr>
          <w:rFonts w:ascii="Arial" w:cs="Arial" w:eastAsia="Arial" w:hAnsi="Arial"/>
          <w:sz w:val="20"/>
          <w:szCs w:val="20"/>
          <w:color w:val="auto"/>
        </w:rPr>
      </w:pPr>
      <w:r>
        <w:rPr>
          <w:rFonts w:ascii="Arial" w:cs="Arial" w:eastAsia="Arial" w:hAnsi="Arial"/>
          <w:sz w:val="20"/>
          <w:szCs w:val="20"/>
          <w:u w:val="single" w:color="auto"/>
          <w:color w:val="auto"/>
        </w:rPr>
        <w:t>Rule 16b-3</w:t>
      </w:r>
      <w:r>
        <w:rPr>
          <w:rFonts w:ascii="Arial" w:cs="Arial" w:eastAsia="Arial" w:hAnsi="Arial"/>
          <w:sz w:val="20"/>
          <w:szCs w:val="20"/>
          <w:color w:val="auto"/>
        </w:rPr>
        <w:t>. To the extent desirable to qualify transactions hereunder as exempt under Rule 16b-3, such transactions will be structured to satisfy the requirements for exemption under Rule 16b-3.</w:t>
      </w:r>
    </w:p>
    <w:p>
      <w:pPr>
        <w:spacing w:after="0" w:line="217" w:lineRule="exact"/>
        <w:rPr>
          <w:rFonts w:ascii="Arial" w:cs="Arial" w:eastAsia="Arial" w:hAnsi="Arial"/>
          <w:sz w:val="20"/>
          <w:szCs w:val="20"/>
          <w:color w:val="auto"/>
        </w:rPr>
      </w:pPr>
    </w:p>
    <w:p>
      <w:pPr>
        <w:ind w:left="1960" w:hanging="952"/>
        <w:spacing w:after="0" w:line="246" w:lineRule="auto"/>
        <w:tabs>
          <w:tab w:leader="none" w:pos="1960" w:val="left"/>
        </w:tabs>
        <w:numPr>
          <w:ilvl w:val="2"/>
          <w:numId w:val="16"/>
        </w:numPr>
        <w:rPr>
          <w:rFonts w:ascii="Arial" w:cs="Arial" w:eastAsia="Arial" w:hAnsi="Arial"/>
          <w:sz w:val="20"/>
          <w:szCs w:val="20"/>
          <w:color w:val="auto"/>
        </w:rPr>
      </w:pPr>
      <w:r>
        <w:rPr>
          <w:rFonts w:ascii="Arial" w:cs="Arial" w:eastAsia="Arial" w:hAnsi="Arial"/>
          <w:sz w:val="20"/>
          <w:szCs w:val="20"/>
          <w:u w:val="single" w:color="auto"/>
          <w:color w:val="auto"/>
        </w:rPr>
        <w:t>Other Administration</w:t>
      </w:r>
      <w:r>
        <w:rPr>
          <w:rFonts w:ascii="Arial" w:cs="Arial" w:eastAsia="Arial" w:hAnsi="Arial"/>
          <w:sz w:val="20"/>
          <w:szCs w:val="20"/>
          <w:color w:val="auto"/>
        </w:rPr>
        <w:t>. Other than as provided above, the Plan will be administered by (A) the Board or (B) a Committee constituted to satisfy Applicable Laws.</w:t>
      </w:r>
    </w:p>
    <w:p>
      <w:pPr>
        <w:spacing w:after="0" w:line="203" w:lineRule="exact"/>
        <w:rPr>
          <w:rFonts w:ascii="Arial" w:cs="Arial" w:eastAsia="Arial" w:hAnsi="Arial"/>
          <w:sz w:val="20"/>
          <w:szCs w:val="20"/>
          <w:color w:val="auto"/>
        </w:rPr>
      </w:pPr>
    </w:p>
    <w:p>
      <w:pPr>
        <w:ind w:left="1300" w:hanging="644"/>
        <w:spacing w:after="0" w:line="287" w:lineRule="auto"/>
        <w:tabs>
          <w:tab w:leader="none" w:pos="1300"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Powers of the Administrator</w:t>
      </w:r>
      <w:r>
        <w:rPr>
          <w:rFonts w:ascii="Arial" w:cs="Arial" w:eastAsia="Arial" w:hAnsi="Arial"/>
          <w:sz w:val="19"/>
          <w:szCs w:val="19"/>
          <w:color w:val="auto"/>
        </w:rPr>
        <w:t>. Subject to the provisions of the Plan, and in the case of a Committee, subject to the specific duties delegated by the Board to such Committee, the Administrator will have the authority, in its discretion:</w:t>
      </w:r>
    </w:p>
    <w:p>
      <w:pPr>
        <w:spacing w:after="0" w:line="165" w:lineRule="exact"/>
        <w:rPr>
          <w:rFonts w:ascii="Arial" w:cs="Arial" w:eastAsia="Arial" w:hAnsi="Arial"/>
          <w:sz w:val="19"/>
          <w:szCs w:val="19"/>
          <w:color w:val="auto"/>
        </w:rPr>
      </w:pPr>
    </w:p>
    <w:p>
      <w:pPr>
        <w:ind w:left="1960" w:hanging="842"/>
        <w:spacing w:after="0"/>
        <w:tabs>
          <w:tab w:leader="none" w:pos="1960" w:val="left"/>
        </w:tabs>
        <w:numPr>
          <w:ilvl w:val="2"/>
          <w:numId w:val="16"/>
        </w:numPr>
        <w:rPr>
          <w:rFonts w:ascii="Arial" w:cs="Arial" w:eastAsia="Arial" w:hAnsi="Arial"/>
          <w:sz w:val="20"/>
          <w:szCs w:val="20"/>
          <w:color w:val="auto"/>
        </w:rPr>
      </w:pPr>
      <w:r>
        <w:rPr>
          <w:rFonts w:ascii="Arial" w:cs="Arial" w:eastAsia="Arial" w:hAnsi="Arial"/>
          <w:sz w:val="20"/>
          <w:szCs w:val="20"/>
          <w:color w:val="auto"/>
        </w:rPr>
        <w:t>to determine the Fair Market Value;</w:t>
      </w:r>
    </w:p>
    <w:p>
      <w:pPr>
        <w:spacing w:after="0" w:line="242" w:lineRule="exact"/>
        <w:rPr>
          <w:rFonts w:ascii="Arial" w:cs="Arial" w:eastAsia="Arial" w:hAnsi="Arial"/>
          <w:sz w:val="20"/>
          <w:szCs w:val="20"/>
          <w:color w:val="auto"/>
        </w:rPr>
      </w:pPr>
    </w:p>
    <w:p>
      <w:pPr>
        <w:ind w:left="1960" w:hanging="898"/>
        <w:spacing w:after="0"/>
        <w:tabs>
          <w:tab w:leader="none" w:pos="1960" w:val="left"/>
        </w:tabs>
        <w:numPr>
          <w:ilvl w:val="2"/>
          <w:numId w:val="16"/>
        </w:numPr>
        <w:rPr>
          <w:rFonts w:ascii="Arial" w:cs="Arial" w:eastAsia="Arial" w:hAnsi="Arial"/>
          <w:sz w:val="20"/>
          <w:szCs w:val="20"/>
          <w:color w:val="auto"/>
        </w:rPr>
      </w:pPr>
      <w:r>
        <w:rPr>
          <w:rFonts w:ascii="Arial" w:cs="Arial" w:eastAsia="Arial" w:hAnsi="Arial"/>
          <w:sz w:val="20"/>
          <w:szCs w:val="20"/>
          <w:color w:val="auto"/>
        </w:rPr>
        <w:t>to select the Service Providers to whom Awards may be granted hereunder;</w:t>
      </w:r>
    </w:p>
    <w:p>
      <w:pPr>
        <w:spacing w:after="0" w:line="229" w:lineRule="exact"/>
        <w:rPr>
          <w:rFonts w:ascii="Arial" w:cs="Arial" w:eastAsia="Arial" w:hAnsi="Arial"/>
          <w:sz w:val="20"/>
          <w:szCs w:val="20"/>
          <w:color w:val="auto"/>
        </w:rPr>
      </w:pPr>
    </w:p>
    <w:p>
      <w:pPr>
        <w:ind w:left="1960" w:hanging="952"/>
        <w:spacing w:after="0"/>
        <w:tabs>
          <w:tab w:leader="none" w:pos="1960" w:val="left"/>
        </w:tabs>
        <w:numPr>
          <w:ilvl w:val="2"/>
          <w:numId w:val="16"/>
        </w:numPr>
        <w:rPr>
          <w:rFonts w:ascii="Arial" w:cs="Arial" w:eastAsia="Arial" w:hAnsi="Arial"/>
          <w:sz w:val="20"/>
          <w:szCs w:val="20"/>
          <w:color w:val="auto"/>
        </w:rPr>
      </w:pPr>
      <w:r>
        <w:rPr>
          <w:rFonts w:ascii="Arial" w:cs="Arial" w:eastAsia="Arial" w:hAnsi="Arial"/>
          <w:sz w:val="20"/>
          <w:szCs w:val="20"/>
          <w:color w:val="auto"/>
        </w:rPr>
        <w:t>to determine the number of Shares to be covered by each Award granted hereunder;</w:t>
      </w:r>
    </w:p>
    <w:p>
      <w:pPr>
        <w:spacing w:after="0" w:line="229" w:lineRule="exact"/>
        <w:rPr>
          <w:rFonts w:ascii="Arial" w:cs="Arial" w:eastAsia="Arial" w:hAnsi="Arial"/>
          <w:sz w:val="20"/>
          <w:szCs w:val="20"/>
          <w:color w:val="auto"/>
        </w:rPr>
      </w:pPr>
    </w:p>
    <w:p>
      <w:pPr>
        <w:ind w:left="1960" w:hanging="942"/>
        <w:spacing w:after="0"/>
        <w:tabs>
          <w:tab w:leader="none" w:pos="1960" w:val="left"/>
        </w:tabs>
        <w:numPr>
          <w:ilvl w:val="2"/>
          <w:numId w:val="16"/>
        </w:numPr>
        <w:rPr>
          <w:rFonts w:ascii="Arial" w:cs="Arial" w:eastAsia="Arial" w:hAnsi="Arial"/>
          <w:sz w:val="20"/>
          <w:szCs w:val="20"/>
          <w:color w:val="auto"/>
        </w:rPr>
      </w:pPr>
      <w:r>
        <w:rPr>
          <w:rFonts w:ascii="Arial" w:cs="Arial" w:eastAsia="Arial" w:hAnsi="Arial"/>
          <w:sz w:val="20"/>
          <w:szCs w:val="20"/>
          <w:color w:val="auto"/>
        </w:rPr>
        <w:t>to approve forms of Award Agreements for use under the Plan;</w:t>
      </w:r>
    </w:p>
    <w:p>
      <w:pPr>
        <w:spacing w:after="0" w:line="242" w:lineRule="exact"/>
        <w:rPr>
          <w:rFonts w:ascii="Arial" w:cs="Arial" w:eastAsia="Arial" w:hAnsi="Arial"/>
          <w:sz w:val="20"/>
          <w:szCs w:val="20"/>
          <w:color w:val="auto"/>
        </w:rPr>
      </w:pPr>
    </w:p>
    <w:p>
      <w:pPr>
        <w:jc w:val="both"/>
        <w:ind w:left="1960" w:hanging="887"/>
        <w:spacing w:after="0" w:line="238" w:lineRule="auto"/>
        <w:tabs>
          <w:tab w:leader="none" w:pos="1960" w:val="left"/>
        </w:tabs>
        <w:numPr>
          <w:ilvl w:val="2"/>
          <w:numId w:val="16"/>
        </w:numPr>
        <w:rPr>
          <w:rFonts w:ascii="Arial" w:cs="Arial" w:eastAsia="Arial" w:hAnsi="Arial"/>
          <w:sz w:val="20"/>
          <w:szCs w:val="20"/>
          <w:color w:val="auto"/>
        </w:rPr>
      </w:pPr>
      <w:r>
        <w:rPr>
          <w:rFonts w:ascii="Arial" w:cs="Arial" w:eastAsia="Arial" w:hAnsi="Arial"/>
          <w:sz w:val="20"/>
          <w:szCs w:val="20"/>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209" w:lineRule="exact"/>
        <w:rPr>
          <w:rFonts w:ascii="Arial" w:cs="Arial" w:eastAsia="Arial" w:hAnsi="Arial"/>
          <w:sz w:val="20"/>
          <w:szCs w:val="20"/>
          <w:color w:val="auto"/>
        </w:rPr>
      </w:pPr>
    </w:p>
    <w:p>
      <w:pPr>
        <w:ind w:left="1960" w:hanging="942"/>
        <w:spacing w:after="0"/>
        <w:tabs>
          <w:tab w:leader="none" w:pos="1960" w:val="left"/>
        </w:tabs>
        <w:numPr>
          <w:ilvl w:val="2"/>
          <w:numId w:val="16"/>
        </w:numPr>
        <w:rPr>
          <w:rFonts w:ascii="Arial" w:cs="Arial" w:eastAsia="Arial" w:hAnsi="Arial"/>
          <w:sz w:val="20"/>
          <w:szCs w:val="20"/>
          <w:color w:val="auto"/>
        </w:rPr>
      </w:pPr>
      <w:r>
        <w:rPr>
          <w:rFonts w:ascii="Arial" w:cs="Arial" w:eastAsia="Arial" w:hAnsi="Arial"/>
          <w:sz w:val="20"/>
          <w:szCs w:val="20"/>
          <w:color w:val="auto"/>
        </w:rPr>
        <w:t>to construe and interpret the terms of the Plan and Awards granted pursuant to the Plan;</w:t>
      </w:r>
    </w:p>
    <w:p>
      <w:pPr>
        <w:spacing w:after="0" w:line="229" w:lineRule="exact"/>
        <w:rPr>
          <w:rFonts w:ascii="Arial" w:cs="Arial" w:eastAsia="Arial" w:hAnsi="Arial"/>
          <w:sz w:val="20"/>
          <w:szCs w:val="20"/>
          <w:color w:val="auto"/>
        </w:rPr>
      </w:pPr>
    </w:p>
    <w:p>
      <w:pPr>
        <w:jc w:val="both"/>
        <w:ind w:left="1960" w:hanging="996"/>
        <w:spacing w:after="0" w:line="243" w:lineRule="auto"/>
        <w:tabs>
          <w:tab w:leader="none" w:pos="1960" w:val="left"/>
        </w:tabs>
        <w:numPr>
          <w:ilvl w:val="2"/>
          <w:numId w:val="16"/>
        </w:numPr>
        <w:rPr>
          <w:rFonts w:ascii="Arial" w:cs="Arial" w:eastAsia="Arial" w:hAnsi="Arial"/>
          <w:sz w:val="20"/>
          <w:szCs w:val="20"/>
          <w:color w:val="auto"/>
        </w:rPr>
      </w:pPr>
      <w:r>
        <w:rPr>
          <w:rFonts w:ascii="Arial" w:cs="Arial" w:eastAsia="Arial" w:hAnsi="Arial"/>
          <w:sz w:val="20"/>
          <w:szCs w:val="20"/>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219" w:lineRule="exact"/>
        <w:rPr>
          <w:rFonts w:ascii="Arial" w:cs="Arial" w:eastAsia="Arial" w:hAnsi="Arial"/>
          <w:sz w:val="20"/>
          <w:szCs w:val="20"/>
          <w:color w:val="auto"/>
        </w:rPr>
      </w:pPr>
    </w:p>
    <w:p>
      <w:pPr>
        <w:jc w:val="both"/>
        <w:ind w:left="1960" w:hanging="1051"/>
        <w:spacing w:after="0" w:line="243" w:lineRule="auto"/>
        <w:tabs>
          <w:tab w:leader="none" w:pos="1960" w:val="left"/>
        </w:tabs>
        <w:numPr>
          <w:ilvl w:val="2"/>
          <w:numId w:val="16"/>
        </w:numPr>
        <w:rPr>
          <w:rFonts w:ascii="Arial" w:cs="Arial" w:eastAsia="Arial" w:hAnsi="Arial"/>
          <w:sz w:val="20"/>
          <w:szCs w:val="20"/>
          <w:color w:val="auto"/>
        </w:rPr>
      </w:pPr>
      <w:r>
        <w:rPr>
          <w:rFonts w:ascii="Arial" w:cs="Arial" w:eastAsia="Arial" w:hAnsi="Arial"/>
          <w:sz w:val="20"/>
          <w:szCs w:val="20"/>
          <w:color w:val="auto"/>
        </w:rPr>
        <w:t>to modify or amend each Award (subject to Section 18 of the Plan), including but not limited to the discretionary authority to extend the post-termination exercisability period of Awards and to extend the maximum term of an Option (subject to Section 6(b) of the Plan);</w:t>
      </w:r>
    </w:p>
    <w:p>
      <w:pPr>
        <w:spacing w:after="0" w:line="205" w:lineRule="exact"/>
        <w:rPr>
          <w:rFonts w:ascii="Arial" w:cs="Arial" w:eastAsia="Arial" w:hAnsi="Arial"/>
          <w:sz w:val="20"/>
          <w:szCs w:val="20"/>
          <w:color w:val="auto"/>
        </w:rPr>
      </w:pPr>
    </w:p>
    <w:p>
      <w:pPr>
        <w:ind w:left="1960" w:hanging="942"/>
        <w:spacing w:after="0"/>
        <w:tabs>
          <w:tab w:leader="none" w:pos="19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to allow Participants to satisfy tax withholding obligations in such manner as prescribed in Section 14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22" w:lineRule="exact"/>
        <w:rPr>
          <w:sz w:val="20"/>
          <w:szCs w:val="20"/>
          <w:color w:val="auto"/>
        </w:rPr>
      </w:pPr>
    </w:p>
    <w:p>
      <w:pPr>
        <w:ind w:left="1960" w:hanging="887"/>
        <w:spacing w:after="0" w:line="246" w:lineRule="auto"/>
        <w:tabs>
          <w:tab w:leader="none" w:pos="1960" w:val="left"/>
        </w:tabs>
        <w:numPr>
          <w:ilvl w:val="2"/>
          <w:numId w:val="17"/>
        </w:numPr>
        <w:rPr>
          <w:rFonts w:ascii="Arial" w:cs="Arial" w:eastAsia="Arial" w:hAnsi="Arial"/>
          <w:sz w:val="20"/>
          <w:szCs w:val="20"/>
          <w:color w:val="auto"/>
        </w:rPr>
      </w:pPr>
      <w:r>
        <w:rPr>
          <w:rFonts w:ascii="Arial" w:cs="Arial" w:eastAsia="Arial" w:hAnsi="Arial"/>
          <w:sz w:val="20"/>
          <w:szCs w:val="20"/>
          <w:color w:val="auto"/>
        </w:rPr>
        <w:t>to authorize any person to execute on behalf of the Company any instrument required to effect the grant of an Award previously granted by the Administrator;</w:t>
      </w:r>
    </w:p>
    <w:p>
      <w:pPr>
        <w:spacing w:after="0" w:line="217" w:lineRule="exact"/>
        <w:rPr>
          <w:rFonts w:ascii="Arial" w:cs="Arial" w:eastAsia="Arial" w:hAnsi="Arial"/>
          <w:sz w:val="20"/>
          <w:szCs w:val="20"/>
          <w:color w:val="auto"/>
        </w:rPr>
      </w:pPr>
    </w:p>
    <w:p>
      <w:pPr>
        <w:ind w:left="1960" w:hanging="942"/>
        <w:spacing w:after="0" w:line="246" w:lineRule="auto"/>
        <w:tabs>
          <w:tab w:leader="none" w:pos="1960" w:val="left"/>
        </w:tabs>
        <w:numPr>
          <w:ilvl w:val="2"/>
          <w:numId w:val="17"/>
        </w:numPr>
        <w:rPr>
          <w:rFonts w:ascii="Arial" w:cs="Arial" w:eastAsia="Arial" w:hAnsi="Arial"/>
          <w:sz w:val="20"/>
          <w:szCs w:val="20"/>
          <w:color w:val="auto"/>
        </w:rPr>
      </w:pPr>
      <w:r>
        <w:rPr>
          <w:rFonts w:ascii="Arial" w:cs="Arial" w:eastAsia="Arial" w:hAnsi="Arial"/>
          <w:sz w:val="20"/>
          <w:szCs w:val="20"/>
          <w:color w:val="auto"/>
        </w:rPr>
        <w:t>to allow a Participant to defer the receipt of the payment of cash or the delivery of Shares that would otherwise be due to such Participant under an Award; and</w:t>
      </w:r>
    </w:p>
    <w:p>
      <w:pPr>
        <w:spacing w:after="0" w:line="217" w:lineRule="exact"/>
        <w:rPr>
          <w:rFonts w:ascii="Arial" w:cs="Arial" w:eastAsia="Arial" w:hAnsi="Arial"/>
          <w:sz w:val="20"/>
          <w:szCs w:val="20"/>
          <w:color w:val="auto"/>
        </w:rPr>
      </w:pPr>
    </w:p>
    <w:p>
      <w:pPr>
        <w:ind w:left="1960" w:hanging="996"/>
        <w:spacing w:after="0"/>
        <w:tabs>
          <w:tab w:leader="none" w:pos="1960" w:val="left"/>
        </w:tabs>
        <w:numPr>
          <w:ilvl w:val="2"/>
          <w:numId w:val="17"/>
        </w:numPr>
        <w:rPr>
          <w:rFonts w:ascii="Arial" w:cs="Arial" w:eastAsia="Arial" w:hAnsi="Arial"/>
          <w:sz w:val="20"/>
          <w:szCs w:val="20"/>
          <w:color w:val="auto"/>
        </w:rPr>
      </w:pPr>
      <w:r>
        <w:rPr>
          <w:rFonts w:ascii="Arial" w:cs="Arial" w:eastAsia="Arial" w:hAnsi="Arial"/>
          <w:sz w:val="20"/>
          <w:szCs w:val="20"/>
          <w:color w:val="auto"/>
        </w:rPr>
        <w:t>to make all other determinations deemed necessary or advisable for administering the Plan.</w:t>
      </w:r>
    </w:p>
    <w:p>
      <w:pPr>
        <w:spacing w:after="0" w:line="229" w:lineRule="exact"/>
        <w:rPr>
          <w:rFonts w:ascii="Arial" w:cs="Arial" w:eastAsia="Arial" w:hAnsi="Arial"/>
          <w:sz w:val="20"/>
          <w:szCs w:val="20"/>
          <w:color w:val="auto"/>
        </w:rPr>
      </w:pPr>
    </w:p>
    <w:p>
      <w:pPr>
        <w:ind w:left="1300" w:hanging="644"/>
        <w:spacing w:after="0" w:line="260" w:lineRule="auto"/>
        <w:tabs>
          <w:tab w:leader="none" w:pos="1300" w:val="left"/>
        </w:tabs>
        <w:numPr>
          <w:ilvl w:val="1"/>
          <w:numId w:val="18"/>
        </w:numPr>
        <w:rPr>
          <w:rFonts w:ascii="Arial" w:cs="Arial" w:eastAsia="Arial" w:hAnsi="Arial"/>
          <w:sz w:val="20"/>
          <w:szCs w:val="20"/>
          <w:color w:val="auto"/>
        </w:rPr>
      </w:pPr>
      <w:r>
        <w:rPr>
          <w:rFonts w:ascii="Arial" w:cs="Arial" w:eastAsia="Arial" w:hAnsi="Arial"/>
          <w:sz w:val="20"/>
          <w:szCs w:val="20"/>
          <w:u w:val="single" w:color="auto"/>
          <w:color w:val="auto"/>
        </w:rPr>
        <w:t>Effect of Administrator’s Decision</w:t>
      </w:r>
      <w:r>
        <w:rPr>
          <w:rFonts w:ascii="Arial" w:cs="Arial" w:eastAsia="Arial" w:hAnsi="Arial"/>
          <w:sz w:val="20"/>
          <w:szCs w:val="20"/>
          <w:color w:val="auto"/>
        </w:rPr>
        <w:t>. The decisions, determinations, and interpretations of the Administrator will be final and binding on all Participants and any other holders of Awards.</w:t>
      </w:r>
    </w:p>
    <w:p>
      <w:pPr>
        <w:spacing w:after="0" w:line="190" w:lineRule="exact"/>
        <w:rPr>
          <w:rFonts w:ascii="Arial" w:cs="Arial" w:eastAsia="Arial" w:hAnsi="Arial"/>
          <w:sz w:val="20"/>
          <w:szCs w:val="20"/>
          <w:color w:val="auto"/>
        </w:rPr>
      </w:pPr>
    </w:p>
    <w:p>
      <w:pPr>
        <w:ind w:left="1300" w:hanging="644"/>
        <w:spacing w:after="0" w:line="246" w:lineRule="auto"/>
        <w:tabs>
          <w:tab w:leader="none" w:pos="1300" w:val="left"/>
        </w:tabs>
        <w:numPr>
          <w:ilvl w:val="1"/>
          <w:numId w:val="18"/>
        </w:numPr>
        <w:rPr>
          <w:rFonts w:ascii="Arial" w:cs="Arial" w:eastAsia="Arial" w:hAnsi="Arial"/>
          <w:sz w:val="20"/>
          <w:szCs w:val="20"/>
          <w:color w:val="auto"/>
        </w:rPr>
      </w:pPr>
      <w:r>
        <w:rPr>
          <w:rFonts w:ascii="Arial" w:cs="Arial" w:eastAsia="Arial" w:hAnsi="Arial"/>
          <w:sz w:val="20"/>
          <w:szCs w:val="20"/>
          <w:u w:val="single" w:color="auto"/>
          <w:color w:val="auto"/>
        </w:rPr>
        <w:t>Limitations on Administrative Authority</w:t>
      </w:r>
      <w:r>
        <w:rPr>
          <w:rFonts w:ascii="Arial" w:cs="Arial" w:eastAsia="Arial" w:hAnsi="Arial"/>
          <w:sz w:val="20"/>
          <w:szCs w:val="20"/>
          <w:color w:val="auto"/>
          <w:highlight w:val="white"/>
        </w:rPr>
        <w:t>. Notwithstanding anything herein to the contrary, the Administrator shall be limited</w:t>
      </w:r>
      <w:r>
        <w:rPr>
          <w:rFonts w:ascii="Arial" w:cs="Arial" w:eastAsia="Arial" w:hAnsi="Arial"/>
          <w:sz w:val="20"/>
          <w:szCs w:val="20"/>
          <w:color w:val="auto"/>
        </w:rPr>
        <w:t xml:space="preserve"> as follows:</w:t>
      </w:r>
    </w:p>
    <w:p>
      <w:pPr>
        <w:spacing w:after="0" w:line="217" w:lineRule="exact"/>
        <w:rPr>
          <w:rFonts w:ascii="Arial" w:cs="Arial" w:eastAsia="Arial" w:hAnsi="Arial"/>
          <w:sz w:val="20"/>
          <w:szCs w:val="20"/>
          <w:color w:val="auto"/>
        </w:rPr>
      </w:pPr>
    </w:p>
    <w:p>
      <w:pPr>
        <w:ind w:left="1960" w:hanging="842"/>
        <w:spacing w:after="0"/>
        <w:tabs>
          <w:tab w:leader="none" w:pos="1960" w:val="left"/>
        </w:tabs>
        <w:numPr>
          <w:ilvl w:val="2"/>
          <w:numId w:val="18"/>
        </w:numPr>
        <w:rPr>
          <w:rFonts w:ascii="Arial" w:cs="Arial" w:eastAsia="Arial" w:hAnsi="Arial"/>
          <w:sz w:val="20"/>
          <w:szCs w:val="20"/>
          <w:color w:val="auto"/>
        </w:rPr>
      </w:pPr>
      <w:r>
        <w:rPr>
          <w:rFonts w:ascii="Arial" w:cs="Arial" w:eastAsia="Arial" w:hAnsi="Arial"/>
          <w:sz w:val="20"/>
          <w:szCs w:val="20"/>
          <w:u w:val="single" w:color="auto"/>
          <w:color w:val="auto"/>
        </w:rPr>
        <w:t>Exchange Program</w:t>
      </w:r>
      <w:r>
        <w:rPr>
          <w:rFonts w:ascii="Arial" w:cs="Arial" w:eastAsia="Arial" w:hAnsi="Arial"/>
          <w:sz w:val="20"/>
          <w:szCs w:val="20"/>
          <w:color w:val="auto"/>
        </w:rPr>
        <w:t>. The Administrator may not implement an Exchange Program.</w:t>
      </w:r>
    </w:p>
    <w:p>
      <w:pPr>
        <w:spacing w:after="0" w:line="229" w:lineRule="exact"/>
        <w:rPr>
          <w:rFonts w:ascii="Arial" w:cs="Arial" w:eastAsia="Arial" w:hAnsi="Arial"/>
          <w:sz w:val="20"/>
          <w:szCs w:val="20"/>
          <w:color w:val="auto"/>
        </w:rPr>
      </w:pPr>
    </w:p>
    <w:p>
      <w:pPr>
        <w:jc w:val="both"/>
        <w:ind w:left="1960" w:hanging="898"/>
        <w:spacing w:after="0" w:line="243" w:lineRule="auto"/>
        <w:tabs>
          <w:tab w:leader="none" w:pos="1960" w:val="left"/>
        </w:tabs>
        <w:numPr>
          <w:ilvl w:val="2"/>
          <w:numId w:val="18"/>
        </w:numPr>
        <w:rPr>
          <w:rFonts w:ascii="Arial" w:cs="Arial" w:eastAsia="Arial" w:hAnsi="Arial"/>
          <w:sz w:val="20"/>
          <w:szCs w:val="20"/>
          <w:color w:val="auto"/>
        </w:rPr>
      </w:pPr>
      <w:r>
        <w:rPr>
          <w:rFonts w:ascii="Arial" w:cs="Arial" w:eastAsia="Arial" w:hAnsi="Arial"/>
          <w:sz w:val="20"/>
          <w:szCs w:val="20"/>
          <w:u w:val="single" w:color="auto"/>
          <w:color w:val="auto"/>
        </w:rPr>
        <w:t>No Dividends or Dividend Equivalents Paid on Unvested Awards</w:t>
      </w:r>
      <w:r>
        <w:rPr>
          <w:rFonts w:ascii="Arial" w:cs="Arial" w:eastAsia="Arial" w:hAnsi="Arial"/>
          <w:sz w:val="20"/>
          <w:szCs w:val="20"/>
          <w:color w:val="auto"/>
        </w:rPr>
        <w:t>. No dividends or dividend equivalents shall be paid on any unvested Awards. Any dividends or dividend equivalents may be declared or accrue on unvested Awards, but shall not be paid until the vesting of such Awards.</w:t>
      </w:r>
    </w:p>
    <w:p>
      <w:pPr>
        <w:spacing w:after="0" w:line="205" w:lineRule="exact"/>
        <w:rPr>
          <w:rFonts w:ascii="Arial" w:cs="Arial" w:eastAsia="Arial" w:hAnsi="Arial"/>
          <w:sz w:val="20"/>
          <w:szCs w:val="20"/>
          <w:color w:val="auto"/>
        </w:rPr>
      </w:pPr>
    </w:p>
    <w:p>
      <w:pPr>
        <w:jc w:val="both"/>
        <w:ind w:left="1960" w:hanging="952"/>
        <w:spacing w:after="0" w:line="253" w:lineRule="auto"/>
        <w:tabs>
          <w:tab w:leader="none" w:pos="1960" w:val="left"/>
        </w:tabs>
        <w:numPr>
          <w:ilvl w:val="2"/>
          <w:numId w:val="18"/>
        </w:numPr>
        <w:rPr>
          <w:rFonts w:ascii="Arial" w:cs="Arial" w:eastAsia="Arial" w:hAnsi="Arial"/>
          <w:sz w:val="19"/>
          <w:szCs w:val="19"/>
          <w:color w:val="auto"/>
        </w:rPr>
      </w:pPr>
      <w:r>
        <w:rPr>
          <w:rFonts w:ascii="Arial" w:cs="Arial" w:eastAsia="Arial" w:hAnsi="Arial"/>
          <w:sz w:val="19"/>
          <w:szCs w:val="19"/>
          <w:u w:val="single" w:color="auto"/>
          <w:color w:val="auto"/>
        </w:rPr>
        <w:t>Outside Director Limitations</w:t>
      </w:r>
      <w:r>
        <w:rPr>
          <w:rFonts w:ascii="Arial" w:cs="Arial" w:eastAsia="Arial" w:hAnsi="Arial"/>
          <w:sz w:val="19"/>
          <w:szCs w:val="19"/>
          <w:color w:val="auto"/>
        </w:rPr>
        <w:t>. No Outside Director may be paid, issued or granted, in any Fiscal Year, Awards with an aggregate value greater than $400,000 (with the value of each Award based on its grant date fair value (determined in accordance with U.S. generally accepted accounting principles)), except that such limit will be increased to $500,000 in the Fiscal Year of his or her initial service as an Outside Director. Any Awards granted to an individual for his or her services as an Employee, or for his or her services as a Consultant (other than as an Outside Director), will not count for purposes of the limitation under this Section 4(d)(iii).</w:t>
      </w:r>
    </w:p>
    <w:p>
      <w:pPr>
        <w:spacing w:after="0" w:line="197" w:lineRule="exact"/>
        <w:rPr>
          <w:rFonts w:ascii="Arial" w:cs="Arial" w:eastAsia="Arial" w:hAnsi="Arial"/>
          <w:sz w:val="19"/>
          <w:szCs w:val="19"/>
          <w:color w:val="auto"/>
        </w:rPr>
      </w:pPr>
    </w:p>
    <w:p>
      <w:pPr>
        <w:ind w:left="660" w:hanging="652"/>
        <w:spacing w:after="0" w:line="30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Stock Options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Limitations</w:t>
      </w:r>
      <w:r>
        <w:rPr>
          <w:rFonts w:ascii="Arial" w:cs="Arial" w:eastAsia="Arial" w:hAnsi="Arial"/>
          <w:sz w:val="19"/>
          <w:szCs w:val="19"/>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jc w:val="both"/>
        <w:ind w:left="644" w:hanging="644"/>
        <w:spacing w:after="0" w:line="266" w:lineRule="auto"/>
        <w:tabs>
          <w:tab w:leader="none" w:pos="64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will be stated in the Award Agreement. In the case of any Option (whether Incentive Stock Option or Nonstatutory Stock Option), the maximum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203" w:lineRule="exact"/>
        <w:rPr>
          <w:rFonts w:ascii="Arial" w:cs="Arial" w:eastAsia="Arial" w:hAnsi="Arial"/>
          <w:sz w:val="18"/>
          <w:szCs w:val="18"/>
          <w:color w:val="auto"/>
        </w:rPr>
      </w:pPr>
    </w:p>
    <w:p>
      <w:pPr>
        <w:ind w:left="644" w:hanging="644"/>
        <w:spacing w:after="0"/>
        <w:tabs>
          <w:tab w:leader="none" w:pos="644"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Option Exercise Price and Consideration</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304" w:hanging="842"/>
        <w:spacing w:after="0" w:line="246" w:lineRule="auto"/>
        <w:tabs>
          <w:tab w:leader="none" w:pos="1304" w:val="left"/>
        </w:tabs>
        <w:numPr>
          <w:ilvl w:val="1"/>
          <w:numId w:val="20"/>
        </w:numPr>
        <w:rPr>
          <w:rFonts w:ascii="Arial" w:cs="Arial" w:eastAsia="Arial" w:hAnsi="Arial"/>
          <w:sz w:val="20"/>
          <w:szCs w:val="20"/>
          <w:color w:val="auto"/>
        </w:rPr>
      </w:pPr>
      <w:r>
        <w:rPr>
          <w:rFonts w:ascii="Arial" w:cs="Arial" w:eastAsia="Arial" w:hAnsi="Arial"/>
          <w:sz w:val="20"/>
          <w:szCs w:val="20"/>
          <w:u w:val="single" w:color="auto"/>
          <w:color w:val="auto"/>
        </w:rPr>
        <w:t>Exercise Price</w:t>
      </w:r>
      <w:r>
        <w:rPr>
          <w:rFonts w:ascii="Arial" w:cs="Arial" w:eastAsia="Arial" w:hAnsi="Arial"/>
          <w:sz w:val="20"/>
          <w:szCs w:val="20"/>
          <w:color w:val="auto"/>
        </w:rPr>
        <w:t>. The per share exercise price for the Shares to be issued pursuant to exercise of an Option will be determined by the Administrator, subject to the following:</w:t>
      </w:r>
    </w:p>
    <w:p>
      <w:pPr>
        <w:spacing w:after="0" w:line="217" w:lineRule="exact"/>
        <w:rPr>
          <w:rFonts w:ascii="Arial" w:cs="Arial" w:eastAsia="Arial" w:hAnsi="Arial"/>
          <w:sz w:val="20"/>
          <w:szCs w:val="20"/>
          <w:color w:val="auto"/>
        </w:rPr>
      </w:pPr>
    </w:p>
    <w:p>
      <w:pPr>
        <w:ind w:left="1944" w:hanging="648"/>
        <w:spacing w:after="0"/>
        <w:tabs>
          <w:tab w:leader="none" w:pos="1944" w:val="left"/>
        </w:tabs>
        <w:numPr>
          <w:ilvl w:val="2"/>
          <w:numId w:val="20"/>
        </w:numPr>
        <w:rPr>
          <w:rFonts w:ascii="Arial" w:cs="Arial" w:eastAsia="Arial" w:hAnsi="Arial"/>
          <w:sz w:val="20"/>
          <w:szCs w:val="20"/>
          <w:color w:val="auto"/>
        </w:rPr>
      </w:pPr>
      <w:r>
        <w:rPr>
          <w:rFonts w:ascii="Arial" w:cs="Arial" w:eastAsia="Arial" w:hAnsi="Arial"/>
          <w:sz w:val="20"/>
          <w:szCs w:val="20"/>
          <w:color w:val="auto"/>
        </w:rPr>
        <w:t>In the case of an Incentive Stock Option</w:t>
      </w:r>
    </w:p>
    <w:p>
      <w:pPr>
        <w:spacing w:after="0" w:line="229" w:lineRule="exact"/>
        <w:rPr>
          <w:rFonts w:ascii="Arial" w:cs="Arial" w:eastAsia="Arial" w:hAnsi="Arial"/>
          <w:sz w:val="20"/>
          <w:szCs w:val="20"/>
          <w:color w:val="auto"/>
        </w:rPr>
      </w:pPr>
    </w:p>
    <w:p>
      <w:pPr>
        <w:jc w:val="both"/>
        <w:ind w:left="2584" w:hanging="640"/>
        <w:spacing w:after="0" w:line="253" w:lineRule="auto"/>
        <w:tabs>
          <w:tab w:leader="none" w:pos="2584" w:val="left"/>
        </w:tabs>
        <w:numPr>
          <w:ilvl w:val="3"/>
          <w:numId w:val="20"/>
        </w:numPr>
        <w:rPr>
          <w:rFonts w:ascii="Arial" w:cs="Arial" w:eastAsia="Arial" w:hAnsi="Arial"/>
          <w:sz w:val="19"/>
          <w:szCs w:val="19"/>
          <w:color w:val="auto"/>
        </w:rPr>
      </w:pPr>
      <w:r>
        <w:rPr>
          <w:rFonts w:ascii="Arial" w:cs="Arial" w:eastAsia="Arial" w:hAnsi="Arial"/>
          <w:sz w:val="19"/>
          <w:szCs w:val="19"/>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212" w:lineRule="exact"/>
        <w:rPr>
          <w:rFonts w:ascii="Arial" w:cs="Arial" w:eastAsia="Arial" w:hAnsi="Arial"/>
          <w:sz w:val="19"/>
          <w:szCs w:val="19"/>
          <w:color w:val="auto"/>
        </w:rPr>
      </w:pPr>
    </w:p>
    <w:p>
      <w:pPr>
        <w:jc w:val="both"/>
        <w:ind w:left="2584" w:hanging="640"/>
        <w:spacing w:after="0" w:line="243" w:lineRule="auto"/>
        <w:tabs>
          <w:tab w:leader="none" w:pos="2584" w:val="left"/>
        </w:tabs>
        <w:numPr>
          <w:ilvl w:val="3"/>
          <w:numId w:val="20"/>
        </w:numPr>
        <w:rPr>
          <w:rFonts w:ascii="Arial" w:cs="Arial" w:eastAsia="Arial" w:hAnsi="Arial"/>
          <w:sz w:val="20"/>
          <w:szCs w:val="20"/>
          <w:color w:val="auto"/>
        </w:rPr>
      </w:pPr>
      <w:r>
        <w:rPr>
          <w:rFonts w:ascii="Arial" w:cs="Arial" w:eastAsia="Arial" w:hAnsi="Arial"/>
          <w:sz w:val="20"/>
          <w:szCs w:val="20"/>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205" w:lineRule="exact"/>
        <w:rPr>
          <w:rFonts w:ascii="Arial" w:cs="Arial" w:eastAsia="Arial" w:hAnsi="Arial"/>
          <w:sz w:val="20"/>
          <w:szCs w:val="20"/>
          <w:color w:val="auto"/>
        </w:rPr>
      </w:pPr>
    </w:p>
    <w:p>
      <w:pPr>
        <w:ind w:left="1944" w:hanging="648"/>
        <w:spacing w:after="0" w:line="260" w:lineRule="auto"/>
        <w:tabs>
          <w:tab w:leader="none" w:pos="1944" w:val="left"/>
        </w:tabs>
        <w:numPr>
          <w:ilvl w:val="2"/>
          <w:numId w:val="20"/>
        </w:numPr>
        <w:rPr>
          <w:rFonts w:ascii="Arial" w:cs="Arial" w:eastAsia="Arial" w:hAnsi="Arial"/>
          <w:sz w:val="20"/>
          <w:szCs w:val="20"/>
          <w:color w:val="auto"/>
        </w:rPr>
      </w:pPr>
      <w:r>
        <w:rPr>
          <w:rFonts w:ascii="Arial" w:cs="Arial" w:eastAsia="Arial" w:hAnsi="Arial"/>
          <w:sz w:val="20"/>
          <w:szCs w:val="20"/>
          <w:color w:val="auto"/>
        </w:rPr>
        <w:t>In the case of a Nonstatutory Stock Option, the per Share exercise price will be no less than one hundred percent (100%) of the Fair Market Value per Share on the date of grant.</w:t>
      </w:r>
    </w:p>
    <w:p>
      <w:pPr>
        <w:spacing w:after="0" w:line="190" w:lineRule="exact"/>
        <w:rPr>
          <w:rFonts w:ascii="Arial" w:cs="Arial" w:eastAsia="Arial" w:hAnsi="Arial"/>
          <w:sz w:val="20"/>
          <w:szCs w:val="20"/>
          <w:color w:val="auto"/>
        </w:rPr>
      </w:pPr>
    </w:p>
    <w:p>
      <w:pPr>
        <w:jc w:val="both"/>
        <w:ind w:left="1944" w:hanging="648"/>
        <w:spacing w:after="0" w:line="262" w:lineRule="auto"/>
        <w:tabs>
          <w:tab w:leader="none" w:pos="1944" w:val="left"/>
        </w:tabs>
        <w:numPr>
          <w:ilvl w:val="2"/>
          <w:numId w:val="20"/>
        </w:numPr>
        <w:rPr>
          <w:rFonts w:ascii="Arial" w:cs="Arial" w:eastAsia="Arial" w:hAnsi="Arial"/>
          <w:sz w:val="19"/>
          <w:szCs w:val="19"/>
          <w:color w:val="auto"/>
        </w:rPr>
      </w:pPr>
      <w:r>
        <w:rPr>
          <w:rFonts w:ascii="Arial" w:cs="Arial" w:eastAsia="Arial" w:hAnsi="Arial"/>
          <w:sz w:val="19"/>
          <w:szCs w:val="19"/>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88" w:lineRule="exact"/>
        <w:rPr>
          <w:rFonts w:ascii="Arial" w:cs="Arial" w:eastAsia="Arial" w:hAnsi="Arial"/>
          <w:sz w:val="19"/>
          <w:szCs w:val="19"/>
          <w:color w:val="auto"/>
        </w:rPr>
      </w:pPr>
    </w:p>
    <w:p>
      <w:pPr>
        <w:jc w:val="both"/>
        <w:ind w:left="1304" w:hanging="898"/>
        <w:spacing w:after="0" w:line="243" w:lineRule="auto"/>
        <w:tabs>
          <w:tab w:leader="none" w:pos="1304" w:val="left"/>
        </w:tabs>
        <w:numPr>
          <w:ilvl w:val="1"/>
          <w:numId w:val="20"/>
        </w:numPr>
        <w:rPr>
          <w:rFonts w:ascii="Arial" w:cs="Arial" w:eastAsia="Arial" w:hAnsi="Arial"/>
          <w:sz w:val="20"/>
          <w:szCs w:val="20"/>
          <w:color w:val="auto"/>
        </w:rPr>
      </w:pPr>
      <w:r>
        <w:rPr>
          <w:rFonts w:ascii="Arial" w:cs="Arial" w:eastAsia="Arial" w:hAnsi="Arial"/>
          <w:sz w:val="20"/>
          <w:szCs w:val="20"/>
          <w:u w:val="single" w:color="auto"/>
          <w:color w:val="auto"/>
        </w:rPr>
        <w:t>Waiting Period and Exercise Dates</w:t>
      </w:r>
      <w:r>
        <w:rPr>
          <w:rFonts w:ascii="Arial" w:cs="Arial" w:eastAsia="Arial" w:hAnsi="Arial"/>
          <w:sz w:val="20"/>
          <w:szCs w:val="20"/>
          <w:color w:val="auto"/>
        </w:rPr>
        <w:t>. At the time an Option is granted, the Administrator will fix the period within which the Option may be exercised and will determine any conditions that must be satisfied before the Option may be exercised.</w:t>
      </w:r>
    </w:p>
    <w:p>
      <w:pPr>
        <w:spacing w:after="0" w:line="219" w:lineRule="exact"/>
        <w:rPr>
          <w:rFonts w:ascii="Arial" w:cs="Arial" w:eastAsia="Arial" w:hAnsi="Arial"/>
          <w:sz w:val="20"/>
          <w:szCs w:val="20"/>
          <w:color w:val="auto"/>
        </w:rPr>
      </w:pPr>
    </w:p>
    <w:p>
      <w:pPr>
        <w:jc w:val="both"/>
        <w:ind w:left="1304" w:hanging="952"/>
        <w:spacing w:after="0" w:line="249" w:lineRule="auto"/>
        <w:tabs>
          <w:tab w:leader="none" w:pos="1304"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Form of Consideration</w:t>
      </w:r>
      <w:r>
        <w:rPr>
          <w:rFonts w:ascii="Arial" w:cs="Arial" w:eastAsia="Arial" w:hAnsi="Arial"/>
          <w:sz w:val="19"/>
          <w:szCs w:val="19"/>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other Shares, provided that such Shares have a Fair Market Value on the date of surrender equal to the aggregate exercise price of the Shares as to which such Option will be exercised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44"/>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584"/>
          </w:cols>
          <w:pgMar w:left="976" w:top="1419" w:right="339" w:bottom="1440" w:gutter="0" w:footer="0" w:header="0"/>
        </w:sectPr>
      </w:pPr>
    </w:p>
    <w:bookmarkStart w:id="12" w:name="page13"/>
    <w:bookmarkEnd w:id="12"/>
    <w:p>
      <w:pPr>
        <w:jc w:val="both"/>
        <w:ind w:left="1960"/>
        <w:spacing w:after="0" w:line="312" w:lineRule="auto"/>
        <w:rPr>
          <w:sz w:val="20"/>
          <w:szCs w:val="20"/>
          <w:color w:val="auto"/>
        </w:rPr>
      </w:pPr>
      <w:r>
        <w:rPr>
          <w:rFonts w:ascii="Arial" w:cs="Arial" w:eastAsia="Arial" w:hAnsi="Arial"/>
          <w:sz w:val="16"/>
          <w:szCs w:val="16"/>
          <w:color w:val="auto"/>
        </w:rPr>
        <w:t>provided that accepting such Shares will not result in any adverse accounting consequences to the Company, as the Administrator may determine in its sole discretion; (4) consideration received by the Company under a broker-assisted (or other) cashless exercise program (whether through a broker or otherwise) implemented by the Company in connection with the Plan; (5) by net exercise; (6) such other consideration and method of payment for the issuance of Shares to the extent permitted by Applicable Laws; or (7) any combination of the foregoing methods of payment.</w:t>
      </w:r>
    </w:p>
    <w:p>
      <w:pPr>
        <w:spacing w:after="0" w:line="154"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960" w:hanging="842"/>
        <w:spacing w:after="0" w:line="254" w:lineRule="auto"/>
        <w:tabs>
          <w:tab w:leader="none" w:pos="1960"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Procedure for Exercise; Rights as a Stockholder</w:t>
      </w:r>
      <w:r>
        <w:rPr>
          <w:rFonts w:ascii="Arial" w:cs="Arial" w:eastAsia="Arial" w:hAnsi="Arial"/>
          <w:sz w:val="19"/>
          <w:szCs w:val="19"/>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21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Exercising an Option in any manner will decrease the number of Shares thereafter available, both for purposes of the Plan and for sale under the Option, by the number of Shares as to which the Option is exercised.</w:t>
      </w:r>
    </w:p>
    <w:p>
      <w:pPr>
        <w:spacing w:after="0" w:line="217" w:lineRule="exact"/>
        <w:rPr>
          <w:sz w:val="20"/>
          <w:szCs w:val="20"/>
          <w:color w:val="auto"/>
        </w:rPr>
      </w:pPr>
    </w:p>
    <w:p>
      <w:pPr>
        <w:jc w:val="both"/>
        <w:ind w:left="1960" w:hanging="842"/>
        <w:spacing w:after="0" w:line="247" w:lineRule="auto"/>
        <w:tabs>
          <w:tab w:leader="none" w:pos="1960"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Termination of Relationship as a Service Provider</w:t>
      </w:r>
      <w:r>
        <w:rPr>
          <w:rFonts w:ascii="Arial" w:cs="Arial" w:eastAsia="Arial" w:hAnsi="Arial"/>
          <w:sz w:val="19"/>
          <w:szCs w:val="19"/>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208" w:lineRule="exact"/>
        <w:rPr>
          <w:rFonts w:ascii="Arial" w:cs="Arial" w:eastAsia="Arial" w:hAnsi="Arial"/>
          <w:sz w:val="19"/>
          <w:szCs w:val="19"/>
          <w:color w:val="auto"/>
        </w:rPr>
      </w:pPr>
    </w:p>
    <w:p>
      <w:pPr>
        <w:ind w:left="1960" w:hanging="898"/>
        <w:spacing w:after="0" w:line="316"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Disability of Participant</w:t>
      </w:r>
      <w:r>
        <w:rPr>
          <w:rFonts w:ascii="Arial" w:cs="Arial" w:eastAsia="Arial" w:hAnsi="Arial"/>
          <w:sz w:val="18"/>
          <w:szCs w:val="18"/>
          <w:color w:val="auto"/>
        </w:rPr>
        <w:t>. If a Participant ceases to be a Service Provider as a result of the Participant’s Disability, the Participant may exercise his or her Option within such period of time as is specified in the Award Agreement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13" w:name="page14"/>
    <w:bookmarkEnd w:id="13"/>
    <w:p>
      <w:pPr>
        <w:jc w:val="both"/>
        <w:ind w:left="1960"/>
        <w:spacing w:after="0" w:line="236" w:lineRule="auto"/>
        <w:rPr>
          <w:sz w:val="20"/>
          <w:szCs w:val="20"/>
          <w:color w:val="auto"/>
        </w:rPr>
      </w:pPr>
      <w:r>
        <w:rPr>
          <w:rFonts w:ascii="Arial" w:cs="Arial" w:eastAsia="Arial" w:hAnsi="Arial"/>
          <w:sz w:val="20"/>
          <w:szCs w:val="20"/>
          <w:color w:val="auto"/>
        </w:rPr>
        <w:t>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212" w:lineRule="exact"/>
        <w:rPr>
          <w:sz w:val="20"/>
          <w:szCs w:val="20"/>
          <w:color w:val="auto"/>
        </w:rPr>
      </w:pPr>
    </w:p>
    <w:p>
      <w:pPr>
        <w:jc w:val="both"/>
        <w:ind w:left="1960" w:hanging="952"/>
        <w:spacing w:after="0" w:line="262" w:lineRule="auto"/>
        <w:tabs>
          <w:tab w:leader="none" w:pos="1960" w:val="left"/>
        </w:tabs>
        <w:numPr>
          <w:ilvl w:val="2"/>
          <w:numId w:val="23"/>
        </w:numPr>
        <w:rPr>
          <w:rFonts w:ascii="Arial" w:cs="Arial" w:eastAsia="Arial" w:hAnsi="Arial"/>
          <w:sz w:val="18"/>
          <w:szCs w:val="18"/>
          <w:color w:val="auto"/>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91"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Restricted Stock</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300" w:hanging="644"/>
        <w:spacing w:after="0" w:line="243"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u w:val="single" w:color="auto"/>
          <w:color w:val="auto"/>
        </w:rPr>
        <w:t>Grant of Restricted Stock</w:t>
      </w:r>
      <w:r>
        <w:rPr>
          <w:rFonts w:ascii="Arial" w:cs="Arial" w:eastAsia="Arial" w:hAnsi="Arial"/>
          <w:sz w:val="20"/>
          <w:szCs w:val="20"/>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219" w:lineRule="exact"/>
        <w:rPr>
          <w:rFonts w:ascii="Arial" w:cs="Arial" w:eastAsia="Arial" w:hAnsi="Arial"/>
          <w:sz w:val="20"/>
          <w:szCs w:val="20"/>
          <w:color w:val="auto"/>
        </w:rPr>
      </w:pPr>
    </w:p>
    <w:p>
      <w:pPr>
        <w:jc w:val="both"/>
        <w:ind w:left="1300" w:hanging="644"/>
        <w:spacing w:after="0" w:line="237"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u w:val="single" w:color="auto"/>
          <w:color w:val="auto"/>
        </w:rPr>
        <w:t>Restricted Stock Agreement</w:t>
      </w:r>
      <w:r>
        <w:rPr>
          <w:rFonts w:ascii="Arial" w:cs="Arial" w:eastAsia="Arial" w:hAnsi="Arial"/>
          <w:sz w:val="20"/>
          <w:szCs w:val="20"/>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212" w:lineRule="exact"/>
        <w:rPr>
          <w:rFonts w:ascii="Arial" w:cs="Arial" w:eastAsia="Arial" w:hAnsi="Arial"/>
          <w:sz w:val="20"/>
          <w:szCs w:val="20"/>
          <w:color w:val="auto"/>
        </w:rPr>
      </w:pPr>
    </w:p>
    <w:p>
      <w:pPr>
        <w:ind w:left="1300" w:hanging="644"/>
        <w:spacing w:after="0" w:line="316"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7 or in the Award Agreement, Shares of Restricted Stock may not be sold, transferred, pledged, assigned, or otherwise alienated or hypothecated until the end of the applicable Period of Restriction.</w:t>
      </w:r>
    </w:p>
    <w:p>
      <w:pPr>
        <w:spacing w:after="0" w:line="143" w:lineRule="exact"/>
        <w:rPr>
          <w:rFonts w:ascii="Arial" w:cs="Arial" w:eastAsia="Arial" w:hAnsi="Arial"/>
          <w:sz w:val="18"/>
          <w:szCs w:val="18"/>
          <w:color w:val="auto"/>
        </w:rPr>
      </w:pPr>
    </w:p>
    <w:p>
      <w:pPr>
        <w:ind w:left="1300" w:hanging="644"/>
        <w:spacing w:after="0" w:line="260"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u w:val="single" w:color="auto"/>
          <w:color w:val="auto"/>
        </w:rPr>
        <w:t>Other Restrictions</w:t>
      </w:r>
      <w:r>
        <w:rPr>
          <w:rFonts w:ascii="Arial" w:cs="Arial" w:eastAsia="Arial" w:hAnsi="Arial"/>
          <w:sz w:val="20"/>
          <w:szCs w:val="20"/>
          <w:color w:val="auto"/>
        </w:rPr>
        <w:t>. The Administrator, in its sole discretion, may impose such other restrictions on Shares of Restricted Stock as it may deem advisable or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14" w:name="page15"/>
    <w:bookmarkEnd w:id="14"/>
    <w:p>
      <w:pPr>
        <w:jc w:val="both"/>
        <w:ind w:left="1300" w:hanging="644"/>
        <w:spacing w:after="0" w:line="237" w:lineRule="auto"/>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u w:val="single" w:color="auto"/>
          <w:color w:val="auto"/>
        </w:rPr>
        <w:t>Removal of Restrictions</w:t>
      </w:r>
      <w:r>
        <w:rPr>
          <w:rFonts w:ascii="Arial" w:cs="Arial" w:eastAsia="Arial" w:hAnsi="Arial"/>
          <w:sz w:val="20"/>
          <w:szCs w:val="20"/>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225" w:lineRule="exact"/>
        <w:rPr>
          <w:rFonts w:ascii="Arial" w:cs="Arial" w:eastAsia="Arial" w:hAnsi="Arial"/>
          <w:sz w:val="20"/>
          <w:szCs w:val="20"/>
          <w:color w:val="auto"/>
        </w:rPr>
      </w:pPr>
    </w:p>
    <w:p>
      <w:pPr>
        <w:ind w:left="1300" w:hanging="644"/>
        <w:spacing w:after="0" w:line="272" w:lineRule="auto"/>
        <w:tabs>
          <w:tab w:leader="none" w:pos="1300"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Voting Rights</w:t>
      </w:r>
      <w:r>
        <w:rPr>
          <w:rFonts w:ascii="Arial" w:cs="Arial" w:eastAsia="Arial" w:hAnsi="Arial"/>
          <w:sz w:val="19"/>
          <w:szCs w:val="19"/>
          <w:color w:val="auto"/>
        </w:rPr>
        <w:t>. During the Period of Restriction, Service Providers holding Shares of Restricted Stock granted hereunder may exercise full voting rights with respect to those Shares, unless the Administrator determines otherwise.</w:t>
      </w:r>
    </w:p>
    <w:p>
      <w:pPr>
        <w:spacing w:after="0" w:line="193" w:lineRule="exact"/>
        <w:rPr>
          <w:rFonts w:ascii="Arial" w:cs="Arial" w:eastAsia="Arial" w:hAnsi="Arial"/>
          <w:sz w:val="19"/>
          <w:szCs w:val="19"/>
          <w:color w:val="auto"/>
        </w:rPr>
      </w:pPr>
    </w:p>
    <w:p>
      <w:pPr>
        <w:jc w:val="both"/>
        <w:ind w:left="1300" w:hanging="644"/>
        <w:spacing w:after="0" w:line="235" w:lineRule="auto"/>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u w:val="single" w:color="auto"/>
          <w:color w:val="auto"/>
        </w:rPr>
        <w:t>Dividends and Other Distributions</w:t>
      </w:r>
      <w:r>
        <w:rPr>
          <w:rFonts w:ascii="Arial" w:cs="Arial" w:eastAsia="Arial" w:hAnsi="Arial"/>
          <w:sz w:val="20"/>
          <w:szCs w:val="20"/>
          <w:color w:val="auto"/>
        </w:rPr>
        <w:t>. During the Period of Restriction, Service Providers holding Shares of Restricted Stock will be entitled to receive all dividends and other distributions paid with respect to such Shares, unless the Administrator provides otherwise, subject to Section 4(d)(ii). If any such dividends or distributions are paid in Shares, the Shares will be subject to the same restrictions on transferability and forfeitability as the Shares of Restricted Stock with respect to which they were paid.</w:t>
      </w:r>
    </w:p>
    <w:p>
      <w:pPr>
        <w:spacing w:after="0" w:line="224" w:lineRule="exact"/>
        <w:rPr>
          <w:rFonts w:ascii="Arial" w:cs="Arial" w:eastAsia="Arial" w:hAnsi="Arial"/>
          <w:sz w:val="20"/>
          <w:szCs w:val="20"/>
          <w:color w:val="auto"/>
        </w:rPr>
      </w:pPr>
    </w:p>
    <w:p>
      <w:pPr>
        <w:ind w:left="1300" w:hanging="644"/>
        <w:spacing w:after="0" w:line="272" w:lineRule="auto"/>
        <w:tabs>
          <w:tab w:leader="none" w:pos="1300"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Return of Restricted Stock to Company</w:t>
      </w:r>
      <w:r>
        <w:rPr>
          <w:rFonts w:ascii="Arial" w:cs="Arial" w:eastAsia="Arial" w:hAnsi="Arial"/>
          <w:sz w:val="19"/>
          <w:szCs w:val="19"/>
          <w:color w:val="auto"/>
        </w:rPr>
        <w:t>. On the date set forth in the Award Agreement, the Restricted Stock for which restrictions have not lapsed will revert to the Company and again will become available for grant under the Plan.</w:t>
      </w:r>
    </w:p>
    <w:p>
      <w:pPr>
        <w:spacing w:after="0" w:line="179" w:lineRule="exact"/>
        <w:rPr>
          <w:rFonts w:ascii="Arial" w:cs="Arial" w:eastAsia="Arial" w:hAnsi="Arial"/>
          <w:sz w:val="19"/>
          <w:szCs w:val="19"/>
          <w:color w:val="auto"/>
        </w:rPr>
      </w:pPr>
    </w:p>
    <w:p>
      <w:pPr>
        <w:ind w:left="660" w:hanging="652"/>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Restricted Stock Units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300" w:hanging="644"/>
        <w:spacing w:after="0" w:line="283"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72" w:lineRule="exact"/>
        <w:rPr>
          <w:rFonts w:ascii="Arial" w:cs="Arial" w:eastAsia="Arial" w:hAnsi="Arial"/>
          <w:sz w:val="18"/>
          <w:szCs w:val="18"/>
          <w:color w:val="auto"/>
        </w:rPr>
      </w:pPr>
    </w:p>
    <w:p>
      <w:pPr>
        <w:jc w:val="both"/>
        <w:ind w:left="1300" w:hanging="644"/>
        <w:spacing w:after="0" w:line="272"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Vesting Criteria and Other Terms</w:t>
      </w:r>
      <w:r>
        <w:rPr>
          <w:rFonts w:ascii="Arial" w:cs="Arial" w:eastAsia="Arial" w:hAnsi="Arial"/>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spacing w:after="0" w:line="195" w:lineRule="exact"/>
        <w:rPr>
          <w:rFonts w:ascii="Arial" w:cs="Arial" w:eastAsia="Arial" w:hAnsi="Arial"/>
          <w:sz w:val="18"/>
          <w:szCs w:val="18"/>
          <w:color w:val="auto"/>
        </w:rPr>
      </w:pPr>
    </w:p>
    <w:p>
      <w:pPr>
        <w:jc w:val="both"/>
        <w:ind w:left="1300" w:hanging="644"/>
        <w:spacing w:after="0" w:line="283"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2" w:lineRule="exact"/>
        <w:rPr>
          <w:rFonts w:ascii="Arial" w:cs="Arial" w:eastAsia="Arial" w:hAnsi="Arial"/>
          <w:sz w:val="18"/>
          <w:szCs w:val="18"/>
          <w:color w:val="auto"/>
        </w:rPr>
      </w:pPr>
    </w:p>
    <w:p>
      <w:pPr>
        <w:jc w:val="both"/>
        <w:ind w:left="1300" w:hanging="644"/>
        <w:spacing w:after="0" w:line="243" w:lineRule="auto"/>
        <w:tabs>
          <w:tab w:leader="none" w:pos="1300" w:val="left"/>
        </w:tabs>
        <w:numPr>
          <w:ilvl w:val="1"/>
          <w:numId w:val="26"/>
        </w:numPr>
        <w:rPr>
          <w:rFonts w:ascii="Arial" w:cs="Arial" w:eastAsia="Arial" w:hAnsi="Arial"/>
          <w:sz w:val="20"/>
          <w:szCs w:val="20"/>
          <w:color w:val="auto"/>
        </w:rPr>
      </w:pPr>
      <w:r>
        <w:rPr>
          <w:rFonts w:ascii="Arial" w:cs="Arial" w:eastAsia="Arial" w:hAnsi="Arial"/>
          <w:sz w:val="20"/>
          <w:szCs w:val="20"/>
          <w:u w:val="single" w:color="auto"/>
          <w:color w:val="auto"/>
        </w:rPr>
        <w:t>Form and Timing of Payment</w:t>
      </w:r>
      <w:r>
        <w:rPr>
          <w:rFonts w:ascii="Arial" w:cs="Arial" w:eastAsia="Arial" w:hAnsi="Arial"/>
          <w:sz w:val="20"/>
          <w:szCs w:val="20"/>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205" w:lineRule="exact"/>
        <w:rPr>
          <w:rFonts w:ascii="Arial" w:cs="Arial" w:eastAsia="Arial" w:hAnsi="Arial"/>
          <w:sz w:val="20"/>
          <w:szCs w:val="20"/>
          <w:color w:val="auto"/>
        </w:rPr>
      </w:pPr>
    </w:p>
    <w:p>
      <w:pPr>
        <w:ind w:left="1300" w:hanging="644"/>
        <w:spacing w:after="0" w:line="260" w:lineRule="auto"/>
        <w:tabs>
          <w:tab w:leader="none" w:pos="1300" w:val="left"/>
        </w:tabs>
        <w:numPr>
          <w:ilvl w:val="1"/>
          <w:numId w:val="26"/>
        </w:numPr>
        <w:rPr>
          <w:rFonts w:ascii="Arial" w:cs="Arial" w:eastAsia="Arial" w:hAnsi="Arial"/>
          <w:sz w:val="20"/>
          <w:szCs w:val="20"/>
          <w:color w:val="auto"/>
        </w:rPr>
      </w:pPr>
      <w:r>
        <w:rPr>
          <w:rFonts w:ascii="Arial" w:cs="Arial" w:eastAsia="Arial" w:hAnsi="Arial"/>
          <w:sz w:val="20"/>
          <w:szCs w:val="20"/>
          <w:u w:val="single" w:color="auto"/>
          <w:color w:val="auto"/>
        </w:rPr>
        <w:t>Cancellation</w:t>
      </w:r>
      <w:r>
        <w:rPr>
          <w:rFonts w:ascii="Arial" w:cs="Arial" w:eastAsia="Arial" w:hAnsi="Arial"/>
          <w:sz w:val="20"/>
          <w:szCs w:val="20"/>
          <w:color w:val="auto"/>
        </w:rPr>
        <w:t>. On the date set forth in the Award Agreement, all unearned Restricted Stock Units will be forfeited to the Company.</w:t>
      </w:r>
    </w:p>
    <w:p>
      <w:pPr>
        <w:spacing w:after="0" w:line="190" w:lineRule="exact"/>
        <w:rPr>
          <w:rFonts w:ascii="Arial" w:cs="Arial" w:eastAsia="Arial" w:hAnsi="Arial"/>
          <w:sz w:val="20"/>
          <w:szCs w:val="20"/>
          <w:color w:val="auto"/>
        </w:rPr>
      </w:pPr>
    </w:p>
    <w:p>
      <w:pPr>
        <w:ind w:left="660" w:hanging="652"/>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Stock Appreciation Rights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15" w:name="page16"/>
    <w:bookmarkEnd w:id="15"/>
    <w:p>
      <w:pPr>
        <w:jc w:val="both"/>
        <w:ind w:left="1300" w:hanging="644"/>
        <w:spacing w:after="0" w:line="243" w:lineRule="auto"/>
        <w:tabs>
          <w:tab w:leader="none" w:pos="1300" w:val="left"/>
        </w:tabs>
        <w:numPr>
          <w:ilvl w:val="1"/>
          <w:numId w:val="27"/>
        </w:numPr>
        <w:rPr>
          <w:rFonts w:ascii="Arial" w:cs="Arial" w:eastAsia="Arial" w:hAnsi="Arial"/>
          <w:sz w:val="20"/>
          <w:szCs w:val="20"/>
          <w:color w:val="auto"/>
        </w:rPr>
      </w:pPr>
      <w:r>
        <w:rPr>
          <w:rFonts w:ascii="Arial" w:cs="Arial" w:eastAsia="Arial" w:hAnsi="Arial"/>
          <w:sz w:val="20"/>
          <w:szCs w:val="20"/>
          <w:u w:val="single" w:color="auto"/>
          <w:color w:val="auto"/>
        </w:rPr>
        <w:t>Grant of Stock Appreciation Rights</w:t>
      </w:r>
      <w:r>
        <w:rPr>
          <w:rFonts w:ascii="Arial" w:cs="Arial" w:eastAsia="Arial" w:hAnsi="Arial"/>
          <w:sz w:val="20"/>
          <w:szCs w:val="20"/>
          <w:color w:val="auto"/>
        </w:rPr>
        <w:t>. Subject to the terms and conditions of the Plan, a Stock Appreciation Right may be granted to Service Providers at any time and from time to time as will be determined by the Administrator, in its sole discretion.</w:t>
      </w:r>
    </w:p>
    <w:p>
      <w:pPr>
        <w:spacing w:after="0" w:line="205" w:lineRule="exact"/>
        <w:rPr>
          <w:rFonts w:ascii="Arial" w:cs="Arial" w:eastAsia="Arial" w:hAnsi="Arial"/>
          <w:sz w:val="20"/>
          <w:szCs w:val="20"/>
          <w:color w:val="auto"/>
        </w:rPr>
      </w:pPr>
    </w:p>
    <w:p>
      <w:pPr>
        <w:ind w:left="1300" w:hanging="644"/>
        <w:spacing w:after="0" w:line="260" w:lineRule="auto"/>
        <w:tabs>
          <w:tab w:leader="none" w:pos="1300" w:val="left"/>
        </w:tabs>
        <w:numPr>
          <w:ilvl w:val="1"/>
          <w:numId w:val="27"/>
        </w:numPr>
        <w:rPr>
          <w:rFonts w:ascii="Arial" w:cs="Arial" w:eastAsia="Arial" w:hAnsi="Arial"/>
          <w:sz w:val="20"/>
          <w:szCs w:val="20"/>
          <w:color w:val="auto"/>
        </w:rPr>
      </w:pPr>
      <w:r>
        <w:rPr>
          <w:rFonts w:ascii="Arial" w:cs="Arial" w:eastAsia="Arial" w:hAnsi="Arial"/>
          <w:sz w:val="20"/>
          <w:szCs w:val="20"/>
          <w:u w:val="single" w:color="auto"/>
          <w:color w:val="auto"/>
        </w:rPr>
        <w:t>Number of Shares</w:t>
      </w:r>
      <w:r>
        <w:rPr>
          <w:rFonts w:ascii="Arial" w:cs="Arial" w:eastAsia="Arial" w:hAnsi="Arial"/>
          <w:sz w:val="20"/>
          <w:szCs w:val="20"/>
          <w:color w:val="auto"/>
        </w:rPr>
        <w:t>. The Administrator will have complete discretion to determine the number of Stock Appreciation Rights granted to any Service Provider.</w:t>
      </w:r>
    </w:p>
    <w:p>
      <w:pPr>
        <w:spacing w:after="0" w:line="190" w:lineRule="exact"/>
        <w:rPr>
          <w:rFonts w:ascii="Arial" w:cs="Arial" w:eastAsia="Arial" w:hAnsi="Arial"/>
          <w:sz w:val="20"/>
          <w:szCs w:val="20"/>
          <w:color w:val="auto"/>
        </w:rPr>
      </w:pPr>
    </w:p>
    <w:p>
      <w:pPr>
        <w:jc w:val="both"/>
        <w:ind w:left="1300" w:hanging="644"/>
        <w:spacing w:after="0" w:line="236" w:lineRule="auto"/>
        <w:tabs>
          <w:tab w:leader="none" w:pos="1300" w:val="left"/>
        </w:tabs>
        <w:numPr>
          <w:ilvl w:val="1"/>
          <w:numId w:val="27"/>
        </w:numPr>
        <w:rPr>
          <w:rFonts w:ascii="Arial" w:cs="Arial" w:eastAsia="Arial" w:hAnsi="Arial"/>
          <w:sz w:val="20"/>
          <w:szCs w:val="20"/>
          <w:color w:val="auto"/>
        </w:rPr>
      </w:pPr>
      <w:r>
        <w:rPr>
          <w:rFonts w:ascii="Arial" w:cs="Arial" w:eastAsia="Arial" w:hAnsi="Arial"/>
          <w:sz w:val="20"/>
          <w:szCs w:val="20"/>
          <w:u w:val="single" w:color="auto"/>
          <w:color w:val="auto"/>
        </w:rPr>
        <w:t>Exercise Price and Other Terms</w:t>
      </w:r>
      <w:r>
        <w:rPr>
          <w:rFonts w:ascii="Arial" w:cs="Arial" w:eastAsia="Arial" w:hAnsi="Arial"/>
          <w:sz w:val="20"/>
          <w:szCs w:val="20"/>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subject to Section 6(a) of the Plan, the Administrator, subject to the provisions of the Plan, will have complete discretion to determine the terms and conditions of Stock Appreciation Rights granted under the Plan; provided, that the maximum term of any Stock Appreciation Right will be ten (10) years from the date of grant.</w:t>
      </w:r>
    </w:p>
    <w:p>
      <w:pPr>
        <w:spacing w:after="0" w:line="222" w:lineRule="exact"/>
        <w:rPr>
          <w:rFonts w:ascii="Arial" w:cs="Arial" w:eastAsia="Arial" w:hAnsi="Arial"/>
          <w:sz w:val="20"/>
          <w:szCs w:val="20"/>
          <w:color w:val="auto"/>
        </w:rPr>
      </w:pPr>
    </w:p>
    <w:p>
      <w:pPr>
        <w:jc w:val="both"/>
        <w:ind w:left="1300" w:hanging="644"/>
        <w:spacing w:after="0" w:line="237" w:lineRule="auto"/>
        <w:tabs>
          <w:tab w:leader="none" w:pos="1300" w:val="left"/>
        </w:tabs>
        <w:numPr>
          <w:ilvl w:val="1"/>
          <w:numId w:val="27"/>
        </w:numPr>
        <w:rPr>
          <w:rFonts w:ascii="Arial" w:cs="Arial" w:eastAsia="Arial" w:hAnsi="Arial"/>
          <w:sz w:val="20"/>
          <w:szCs w:val="20"/>
          <w:color w:val="auto"/>
        </w:rPr>
      </w:pPr>
      <w:r>
        <w:rPr>
          <w:rFonts w:ascii="Arial" w:cs="Arial" w:eastAsia="Arial" w:hAnsi="Arial"/>
          <w:sz w:val="20"/>
          <w:szCs w:val="20"/>
          <w:u w:val="single" w:color="auto"/>
          <w:color w:val="auto"/>
        </w:rPr>
        <w:t>Stock Appreciation Right Agreement</w:t>
      </w:r>
      <w:r>
        <w:rPr>
          <w:rFonts w:ascii="Arial" w:cs="Arial" w:eastAsia="Arial" w:hAnsi="Arial"/>
          <w:sz w:val="20"/>
          <w:szCs w:val="20"/>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223" w:lineRule="exact"/>
        <w:rPr>
          <w:rFonts w:ascii="Arial" w:cs="Arial" w:eastAsia="Arial" w:hAnsi="Arial"/>
          <w:sz w:val="20"/>
          <w:szCs w:val="20"/>
          <w:color w:val="auto"/>
        </w:rPr>
      </w:pPr>
    </w:p>
    <w:p>
      <w:pPr>
        <w:jc w:val="both"/>
        <w:ind w:left="1300" w:hanging="644"/>
        <w:spacing w:after="0" w:line="237" w:lineRule="auto"/>
        <w:tabs>
          <w:tab w:leader="none" w:pos="1300" w:val="left"/>
        </w:tabs>
        <w:numPr>
          <w:ilvl w:val="1"/>
          <w:numId w:val="27"/>
        </w:numPr>
        <w:rPr>
          <w:rFonts w:ascii="Arial" w:cs="Arial" w:eastAsia="Arial" w:hAnsi="Arial"/>
          <w:sz w:val="20"/>
          <w:szCs w:val="20"/>
          <w:color w:val="auto"/>
        </w:rPr>
      </w:pPr>
      <w:r>
        <w:rPr>
          <w:rFonts w:ascii="Arial" w:cs="Arial" w:eastAsia="Arial" w:hAnsi="Arial"/>
          <w:sz w:val="20"/>
          <w:szCs w:val="20"/>
          <w:u w:val="single" w:color="auto"/>
          <w:color w:val="auto"/>
        </w:rPr>
        <w:t>Expiration of Stock Appreciation Rights</w:t>
      </w:r>
      <w:r>
        <w:rPr>
          <w:rFonts w:ascii="Arial" w:cs="Arial" w:eastAsia="Arial" w:hAnsi="Arial"/>
          <w:sz w:val="20"/>
          <w:szCs w:val="20"/>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225" w:lineRule="exact"/>
        <w:rPr>
          <w:rFonts w:ascii="Arial" w:cs="Arial" w:eastAsia="Arial" w:hAnsi="Arial"/>
          <w:sz w:val="20"/>
          <w:szCs w:val="20"/>
          <w:color w:val="auto"/>
        </w:rPr>
      </w:pPr>
    </w:p>
    <w:p>
      <w:pPr>
        <w:jc w:val="both"/>
        <w:ind w:left="1300" w:hanging="644"/>
        <w:spacing w:after="0" w:line="266"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 (i) the difference between the Fair Market Value of a Share on the date of exercise over the exercise price times (ii) the number of Shares with respect to which the Stock Appreciation Right is exercised. At the discretion of the Administrator, the payment upon exercise of a Stock Appreciation Right may be made in cash, in Shares of equivalent value, or in some combination thereof.</w:t>
      </w:r>
    </w:p>
    <w:p>
      <w:pPr>
        <w:spacing w:after="0" w:line="202"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Performance Units and Performance Shares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300" w:hanging="644"/>
        <w:spacing w:after="0" w:line="28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Grant of Performance Units/Shares</w:t>
      </w:r>
      <w:r>
        <w:rPr>
          <w:rFonts w:ascii="Arial" w:cs="Arial" w:eastAsia="Arial" w:hAnsi="Arial"/>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72" w:lineRule="exact"/>
        <w:rPr>
          <w:rFonts w:ascii="Arial" w:cs="Arial" w:eastAsia="Arial" w:hAnsi="Arial"/>
          <w:sz w:val="18"/>
          <w:szCs w:val="18"/>
          <w:color w:val="auto"/>
        </w:rPr>
      </w:pPr>
    </w:p>
    <w:p>
      <w:pPr>
        <w:jc w:val="both"/>
        <w:ind w:left="1300" w:hanging="644"/>
        <w:spacing w:after="0" w:line="243" w:lineRule="auto"/>
        <w:tabs>
          <w:tab w:leader="none" w:pos="1300"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Value of Performance Units/Shares</w:t>
      </w:r>
      <w:r>
        <w:rPr>
          <w:rFonts w:ascii="Arial" w:cs="Arial" w:eastAsia="Arial" w:hAnsi="Arial"/>
          <w:sz w:val="20"/>
          <w:szCs w:val="20"/>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219" w:lineRule="exact"/>
        <w:rPr>
          <w:rFonts w:ascii="Arial" w:cs="Arial" w:eastAsia="Arial" w:hAnsi="Arial"/>
          <w:sz w:val="20"/>
          <w:szCs w:val="20"/>
          <w:color w:val="auto"/>
        </w:rPr>
      </w:pPr>
    </w:p>
    <w:p>
      <w:pPr>
        <w:jc w:val="both"/>
        <w:ind w:left="1300" w:hanging="644"/>
        <w:spacing w:after="0" w:line="28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Performance Objectives and Other Terms</w:t>
      </w:r>
      <w:r>
        <w:rPr>
          <w:rFonts w:ascii="Arial" w:cs="Arial" w:eastAsia="Arial" w:hAnsi="Arial"/>
          <w:sz w:val="18"/>
          <w:szCs w:val="18"/>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9" w:right="339" w:bottom="1440" w:gutter="0" w:footer="0" w:header="0"/>
        </w:sectPr>
      </w:pPr>
    </w:p>
    <w:bookmarkStart w:id="16" w:name="page17"/>
    <w:bookmarkEnd w:id="16"/>
    <w:p>
      <w:pPr>
        <w:jc w:val="both"/>
        <w:ind w:left="1300"/>
        <w:spacing w:after="0" w:line="236" w:lineRule="auto"/>
        <w:rPr>
          <w:sz w:val="20"/>
          <w:szCs w:val="20"/>
          <w:color w:val="auto"/>
        </w:rPr>
      </w:pPr>
      <w:r>
        <w:rPr>
          <w:rFonts w:ascii="Arial" w:cs="Arial" w:eastAsia="Arial" w:hAnsi="Arial"/>
          <w:sz w:val="20"/>
          <w:szCs w:val="20"/>
          <w:color w:val="auto"/>
        </w:rPr>
        <w:t>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pacing w:after="0" w:line="223" w:lineRule="exact"/>
        <w:rPr>
          <w:sz w:val="20"/>
          <w:szCs w:val="20"/>
          <w:color w:val="auto"/>
        </w:rPr>
      </w:pPr>
    </w:p>
    <w:p>
      <w:pPr>
        <w:jc w:val="both"/>
        <w:ind w:left="1300" w:hanging="644"/>
        <w:spacing w:after="0" w:line="266"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Earning of Performance Units/Shares</w:t>
      </w:r>
      <w:r>
        <w:rPr>
          <w:rFonts w:ascii="Arial" w:cs="Arial" w:eastAsia="Arial" w:hAnsi="Arial"/>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202" w:lineRule="exact"/>
        <w:rPr>
          <w:rFonts w:ascii="Arial" w:cs="Arial" w:eastAsia="Arial" w:hAnsi="Arial"/>
          <w:sz w:val="18"/>
          <w:szCs w:val="18"/>
          <w:color w:val="auto"/>
        </w:rPr>
      </w:pPr>
    </w:p>
    <w:p>
      <w:pPr>
        <w:jc w:val="both"/>
        <w:ind w:left="1300" w:hanging="644"/>
        <w:spacing w:after="0" w:line="316"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Form and Timing of Payment of Performance Units/Shares</w:t>
      </w:r>
      <w:r>
        <w:rPr>
          <w:rFonts w:ascii="Arial" w:cs="Arial" w:eastAsia="Arial" w:hAnsi="Arial"/>
          <w:sz w:val="16"/>
          <w:szCs w:val="16"/>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51" w:lineRule="exact"/>
        <w:rPr>
          <w:rFonts w:ascii="Arial" w:cs="Arial" w:eastAsia="Arial" w:hAnsi="Arial"/>
          <w:sz w:val="16"/>
          <w:szCs w:val="16"/>
          <w:color w:val="auto"/>
        </w:rPr>
      </w:pPr>
    </w:p>
    <w:p>
      <w:pPr>
        <w:ind w:left="1300" w:hanging="644"/>
        <w:spacing w:after="0" w:line="287" w:lineRule="auto"/>
        <w:tabs>
          <w:tab w:leader="none" w:pos="1300"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Cancellation of Performance Units/Shares</w:t>
      </w:r>
      <w:r>
        <w:rPr>
          <w:rFonts w:ascii="Arial" w:cs="Arial" w:eastAsia="Arial" w:hAnsi="Arial"/>
          <w:sz w:val="19"/>
          <w:szCs w:val="19"/>
          <w:color w:val="auto"/>
        </w:rPr>
        <w:t>. On the date set forth in the Award Agreement, all unearned or unvested Performance Units/Shares will be forfeited to the Company, and again will be available for grant under the Plan.</w:t>
      </w:r>
    </w:p>
    <w:p>
      <w:pPr>
        <w:spacing w:after="0" w:line="165" w:lineRule="exact"/>
        <w:rPr>
          <w:rFonts w:ascii="Arial" w:cs="Arial" w:eastAsia="Arial" w:hAnsi="Arial"/>
          <w:sz w:val="19"/>
          <w:szCs w:val="19"/>
          <w:color w:val="auto"/>
        </w:rPr>
      </w:pPr>
    </w:p>
    <w:p>
      <w:pPr>
        <w:jc w:val="both"/>
        <w:ind w:left="660" w:hanging="652"/>
        <w:spacing w:after="0" w:line="266" w:lineRule="auto"/>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Leaves of Absence/Transfers Between Locations</w:t>
      </w:r>
      <w:r>
        <w:rPr>
          <w:rFonts w:ascii="Arial" w:cs="Arial" w:eastAsia="Arial" w:hAnsi="Arial"/>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day of such leave any Incentive Stock Option held by the Participant will cease to be treated as an Incentive Stock Option and will be treated for tax purposes as a Nonstatutory Stock Option.</w:t>
      </w:r>
    </w:p>
    <w:p>
      <w:pPr>
        <w:spacing w:after="0" w:line="18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Transferability of Awards</w:t>
      </w:r>
      <w:r>
        <w:rPr>
          <w:rFonts w:ascii="Arial" w:cs="Arial" w:eastAsia="Arial" w:hAnsi="Arial"/>
          <w:sz w:val="20"/>
          <w:szCs w:val="20"/>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provided that no Award shall be transferred for value or consideration.</w:t>
      </w:r>
    </w:p>
    <w:p>
      <w:pPr>
        <w:spacing w:after="0" w:line="209" w:lineRule="exact"/>
        <w:rPr>
          <w:rFonts w:ascii="Arial" w:cs="Arial" w:eastAsia="Arial" w:hAnsi="Arial"/>
          <w:sz w:val="20"/>
          <w:szCs w:val="20"/>
          <w:color w:val="auto"/>
        </w:rPr>
      </w:pPr>
    </w:p>
    <w:p>
      <w:pPr>
        <w:ind w:left="660" w:hanging="652"/>
        <w:spacing w:after="0"/>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Adjustments; Dissolution or Liquidation; Merger or Change in Control</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300" w:hanging="644"/>
        <w:spacing w:after="0" w:line="262" w:lineRule="auto"/>
        <w:tabs>
          <w:tab w:leader="none" w:pos="1300"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17" w:name="page18"/>
    <w:bookmarkEnd w:id="17"/>
    <w:p>
      <w:pPr>
        <w:jc w:val="both"/>
        <w:ind w:left="1300"/>
        <w:spacing w:after="0" w:line="237" w:lineRule="auto"/>
        <w:rPr>
          <w:sz w:val="20"/>
          <w:szCs w:val="20"/>
          <w:color w:val="auto"/>
        </w:rPr>
      </w:pPr>
      <w:r>
        <w:rPr>
          <w:rFonts w:ascii="Arial" w:cs="Arial" w:eastAsia="Arial" w:hAnsi="Arial"/>
          <w:sz w:val="20"/>
          <w:szCs w:val="20"/>
          <w:color w:val="auto"/>
        </w:rPr>
        <w:t>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226" w:lineRule="exact"/>
        <w:rPr>
          <w:sz w:val="20"/>
          <w:szCs w:val="20"/>
          <w:color w:val="auto"/>
        </w:rPr>
      </w:pPr>
    </w:p>
    <w:p>
      <w:pPr>
        <w:jc w:val="both"/>
        <w:ind w:left="1300" w:hanging="644"/>
        <w:spacing w:after="0" w:line="283"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2"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In the event of a merger or Change in Control, each outstanding Award will be treated in accordance with this Section 13(c) or as provided in an Award Agreement,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21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20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9"/>
          <w:szCs w:val="19"/>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18" w:name="page19"/>
    <w:bookmarkEnd w:id="18"/>
    <w:p>
      <w:pPr>
        <w:jc w:val="both"/>
        <w:ind w:left="1300" w:hanging="644"/>
        <w:spacing w:after="0" w:line="248" w:lineRule="auto"/>
        <w:tabs>
          <w:tab w:leader="none" w:pos="1300"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Outside Director Awards</w:t>
      </w:r>
      <w:r>
        <w:rPr>
          <w:rFonts w:ascii="Arial" w:cs="Arial" w:eastAsia="Arial" w:hAnsi="Arial"/>
          <w:sz w:val="19"/>
          <w:szCs w:val="19"/>
          <w:color w:val="auto"/>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Performance Units and Performance Shares, all performance goals or other vesting criteria will be deemed achieved at one hundred percent (100%) of target levels and all other terms and conditions met.</w:t>
      </w:r>
    </w:p>
    <w:p>
      <w:pPr>
        <w:spacing w:after="0" w:line="205" w:lineRule="exact"/>
        <w:rPr>
          <w:rFonts w:ascii="Arial" w:cs="Arial" w:eastAsia="Arial" w:hAnsi="Arial"/>
          <w:sz w:val="19"/>
          <w:szCs w:val="19"/>
          <w:color w:val="auto"/>
        </w:rPr>
      </w:pPr>
    </w:p>
    <w:p>
      <w:pPr>
        <w:ind w:left="660" w:hanging="652"/>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Tax</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300" w:hanging="644"/>
        <w:spacing w:after="0" w:line="237" w:lineRule="auto"/>
        <w:tabs>
          <w:tab w:leader="none" w:pos="1300" w:val="left"/>
        </w:tabs>
        <w:numPr>
          <w:ilvl w:val="1"/>
          <w:numId w:val="33"/>
        </w:numPr>
        <w:rPr>
          <w:rFonts w:ascii="Arial" w:cs="Arial" w:eastAsia="Arial" w:hAnsi="Arial"/>
          <w:sz w:val="20"/>
          <w:szCs w:val="20"/>
          <w:color w:val="auto"/>
        </w:rPr>
      </w:pPr>
      <w:r>
        <w:rPr>
          <w:rFonts w:ascii="Arial" w:cs="Arial" w:eastAsia="Arial" w:hAnsi="Arial"/>
          <w:sz w:val="20"/>
          <w:szCs w:val="20"/>
          <w:u w:val="single" w:color="auto"/>
          <w:color w:val="auto"/>
        </w:rPr>
        <w:t>Withholding Requirements</w:t>
      </w:r>
      <w:r>
        <w:rPr>
          <w:rFonts w:ascii="Arial" w:cs="Arial" w:eastAsia="Arial" w:hAnsi="Arial"/>
          <w:sz w:val="20"/>
          <w:szCs w:val="20"/>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212" w:lineRule="exact"/>
        <w:rPr>
          <w:rFonts w:ascii="Arial" w:cs="Arial" w:eastAsia="Arial" w:hAnsi="Arial"/>
          <w:sz w:val="20"/>
          <w:szCs w:val="20"/>
          <w:color w:val="auto"/>
        </w:rPr>
      </w:pPr>
    </w:p>
    <w:p>
      <w:pPr>
        <w:ind w:left="1300" w:hanging="644"/>
        <w:spacing w:after="0"/>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Withholding Arrangements</w:t>
      </w:r>
      <w:r>
        <w:rPr>
          <w:rFonts w:ascii="Arial" w:cs="Arial" w:eastAsia="Arial" w:hAnsi="Arial"/>
          <w:sz w:val="18"/>
          <w:szCs w:val="18"/>
          <w:color w:val="auto"/>
        </w:rPr>
        <w:t>. The Administrator, in its sole discretion and pursuant to such procedures as it may specify from</w:t>
      </w:r>
    </w:p>
    <w:p>
      <w:pPr>
        <w:spacing w:after="0" w:line="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time to time, may permit a Participant to satisfy such tax withholding obligation, in whole or in part by (without limitation)</w:t>
      </w:r>
    </w:p>
    <w:p>
      <w:pPr>
        <w:spacing w:after="0" w:line="9" w:lineRule="exact"/>
        <w:rPr>
          <w:sz w:val="20"/>
          <w:szCs w:val="20"/>
          <w:color w:val="auto"/>
        </w:rPr>
      </w:pPr>
    </w:p>
    <w:p>
      <w:pPr>
        <w:jc w:val="both"/>
        <w:ind w:left="1300"/>
        <w:spacing w:after="0" w:line="271" w:lineRule="auto"/>
        <w:rPr>
          <w:sz w:val="20"/>
          <w:szCs w:val="20"/>
          <w:color w:val="auto"/>
        </w:rPr>
      </w:pPr>
      <w:r>
        <w:rPr>
          <w:rFonts w:ascii="Arial" w:cs="Arial" w:eastAsia="Arial" w:hAnsi="Arial"/>
          <w:sz w:val="18"/>
          <w:szCs w:val="18"/>
          <w:color w:val="auto"/>
        </w:rPr>
        <w:t>(a) paying cash, (b) electing to have the Company withhold otherwise deliverable cash or Shares having a fair market value not in excess of the maximum statutory amount required to be withheld, or (c)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spacing w:after="0" w:line="183" w:lineRule="exact"/>
        <w:rPr>
          <w:sz w:val="20"/>
          <w:szCs w:val="20"/>
          <w:color w:val="auto"/>
        </w:rPr>
      </w:pPr>
    </w:p>
    <w:p>
      <w:pPr>
        <w:jc w:val="both"/>
        <w:ind w:left="1300" w:hanging="644"/>
        <w:spacing w:after="0" w:line="262"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207"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No Effect on Employment or Service</w:t>
      </w:r>
      <w:r>
        <w:rPr>
          <w:rFonts w:ascii="Arial" w:cs="Arial" w:eastAsia="Arial" w:hAnsi="Arial"/>
          <w:sz w:val="20"/>
          <w:szCs w:val="20"/>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225" w:lineRule="exact"/>
        <w:rPr>
          <w:rFonts w:ascii="Arial" w:cs="Arial" w:eastAsia="Arial" w:hAnsi="Arial"/>
          <w:sz w:val="20"/>
          <w:szCs w:val="20"/>
          <w:color w:val="auto"/>
        </w:rPr>
      </w:pPr>
    </w:p>
    <w:p>
      <w:pPr>
        <w:ind w:left="660" w:hanging="652"/>
        <w:spacing w:after="0" w:line="246" w:lineRule="auto"/>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Date of Grant</w:t>
      </w:r>
      <w:r>
        <w:rPr>
          <w:rFonts w:ascii="Arial" w:cs="Arial" w:eastAsia="Arial" w:hAnsi="Arial"/>
          <w:sz w:val="20"/>
          <w:szCs w:val="20"/>
          <w:color w:val="auto"/>
        </w:rPr>
        <w:t>. The date of grant of an Award will be, for all purposes, the date on which the Administrator makes the determination granting such Award, or such other later date as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19" w:name="page20"/>
    <w:bookmarkEnd w:id="19"/>
    <w:p>
      <w:pPr>
        <w:ind w:left="660"/>
        <w:spacing w:after="0" w:line="246" w:lineRule="auto"/>
        <w:rPr>
          <w:sz w:val="20"/>
          <w:szCs w:val="20"/>
          <w:color w:val="auto"/>
        </w:rPr>
      </w:pPr>
      <w:r>
        <w:rPr>
          <w:rFonts w:ascii="Arial" w:cs="Arial" w:eastAsia="Arial" w:hAnsi="Arial"/>
          <w:sz w:val="20"/>
          <w:szCs w:val="20"/>
          <w:color w:val="auto"/>
        </w:rPr>
        <w:t>determined by the Administrator. Notice of the determination will be provided to each Participant within a reasonable time after the date of such grant.</w:t>
      </w:r>
    </w:p>
    <w:p>
      <w:pPr>
        <w:spacing w:after="0" w:line="217" w:lineRule="exact"/>
        <w:rPr>
          <w:sz w:val="20"/>
          <w:szCs w:val="20"/>
          <w:color w:val="auto"/>
        </w:rPr>
      </w:pPr>
    </w:p>
    <w:p>
      <w:pPr>
        <w:jc w:val="both"/>
        <w:ind w:left="660" w:hanging="652"/>
        <w:spacing w:after="0" w:line="243"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Term of Plan</w:t>
      </w:r>
      <w:r>
        <w:rPr>
          <w:rFonts w:ascii="Arial" w:cs="Arial" w:eastAsia="Arial" w:hAnsi="Arial"/>
          <w:sz w:val="20"/>
          <w:szCs w:val="20"/>
          <w:color w:val="auto"/>
        </w:rPr>
        <w:t>. Subject to Section 22 of the Plan, the Plan will become effective upon the Amendment Effective Date. It will continue in effect for a term of ten (10) years from the date of the Amendment Effective Date, unless terminated earlier under Section 18 of the Plan.</w:t>
      </w:r>
    </w:p>
    <w:p>
      <w:pPr>
        <w:spacing w:after="0" w:line="205" w:lineRule="exact"/>
        <w:rPr>
          <w:rFonts w:ascii="Arial" w:cs="Arial" w:eastAsia="Arial" w:hAnsi="Arial"/>
          <w:sz w:val="20"/>
          <w:szCs w:val="20"/>
          <w:color w:val="auto"/>
        </w:rPr>
      </w:pPr>
    </w:p>
    <w:p>
      <w:pPr>
        <w:ind w:left="660" w:hanging="652"/>
        <w:spacing w:after="0"/>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Amendment and Termination of the Plan</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1300" w:hanging="644"/>
        <w:spacing w:after="0"/>
        <w:tabs>
          <w:tab w:leader="none" w:pos="1300"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Amendment and Termination</w:t>
      </w:r>
      <w:r>
        <w:rPr>
          <w:rFonts w:ascii="Arial" w:cs="Arial" w:eastAsia="Arial" w:hAnsi="Arial"/>
          <w:sz w:val="20"/>
          <w:szCs w:val="20"/>
          <w:color w:val="auto"/>
        </w:rPr>
        <w:t>. The Board may at any time amend, alter, suspend or terminate the Plan.</w:t>
      </w:r>
    </w:p>
    <w:p>
      <w:pPr>
        <w:spacing w:after="0" w:line="229" w:lineRule="exact"/>
        <w:rPr>
          <w:rFonts w:ascii="Arial" w:cs="Arial" w:eastAsia="Arial" w:hAnsi="Arial"/>
          <w:sz w:val="20"/>
          <w:szCs w:val="20"/>
          <w:color w:val="auto"/>
        </w:rPr>
      </w:pPr>
    </w:p>
    <w:p>
      <w:pPr>
        <w:ind w:left="1300" w:hanging="644"/>
        <w:spacing w:after="0" w:line="246" w:lineRule="auto"/>
        <w:tabs>
          <w:tab w:leader="none" w:pos="1300"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Stockholder Approval</w:t>
      </w:r>
      <w:r>
        <w:rPr>
          <w:rFonts w:ascii="Arial" w:cs="Arial" w:eastAsia="Arial" w:hAnsi="Arial"/>
          <w:sz w:val="20"/>
          <w:szCs w:val="20"/>
          <w:color w:val="auto"/>
        </w:rPr>
        <w:t>. The Company will obtain stockholder approval of any Plan amendment to the extent necessary and desirable to comply with Applicable Laws.</w:t>
      </w:r>
    </w:p>
    <w:p>
      <w:pPr>
        <w:spacing w:after="0" w:line="217" w:lineRule="exact"/>
        <w:rPr>
          <w:rFonts w:ascii="Arial" w:cs="Arial" w:eastAsia="Arial" w:hAnsi="Arial"/>
          <w:sz w:val="20"/>
          <w:szCs w:val="20"/>
          <w:color w:val="auto"/>
        </w:rPr>
      </w:pPr>
    </w:p>
    <w:p>
      <w:pPr>
        <w:jc w:val="both"/>
        <w:ind w:left="1300" w:hanging="644"/>
        <w:spacing w:after="0" w:line="235" w:lineRule="auto"/>
        <w:tabs>
          <w:tab w:leader="none" w:pos="1300"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Effect of Amendment or Termination</w:t>
      </w:r>
      <w:r>
        <w:rPr>
          <w:rFonts w:ascii="Arial" w:cs="Arial" w:eastAsia="Arial" w:hAnsi="Arial"/>
          <w:sz w:val="20"/>
          <w:szCs w:val="20"/>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224" w:lineRule="exact"/>
        <w:rPr>
          <w:rFonts w:ascii="Arial" w:cs="Arial" w:eastAsia="Arial" w:hAnsi="Arial"/>
          <w:sz w:val="20"/>
          <w:szCs w:val="20"/>
          <w:color w:val="auto"/>
        </w:rPr>
      </w:pPr>
    </w:p>
    <w:p>
      <w:pPr>
        <w:ind w:left="660" w:hanging="652"/>
        <w:spacing w:after="0"/>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Conditions Upon Issuance of Shares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300" w:hanging="644"/>
        <w:spacing w:after="0" w:line="243" w:lineRule="auto"/>
        <w:tabs>
          <w:tab w:leader="none" w:pos="1300"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Legal Compliance</w:t>
      </w:r>
      <w:r>
        <w:rPr>
          <w:rFonts w:ascii="Arial" w:cs="Arial" w:eastAsia="Arial" w:hAnsi="Arial"/>
          <w:sz w:val="20"/>
          <w:szCs w:val="20"/>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219" w:lineRule="exact"/>
        <w:rPr>
          <w:rFonts w:ascii="Arial" w:cs="Arial" w:eastAsia="Arial" w:hAnsi="Arial"/>
          <w:sz w:val="20"/>
          <w:szCs w:val="20"/>
          <w:color w:val="auto"/>
        </w:rPr>
      </w:pPr>
    </w:p>
    <w:p>
      <w:pPr>
        <w:jc w:val="both"/>
        <w:ind w:left="1300" w:hanging="644"/>
        <w:spacing w:after="0" w:line="237" w:lineRule="auto"/>
        <w:tabs>
          <w:tab w:leader="none" w:pos="1300"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Investment Representations</w:t>
      </w:r>
      <w:r>
        <w:rPr>
          <w:rFonts w:ascii="Arial" w:cs="Arial" w:eastAsia="Arial" w:hAnsi="Arial"/>
          <w:sz w:val="20"/>
          <w:szCs w:val="20"/>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12" w:lineRule="exact"/>
        <w:rPr>
          <w:rFonts w:ascii="Arial" w:cs="Arial" w:eastAsia="Arial" w:hAnsi="Arial"/>
          <w:sz w:val="20"/>
          <w:szCs w:val="20"/>
          <w:color w:val="auto"/>
        </w:rPr>
      </w:pPr>
    </w:p>
    <w:p>
      <w:pPr>
        <w:jc w:val="both"/>
        <w:ind w:left="660" w:hanging="652"/>
        <w:spacing w:after="0" w:line="241"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Inability to Obtain Authority</w:t>
      </w:r>
      <w:r>
        <w:rPr>
          <w:rFonts w:ascii="Arial" w:cs="Arial" w:eastAsia="Arial" w:hAnsi="Arial"/>
          <w:sz w:val="20"/>
          <w:szCs w:val="20"/>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210" w:lineRule="exact"/>
        <w:rPr>
          <w:rFonts w:ascii="Arial" w:cs="Arial" w:eastAsia="Arial" w:hAnsi="Arial"/>
          <w:sz w:val="20"/>
          <w:szCs w:val="20"/>
          <w:color w:val="auto"/>
        </w:rPr>
      </w:pPr>
    </w:p>
    <w:p>
      <w:pPr>
        <w:ind w:left="660" w:hanging="652"/>
        <w:spacing w:after="0"/>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Forfeiture Events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1"/>
          <w:numId w:val="36"/>
        </w:numPr>
        <w:rPr>
          <w:rFonts w:ascii="Arial" w:cs="Arial" w:eastAsia="Arial" w:hAnsi="Arial"/>
          <w:sz w:val="19"/>
          <w:szCs w:val="19"/>
          <w:color w:val="auto"/>
        </w:rPr>
      </w:pPr>
      <w:r>
        <w:rPr>
          <w:rFonts w:ascii="Arial" w:cs="Arial" w:eastAsia="Arial" w:hAnsi="Arial"/>
          <w:sz w:val="19"/>
          <w:szCs w:val="19"/>
          <w:color w:val="auto"/>
        </w:rPr>
        <w:t>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21(a) is specifically mentioned and waived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9" w:right="339" w:bottom="1440" w:gutter="0" w:footer="0" w:header="0"/>
        </w:sectPr>
      </w:pPr>
    </w:p>
    <w:bookmarkStart w:id="20" w:name="page21"/>
    <w:bookmarkEnd w:id="20"/>
    <w:p>
      <w:pPr>
        <w:jc w:val="both"/>
        <w:ind w:left="1300"/>
        <w:spacing w:after="0" w:line="262" w:lineRule="auto"/>
        <w:rPr>
          <w:sz w:val="20"/>
          <w:szCs w:val="20"/>
          <w:color w:val="auto"/>
        </w:rPr>
      </w:pPr>
      <w:r>
        <w:rPr>
          <w:rFonts w:ascii="Arial" w:cs="Arial" w:eastAsia="Arial" w:hAnsi="Arial"/>
          <w:sz w:val="19"/>
          <w:szCs w:val="19"/>
          <w:color w:val="auto"/>
        </w:rPr>
        <w:t>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Parent, or affiliate of the Company.</w:t>
      </w:r>
    </w:p>
    <w:p>
      <w:pPr>
        <w:spacing w:after="0" w:line="189" w:lineRule="exact"/>
        <w:rPr>
          <w:sz w:val="20"/>
          <w:szCs w:val="20"/>
          <w:color w:val="auto"/>
        </w:rPr>
      </w:pPr>
    </w:p>
    <w:p>
      <w:pPr>
        <w:jc w:val="both"/>
        <w:ind w:left="1300" w:hanging="644"/>
        <w:spacing w:after="0" w:line="236" w:lineRule="auto"/>
        <w:tabs>
          <w:tab w:leader="none" w:pos="1300"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spacing w:after="0" w:line="222" w:lineRule="exact"/>
        <w:rPr>
          <w:rFonts w:ascii="Arial" w:cs="Arial" w:eastAsia="Arial" w:hAnsi="Arial"/>
          <w:sz w:val="20"/>
          <w:szCs w:val="20"/>
          <w:color w:val="auto"/>
        </w:rPr>
      </w:pPr>
    </w:p>
    <w:p>
      <w:pPr>
        <w:jc w:val="both"/>
        <w:ind w:left="660" w:hanging="652"/>
        <w:spacing w:after="0" w:line="243" w:lineRule="auto"/>
        <w:tabs>
          <w:tab w:leader="none" w:pos="66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Stockholder Approval</w:t>
      </w:r>
      <w:r>
        <w:rPr>
          <w:rFonts w:ascii="Arial" w:cs="Arial" w:eastAsia="Arial" w:hAnsi="Arial"/>
          <w:sz w:val="20"/>
          <w:szCs w:val="20"/>
          <w:color w:val="auto"/>
        </w:rPr>
        <w:t>. This amendment of the Plan is subject to, and contingent upon, stockholder approval at the 2023 Annual Meeting of Stockholders. Such stockholder approval will be obtained in the manner and to the degree required under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sectPr>
      <w:pgSz w:w="11900" w:h="16838" w:orient="portrait"/>
      <w:cols w:equalWidth="0" w:num="1">
        <w:col w:w="11240"/>
      </w:cols>
      <w:pgMar w:left="320" w:top="14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2"/>
    </w:lvl>
  </w:abstractNum>
  <w:abstractNum w:abstractNumId="3">
    <w:nsid w:val="628C895D"/>
    <w:multiLevelType w:val="hybridMultilevel"/>
    <w:lvl w:ilvl="0">
      <w:lvlJc w:val="left"/>
      <w:lvlText w:val="%1."/>
      <w:numFmt w:val="decimal"/>
      <w:start w:val="3"/>
    </w:lvl>
  </w:abstractNum>
  <w:abstractNum w:abstractNumId="4">
    <w:nsid w:val="333AB105"/>
    <w:multiLevelType w:val="hybridMultilevel"/>
    <w:lvl w:ilvl="0">
      <w:lvlJc w:val="left"/>
      <w:lvlText w:val="%1."/>
      <w:numFmt w:val="decimal"/>
      <w:start w:val="4"/>
    </w:lvl>
  </w:abstractNum>
  <w:abstractNum w:abstractNumId="5">
    <w:nsid w:val="721DA317"/>
    <w:multiLevelType w:val="hybridMultilevel"/>
    <w:lvl w:ilvl="0">
      <w:lvlJc w:val="left"/>
      <w:lvlText w:val="%1."/>
      <w:numFmt w:val="decimal"/>
      <w:start w:val="5"/>
    </w:lvl>
  </w:abstractNum>
  <w:abstractNum w:abstractNumId="6">
    <w:nsid w:val="2443A858"/>
    <w:multiLevelType w:val="hybridMultilevel"/>
    <w:lvl w:ilvl="0">
      <w:lvlJc w:val="left"/>
      <w:lvlText w:val="(%1)"/>
      <w:numFmt w:val="lowerLetter"/>
      <w:start w:val="4"/>
    </w:lvl>
  </w:abstractNum>
  <w:abstractNum w:abstractNumId="7">
    <w:nsid w:val="2D1D5AE9"/>
    <w:multiLevelType w:val="hybridMultilevel"/>
    <w:lvl w:ilvl="0">
      <w:lvlJc w:val="left"/>
      <w:lvlText w:val="+"/>
      <w:numFmt w:val="bullet"/>
      <w:start w:val="1"/>
    </w:lvl>
    <w:lvl w:ilvl="1">
      <w:lvlJc w:val="left"/>
      <w:lvlText w:val="%2"/>
      <w:numFmt w:val="decimal"/>
      <w:start w:val="104"/>
    </w:lvl>
  </w:abstractNum>
  <w:abstractNum w:abstractNumId="8">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
    <w:nsid w:val="75A2A8D4"/>
    <w:multiLevelType w:val="hybridMultilevel"/>
    <w:lvl w:ilvl="0">
      <w:lvlJc w:val="left"/>
      <w:lvlText w:val="(%1)"/>
      <w:numFmt w:val="lowerRoman"/>
      <w:start w:val="3"/>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lowerLetter"/>
      <w:start w:val="4"/>
    </w:lvl>
    <w:lvl w:ilvl="1">
      <w:lvlJc w:val="left"/>
      <w:lvlText w:val="(%2)"/>
      <w:numFmt w:val="lowerRoman"/>
      <w:start w:val="1"/>
    </w:lvl>
  </w:abstractNum>
  <w:abstractNum w:abstractNumId="12">
    <w:nsid w:val="4353D0CD"/>
    <w:multiLevelType w:val="hybridMultilevel"/>
    <w:lvl w:ilvl="0">
      <w:lvlJc w:val="left"/>
      <w:lvlText w:val="(%1)"/>
      <w:numFmt w:val="lowerLetter"/>
      <w:start w:val="12"/>
    </w:lvl>
  </w:abstractNum>
  <w:abstractNum w:abstractNumId="13">
    <w:nsid w:val="B03E0C6"/>
    <w:multiLevelType w:val="hybridMultilevel"/>
    <w:lvl w:ilvl="0">
      <w:lvlJc w:val="left"/>
      <w:lvlText w:val="(%1)"/>
      <w:numFmt w:val="lowerLetter"/>
      <w:start w:val="27"/>
    </w:lvl>
  </w:abstractNum>
  <w:abstractNum w:abstractNumId="14">
    <w:nsid w:val="189A769B"/>
    <w:multiLevelType w:val="hybridMultilevel"/>
    <w:lvl w:ilvl="0">
      <w:lvlJc w:val="left"/>
      <w:lvlText w:val="%1."/>
      <w:numFmt w:val="decimal"/>
      <w:start w:val="3"/>
    </w:lvl>
    <w:lvl w:ilvl="1">
      <w:lvlJc w:val="left"/>
      <w:lvlText w:val="(%2)"/>
      <w:numFmt w:val="lowerLetter"/>
      <w:start w:val="1"/>
    </w:lvl>
  </w:abstractNum>
  <w:abstractNum w:abstractNumId="15">
    <w:nsid w:val="54E49EB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
    <w:nsid w:val="71F324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17">
    <w:nsid w:val="2CA8861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
    <w:nsid w:val="836C40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
    <w:nsid w:val="2901D82"/>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20">
    <w:nsid w:val="3A95F874"/>
    <w:multiLevelType w:val="hybridMultilevel"/>
    <w:lvl w:ilvl="0">
      <w:lvlJc w:val="left"/>
      <w:lvlText w:val="(%1)"/>
      <w:numFmt w:val="lowerLetter"/>
      <w:start w:val="4"/>
    </w:lvl>
    <w:lvl w:ilvl="1">
      <w:lvlJc w:val="left"/>
      <w:lvlText w:val="(%2)"/>
      <w:numFmt w:val="lowerRoman"/>
      <w:start w:val="1"/>
    </w:lvl>
  </w:abstractNum>
  <w:abstractNum w:abstractNumId="21">
    <w:nsid w:val="8138641"/>
    <w:multiLevelType w:val="hybridMultilevel"/>
    <w:lvl w:ilvl="0">
      <w:lvlJc w:val="left"/>
      <w:lvlText w:val="(%1)"/>
      <w:numFmt w:val="lowerRoman"/>
      <w:start w:val="1"/>
    </w:lvl>
  </w:abstractNum>
  <w:abstractNum w:abstractNumId="22">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3">
    <w:nsid w:val="7C3DBD3D"/>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4">
    <w:nsid w:val="737B8DDC"/>
    <w:multiLevelType w:val="hybridMultilevel"/>
    <w:lvl w:ilvl="0">
      <w:lvlJc w:val="left"/>
      <w:lvlText w:val="%1"/>
      <w:numFmt w:val="decimal"/>
      <w:start w:val="1"/>
    </w:lvl>
    <w:lvl w:ilvl="1">
      <w:lvlJc w:val="left"/>
      <w:lvlText w:val="(%2)"/>
      <w:numFmt w:val="lowerLetter"/>
      <w:start w:val="5"/>
    </w:lvl>
  </w:abstractNum>
  <w:abstractNum w:abstractNumId="25">
    <w:nsid w:val="6CEAF087"/>
    <w:multiLevelType w:val="hybridMultilevel"/>
    <w:lvl w:ilvl="0">
      <w:lvlJc w:val="left"/>
      <w:lvlText w:val="%1."/>
      <w:numFmt w:val="decimal"/>
      <w:start w:val="8"/>
    </w:lvl>
    <w:lvl w:ilvl="1">
      <w:lvlJc w:val="left"/>
      <w:lvlText w:val="(%2)"/>
      <w:numFmt w:val="lowerLetter"/>
      <w:start w:val="1"/>
    </w:lvl>
  </w:abstractNum>
  <w:abstractNum w:abstractNumId="26">
    <w:nsid w:val="22221A70"/>
    <w:multiLevelType w:val="hybridMultilevel"/>
    <w:lvl w:ilvl="0">
      <w:lvlJc w:val="left"/>
      <w:lvlText w:val="%1"/>
      <w:numFmt w:val="decimal"/>
      <w:start w:val="1"/>
    </w:lvl>
    <w:lvl w:ilvl="1">
      <w:lvlJc w:val="left"/>
      <w:lvlText w:val="(%2)"/>
      <w:numFmt w:val="lowerLetter"/>
      <w:start w:val="1"/>
    </w:lvl>
  </w:abstractNum>
  <w:abstractNum w:abstractNumId="27">
    <w:nsid w:val="4516DDE9"/>
    <w:multiLevelType w:val="hybridMultilevel"/>
    <w:lvl w:ilvl="0">
      <w:lvlJc w:val="left"/>
      <w:lvlText w:val="%1."/>
      <w:numFmt w:val="decimal"/>
      <w:start w:val="10"/>
    </w:lvl>
    <w:lvl w:ilvl="1">
      <w:lvlJc w:val="left"/>
      <w:lvlText w:val="(%2)"/>
      <w:numFmt w:val="lowerLetter"/>
      <w:start w:val="1"/>
    </w:lvl>
  </w:abstractNum>
  <w:abstractNum w:abstractNumId="28">
    <w:nsid w:val="3006C83E"/>
    <w:multiLevelType w:val="hybridMultilevel"/>
    <w:lvl w:ilvl="0">
      <w:lvlJc w:val="left"/>
      <w:lvlText w:val="%1"/>
      <w:numFmt w:val="decimal"/>
      <w:start w:val="1"/>
    </w:lvl>
    <w:lvl w:ilvl="1">
      <w:lvlJc w:val="left"/>
      <w:lvlText w:val="(%2)"/>
      <w:numFmt w:val="lowerLetter"/>
      <w:start w:val="4"/>
    </w:lvl>
  </w:abstractNum>
  <w:abstractNum w:abstractNumId="29">
    <w:nsid w:val="614FD4A1"/>
    <w:multiLevelType w:val="hybridMultilevel"/>
    <w:lvl w:ilvl="0">
      <w:lvlJc w:val="left"/>
      <w:lvlText w:val="%1."/>
      <w:numFmt w:val="decimal"/>
      <w:start w:val="11"/>
    </w:lvl>
    <w:lvl w:ilvl="1">
      <w:lvlJc w:val="left"/>
      <w:lvlText w:val="(%2)"/>
      <w:numFmt w:val="lowerLetter"/>
      <w:start w:val="1"/>
    </w:lvl>
  </w:abstractNum>
  <w:abstractNum w:abstractNumId="30">
    <w:nsid w:val="419AC241"/>
    <w:multiLevelType w:val="hybridMultilevel"/>
    <w:lvl w:ilvl="0">
      <w:lvlJc w:val="left"/>
      <w:lvlText w:val="(%1)"/>
      <w:numFmt w:val="lowerLetter"/>
      <w:start w:val="2"/>
    </w:lvl>
  </w:abstractNum>
  <w:abstractNum w:abstractNumId="31">
    <w:nsid w:val="5577F8E1"/>
    <w:multiLevelType w:val="hybridMultilevel"/>
    <w:lvl w:ilvl="0">
      <w:lvlJc w:val="left"/>
      <w:lvlText w:val="%1"/>
      <w:numFmt w:val="decimal"/>
      <w:start w:val="1"/>
    </w:lvl>
    <w:lvl w:ilvl="1">
      <w:lvlJc w:val="left"/>
      <w:lvlText w:val="(%2)"/>
      <w:numFmt w:val="lowerLetter"/>
      <w:start w:val="1"/>
    </w:lvl>
  </w:abstractNum>
  <w:abstractNum w:abstractNumId="32">
    <w:nsid w:val="440BADFC"/>
    <w:multiLevelType w:val="hybridMultilevel"/>
    <w:lvl w:ilvl="0">
      <w:lvlJc w:val="left"/>
      <w:lvlText w:val="%1."/>
      <w:numFmt w:val="decimal"/>
      <w:start w:val="14"/>
    </w:lvl>
    <w:lvl w:ilvl="1">
      <w:lvlJc w:val="left"/>
      <w:lvlText w:val="(%2)"/>
      <w:numFmt w:val="lowerLetter"/>
      <w:start w:val="1"/>
    </w:lvl>
  </w:abstractNum>
  <w:abstractNum w:abstractNumId="33">
    <w:nsid w:val="5072367"/>
    <w:multiLevelType w:val="hybridMultilevel"/>
    <w:lvl w:ilvl="0">
      <w:lvlJc w:val="left"/>
      <w:lvlText w:val="%1"/>
      <w:numFmt w:val="decimal"/>
      <w:start w:val="1"/>
    </w:lvl>
    <w:lvl w:ilvl="1">
      <w:lvlJc w:val="left"/>
      <w:lvlText w:val="(%2)"/>
      <w:numFmt w:val="lowerLetter"/>
      <w:start w:val="3"/>
    </w:lvl>
  </w:abstractNum>
  <w:abstractNum w:abstractNumId="34">
    <w:nsid w:val="3804823E"/>
    <w:multiLevelType w:val="hybridMultilevel"/>
    <w:lvl w:ilvl="0">
      <w:lvlJc w:val="left"/>
      <w:lvlText w:val="%1."/>
      <w:numFmt w:val="decimal"/>
      <w:start w:val="15"/>
    </w:lvl>
    <w:lvl w:ilvl="1">
      <w:lvlJc w:val="left"/>
      <w:lvlText w:val="%2"/>
      <w:numFmt w:val="lowerLetter"/>
      <w:start w:val="1"/>
    </w:lvl>
  </w:abstractNum>
  <w:abstractNum w:abstractNumId="35">
    <w:nsid w:val="77465F01"/>
    <w:multiLevelType w:val="hybridMultilevel"/>
    <w:lvl w:ilvl="0">
      <w:lvlJc w:val="left"/>
      <w:lvlText w:val="%1."/>
      <w:numFmt w:val="decimal"/>
      <w:start w:val="17"/>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2"/>
    </w:lvl>
  </w:abstractNum>
  <w:abstractNum w:abstractNumId="37">
    <w:nsid w:val="5C482A97"/>
    <w:multiLevelType w:val="hybridMultilevel"/>
    <w:lvl w:ilvl="0">
      <w:lvlJc w:val="left"/>
      <w:lvlText w:val="%1."/>
      <w:numFmt w:val="decimal"/>
      <w:start w:val="2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2023-06-16T16:23:27Z</dcterms:created>
  <dcterms:modified xsi:type="dcterms:W3CDTF">2023-06-16T16:23:27Z</dcterms:modified>
</cp:coreProperties>
</file>