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25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NOTIFICATION OF REMOVAL FROM LISTING AND/OR</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REGISTRATION UNDER SECTION 12(b) OF THE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Fluidigm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Issuer as specified in its charter, and name of Exchange where security is listed and/or registered)</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7000 Shoreline Court, Suite 100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South San Francisco, California 94080</w:t>
      </w:r>
    </w:p>
    <w:p>
      <w:pPr>
        <w:jc w:val="center"/>
        <w:spacing w:after="0"/>
        <w:rPr>
          <w:sz w:val="20"/>
          <w:szCs w:val="20"/>
          <w:color w:val="auto"/>
        </w:rPr>
      </w:pPr>
      <w:r>
        <w:rPr>
          <w:rFonts w:ascii="Times New Roman" w:cs="Times New Roman" w:eastAsia="Times New Roman" w:hAnsi="Times New Roman"/>
          <w:sz w:val="20"/>
          <w:szCs w:val="20"/>
          <w:b w:val="1"/>
          <w:bCs w:val="1"/>
          <w:color w:val="auto"/>
        </w:rPr>
        <w:t>(650) 266-6000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Issuer's principal executive offices)</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Preferred Share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(Description of class of securities)</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240.12d2-2(a)(1)</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225" w:lineRule="exact"/>
        <w:rPr>
          <w:rFonts w:ascii="MS PGothic" w:cs="MS PGothic" w:eastAsia="MS PGothic" w:hAnsi="MS PGothic"/>
          <w:sz w:val="18"/>
          <w:szCs w:val="18"/>
          <w:color w:val="auto"/>
        </w:rPr>
      </w:pPr>
    </w:p>
    <w:p>
      <w:pPr>
        <w:ind w:right="60" w:firstLine="8"/>
        <w:spacing w:after="0" w:line="283" w:lineRule="auto"/>
        <w:tabs>
          <w:tab w:leader="none" w:pos="3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r>
        <w:rPr>
          <w:rFonts w:ascii="Times New Roman" w:cs="Times New Roman" w:eastAsia="Times New Roman" w:hAnsi="Times New Roman"/>
          <w:sz w:val="30"/>
          <w:szCs w:val="30"/>
          <w:color w:val="auto"/>
          <w:vertAlign w:val="superscript"/>
        </w:rPr>
        <w:t>1</w:t>
      </w:r>
    </w:p>
    <w:p>
      <w:pPr>
        <w:spacing w:after="0" w:line="38" w:lineRule="exact"/>
        <w:rPr>
          <w:sz w:val="24"/>
          <w:szCs w:val="24"/>
          <w:color w:val="auto"/>
        </w:rPr>
      </w:pPr>
    </w:p>
    <w:p>
      <w:pPr>
        <w:ind w:right="40" w:firstLine="8"/>
        <w:spacing w:after="0" w:line="282" w:lineRule="auto"/>
        <w:tabs>
          <w:tab w:leader="none" w:pos="38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62"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Fluidigm Corporation certifies that it has reasonable grounds to believe that it meets all of the requirements for filing the Form 25 and has caused this notification to be signed on its behalf by the undersigned duly authorized person.</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47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8"/>
                <w:szCs w:val="18"/>
                <w:color w:val="auto"/>
              </w:rPr>
              <w:t>/s/ Stephen Christopher Linthwaite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28"/>
        </w:trPr>
        <w:tc>
          <w:tcPr>
            <w:tcW w:w="20" w:type="dxa"/>
            <w:vAlign w:val="bottom"/>
          </w:tcPr>
          <w:p>
            <w:pPr>
              <w:spacing w:after="0"/>
              <w:rPr>
                <w:sz w:val="19"/>
                <w:szCs w:val="19"/>
                <w:color w:val="auto"/>
              </w:rPr>
            </w:pPr>
          </w:p>
        </w:tc>
        <w:tc>
          <w:tcPr>
            <w:tcW w:w="272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Date</w:t>
            </w:r>
          </w:p>
        </w:tc>
        <w:tc>
          <w:tcPr>
            <w:tcW w:w="820" w:type="dxa"/>
            <w:vAlign w:val="bottom"/>
          </w:tcPr>
          <w:p>
            <w:pPr>
              <w:spacing w:after="0"/>
              <w:rPr>
                <w:sz w:val="19"/>
                <w:szCs w:val="19"/>
                <w:color w:val="auto"/>
              </w:rPr>
            </w:pPr>
          </w:p>
        </w:tc>
        <w:tc>
          <w:tcPr>
            <w:tcW w:w="3660" w:type="dxa"/>
            <w:vAlign w:val="bottom"/>
            <w:tcBorders>
              <w:top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19"/>
                <w:szCs w:val="19"/>
                <w:color w:val="auto"/>
              </w:rPr>
            </w:pPr>
          </w:p>
        </w:tc>
        <w:tc>
          <w:tcPr>
            <w:tcW w:w="3980" w:type="dxa"/>
            <w:vAlign w:val="bottom"/>
            <w:tcBorders>
              <w:top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4" w:lineRule="exact"/>
        <w:rPr>
          <w:sz w:val="24"/>
          <w:szCs w:val="24"/>
          <w:color w:val="auto"/>
        </w:rPr>
      </w:pPr>
    </w:p>
    <w:p>
      <w:pPr>
        <w:ind w:left="120" w:hanging="112"/>
        <w:spacing w:after="0"/>
        <w:tabs>
          <w:tab w:leader="none" w:pos="12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Form 25 and attached notice will be considered compliance with the provisions of 17 CFR 240.19d-1 as applicable. See General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7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2019-12-06T17:14:34Z</dcterms:created>
  <dcterms:modified xsi:type="dcterms:W3CDTF">2019-12-06T17:14:34Z</dcterms:modified>
</cp:coreProperties>
</file>