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July 7,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3 TO</w:t>
      </w:r>
    </w:p>
    <w:p>
      <w:pPr>
        <w:jc w:val="center"/>
        <w:ind w:right="-339"/>
        <w:spacing w:after="0"/>
        <w:rPr>
          <w:sz w:val="20"/>
          <w:szCs w:val="20"/>
          <w:color w:val="auto"/>
        </w:rPr>
      </w:pPr>
      <w:r>
        <w:rPr>
          <w:rFonts w:ascii="Arial" w:cs="Arial" w:eastAsia="Arial" w:hAnsi="Arial"/>
          <w:sz w:val="24"/>
          <w:szCs w:val="24"/>
          <w:b w:val="1"/>
          <w:bCs w:val="1"/>
          <w:color w:val="auto"/>
        </w:rPr>
        <w:t>Form S-1</w:t>
      </w:r>
    </w:p>
    <w:p>
      <w:pPr>
        <w:jc w:val="center"/>
        <w:ind w:right="-339"/>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1"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spacing w:after="0" w:line="3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71" w:lineRule="exact"/>
        <w:rPr>
          <w:sz w:val="20"/>
          <w:szCs w:val="20"/>
          <w:color w:val="auto"/>
        </w:rPr>
      </w:pPr>
    </w:p>
    <w:p>
      <w:pPr>
        <w:ind w:left="1080"/>
        <w:spacing w:after="0"/>
        <w:tabs>
          <w:tab w:leader="none" w:pos="3800" w:val="left"/>
          <w:tab w:leader="none" w:pos="6400" w:val="left"/>
          <w:tab w:leader="none" w:pos="910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0"/>
          <w:szCs w:val="20"/>
          <w:color w:val="auto"/>
        </w:rPr>
      </w:pPr>
    </w:p>
    <w:p>
      <w:pPr>
        <w:ind w:left="340"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spacing w:after="0" w:line="288" w:lineRule="auto"/>
        <w:rPr>
          <w:sz w:val="20"/>
          <w:szCs w:val="20"/>
          <w:color w:val="auto"/>
        </w:rPr>
      </w:pPr>
      <w:r>
        <w:rPr>
          <w:rFonts w:ascii="Arial" w:cs="Arial" w:eastAsia="Arial" w:hAnsi="Arial"/>
          <w:sz w:val="11"/>
          <w:szCs w:val="11"/>
          <w:color w:val="F93F26"/>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is not soliciting an offer to buy these securities in any state where the offer or sale is not permitted.</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F93F26"/>
        </w:rPr>
        <w:t>PROSPECTUS (Subject to Completion)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F93F26"/>
        </w:rPr>
        <w:t>Issued July 7, 2008</w:t>
      </w:r>
    </w:p>
    <w:p>
      <w:pPr>
        <w:spacing w:after="0" w:line="317" w:lineRule="exact"/>
        <w:rPr>
          <w:sz w:val="20"/>
          <w:szCs w:val="20"/>
          <w:color w:val="auto"/>
        </w:rPr>
      </w:pPr>
    </w:p>
    <w:p>
      <w:pPr>
        <w:ind w:left="5680"/>
        <w:spacing w:after="0"/>
        <w:rPr>
          <w:sz w:val="20"/>
          <w:szCs w:val="20"/>
          <w:color w:val="auto"/>
        </w:rPr>
      </w:pPr>
      <w:r>
        <w:rPr>
          <w:rFonts w:ascii="Arial" w:cs="Arial" w:eastAsia="Arial" w:hAnsi="Arial"/>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Pr>
          <w:p>
            <w:pPr>
              <w:ind w:left="2380"/>
              <w:spacing w:after="0"/>
              <w:rPr>
                <w:sz w:val="20"/>
                <w:szCs w:val="20"/>
                <w:color w:val="auto"/>
              </w:rPr>
            </w:pPr>
            <w:r>
              <w:rPr>
                <w:rFonts w:ascii="Arial" w:cs="Arial" w:eastAsia="Arial" w:hAnsi="Arial"/>
                <w:sz w:val="16"/>
                <w:szCs w:val="16"/>
                <w:i w:val="1"/>
                <w:iCs w:val="1"/>
                <w:color w:val="auto"/>
              </w:rPr>
              <w:t>COMMON STOCK</w:t>
            </w:r>
          </w:p>
        </w:tc>
      </w:tr>
      <w:tr>
        <w:trPr>
          <w:trHeight w:val="92"/>
        </w:trPr>
        <w:tc>
          <w:tcPr>
            <w:tcW w:w="2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0" w:type="dxa"/>
            <w:vAlign w:val="bottom"/>
          </w:tcPr>
          <w:p>
            <w:pPr>
              <w:spacing w:after="0"/>
              <w:rPr>
                <w:sz w:val="7"/>
                <w:szCs w:val="7"/>
                <w:color w:val="auto"/>
              </w:rPr>
            </w:pPr>
          </w:p>
        </w:tc>
      </w:tr>
      <w:tr>
        <w:trPr>
          <w:trHeight w:val="237"/>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Fluidigm Corporation is offering</w:t>
            </w:r>
          </w:p>
        </w:tc>
        <w:tc>
          <w:tcPr>
            <w:tcW w:w="780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87"/>
              </w:rPr>
              <w:t>shares of its common stock. This is our initial public offering, and no public market currently exists for our shares. We anticipate that the initial</w:t>
            </w:r>
          </w:p>
        </w:tc>
      </w:tr>
      <w:tr>
        <w:trPr>
          <w:trHeight w:val="165"/>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w w:val="88"/>
              </w:rPr>
              <w:t>public offering price will be between $</w:t>
            </w:r>
          </w:p>
        </w:tc>
        <w:tc>
          <w:tcPr>
            <w:tcW w:w="780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and $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63500</wp:posOffset>
            </wp:positionV>
            <wp:extent cx="12979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We have applied to list our common stock on the NASDAQ Global Market under the symbol “FLDM.”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79375</wp:posOffset>
            </wp:positionV>
            <wp:extent cx="12979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Investing in our common stock involves risks. See “Risk Factors”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3"/>
                <w:szCs w:val="13"/>
                <w:i w:val="1"/>
                <w:iCs w:val="1"/>
                <w:color w:val="auto"/>
              </w:rPr>
              <w:t xml:space="preserve">PRICE </w:t>
            </w:r>
            <w:r>
              <w:rPr>
                <w:rFonts w:ascii="Arial" w:cs="Arial" w:eastAsia="Arial" w:hAnsi="Arial"/>
                <w:sz w:val="15"/>
                <w:szCs w:val="15"/>
                <w:i w:val="1"/>
                <w:iCs w:val="1"/>
                <w:color w:val="auto"/>
              </w:rPr>
              <w:t>$</w:t>
            </w:r>
          </w:p>
        </w:tc>
        <w:tc>
          <w:tcPr>
            <w:tcW w:w="2240" w:type="dxa"/>
            <w:vAlign w:val="bottom"/>
            <w:gridSpan w:val="2"/>
          </w:tcPr>
          <w:p>
            <w:pPr>
              <w:jc w:val="right"/>
              <w:ind w:right="1568"/>
              <w:spacing w:after="0"/>
              <w:rPr>
                <w:sz w:val="20"/>
                <w:szCs w:val="20"/>
                <w:color w:val="auto"/>
              </w:rPr>
            </w:pPr>
            <w:r>
              <w:rPr>
                <w:rFonts w:ascii="Arial" w:cs="Arial" w:eastAsia="Arial" w:hAnsi="Arial"/>
                <w:sz w:val="13"/>
                <w:szCs w:val="13"/>
                <w:i w:val="1"/>
                <w:iCs w:val="1"/>
                <w:color w:val="auto"/>
              </w:rPr>
              <w:t>A SHARE</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0"/>
                <w:szCs w:val="10"/>
                <w:b w:val="1"/>
                <w:bCs w:val="1"/>
                <w:i w:val="1"/>
                <w:iCs w:val="1"/>
                <w:color w:val="auto"/>
              </w:rPr>
              <w:t>Underwriting</w:t>
            </w:r>
          </w:p>
        </w:tc>
        <w:tc>
          <w:tcPr>
            <w:tcW w:w="4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i w:val="1"/>
                <w:iCs w:val="1"/>
                <w:color w:val="auto"/>
                <w:w w:val="87"/>
              </w:rPr>
              <w:t>Proceeds to</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jc w:val="center"/>
              <w:ind w:left="188"/>
              <w:spacing w:after="0" w:line="108" w:lineRule="exact"/>
              <w:rPr>
                <w:sz w:val="20"/>
                <w:szCs w:val="20"/>
                <w:color w:val="auto"/>
              </w:rPr>
            </w:pPr>
            <w:r>
              <w:rPr>
                <w:rFonts w:ascii="Arial" w:cs="Arial" w:eastAsia="Arial" w:hAnsi="Arial"/>
                <w:sz w:val="10"/>
                <w:szCs w:val="10"/>
                <w:b w:val="1"/>
                <w:bCs w:val="1"/>
                <w:i w:val="1"/>
                <w:iCs w:val="1"/>
                <w:color w:val="auto"/>
                <w:w w:val="92"/>
              </w:rPr>
              <w:t>Price to</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right"/>
              <w:ind w:right="108"/>
              <w:spacing w:after="0" w:line="108" w:lineRule="exact"/>
              <w:rPr>
                <w:sz w:val="20"/>
                <w:szCs w:val="20"/>
                <w:color w:val="auto"/>
              </w:rPr>
            </w:pPr>
            <w:r>
              <w:rPr>
                <w:rFonts w:ascii="Arial" w:cs="Arial" w:eastAsia="Arial" w:hAnsi="Arial"/>
                <w:sz w:val="10"/>
                <w:szCs w:val="10"/>
                <w:b w:val="1"/>
                <w:bCs w:val="1"/>
                <w:i w:val="1"/>
                <w:iCs w:val="1"/>
                <w:color w:val="auto"/>
              </w:rPr>
              <w:t>Discounts and</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i w:val="1"/>
                <w:iCs w:val="1"/>
                <w:color w:val="auto"/>
                <w:w w:val="95"/>
              </w:rPr>
              <w:t>Fluidigm</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i w:val="1"/>
                <w:iCs w:val="1"/>
                <w:color w:val="auto"/>
                <w:w w:val="93"/>
              </w:rPr>
              <w:t>Public</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i w:val="1"/>
                <w:iCs w:val="1"/>
                <w:color w:val="auto"/>
              </w:rPr>
              <w:t>Commissions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0"/>
              </w:rPr>
              <w:t>Corporation</w:t>
            </w:r>
          </w:p>
        </w:tc>
        <w:tc>
          <w:tcPr>
            <w:tcW w:w="0" w:type="dxa"/>
            <w:vAlign w:val="bottom"/>
          </w:tcPr>
          <w:p>
            <w:pPr>
              <w:spacing w:after="0"/>
              <w:rPr>
                <w:sz w:val="1"/>
                <w:szCs w:val="1"/>
                <w:color w:val="auto"/>
              </w:rPr>
            </w:pPr>
          </w:p>
        </w:tc>
      </w:tr>
      <w:tr>
        <w:trPr>
          <w:trHeight w:val="17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b w:val="1"/>
                <w:bCs w:val="1"/>
                <w:i w:val="1"/>
                <w:iCs w:val="1"/>
                <w:color w:val="auto"/>
                <w:w w:val="82"/>
              </w:rPr>
              <w:t>$</w:t>
            </w:r>
          </w:p>
        </w:tc>
        <w:tc>
          <w:tcPr>
            <w:tcW w:w="1340" w:type="dxa"/>
            <w:vAlign w:val="bottom"/>
            <w:gridSpan w:val="2"/>
          </w:tcPr>
          <w:p>
            <w:pPr>
              <w:jc w:val="right"/>
              <w:ind w:right="12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165"/>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tcPr>
          <w:p>
            <w:pPr>
              <w:spacing w:after="0"/>
              <w:rPr>
                <w:sz w:val="14"/>
                <w:szCs w:val="14"/>
                <w:color w:val="auto"/>
              </w:rPr>
            </w:pPr>
          </w:p>
        </w:tc>
        <w:tc>
          <w:tcPr>
            <w:tcW w:w="2240" w:type="dxa"/>
            <w:vAlign w:val="bottom"/>
            <w:gridSpan w:val="2"/>
          </w:tcPr>
          <w:p>
            <w:pPr>
              <w:jc w:val="right"/>
              <w:ind w:right="468"/>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spacing w:after="0"/>
              <w:rPr>
                <w:sz w:val="14"/>
                <w:szCs w:val="14"/>
                <w:color w:val="auto"/>
              </w:rPr>
            </w:pPr>
          </w:p>
        </w:tc>
        <w:tc>
          <w:tcPr>
            <w:tcW w:w="1340" w:type="dxa"/>
            <w:vAlign w:val="bottom"/>
            <w:gridSpan w:val="2"/>
          </w:tcPr>
          <w:p>
            <w:pPr>
              <w:jc w:val="right"/>
              <w:ind w:right="80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68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46"/>
        </w:trPr>
        <w:tc>
          <w:tcPr>
            <w:tcW w:w="4080" w:type="dxa"/>
            <w:vAlign w:val="bottom"/>
            <w:gridSpan w:val="2"/>
          </w:tcPr>
          <w:p>
            <w:pPr>
              <w:ind w:left="20"/>
              <w:spacing w:after="0"/>
              <w:rPr>
                <w:sz w:val="20"/>
                <w:szCs w:val="20"/>
                <w:color w:val="auto"/>
              </w:rPr>
            </w:pPr>
            <w:r>
              <w:rPr>
                <w:rFonts w:ascii="Arial" w:cs="Arial" w:eastAsia="Arial" w:hAnsi="Arial"/>
                <w:sz w:val="13"/>
                <w:szCs w:val="13"/>
                <w:color w:val="auto"/>
                <w:w w:val="94"/>
              </w:rPr>
              <w:t>We have granted the underwriters the right to purchase up to an additional</w:t>
            </w:r>
          </w:p>
        </w:tc>
        <w:tc>
          <w:tcPr>
            <w:tcW w:w="3260" w:type="dxa"/>
            <w:vAlign w:val="bottom"/>
            <w:gridSpan w:val="3"/>
          </w:tcPr>
          <w:p>
            <w:pPr>
              <w:jc w:val="right"/>
              <w:ind w:right="428"/>
              <w:spacing w:after="0"/>
              <w:rPr>
                <w:sz w:val="20"/>
                <w:szCs w:val="20"/>
                <w:color w:val="auto"/>
              </w:rPr>
            </w:pPr>
            <w:r>
              <w:rPr>
                <w:rFonts w:ascii="Arial" w:cs="Arial" w:eastAsia="Arial" w:hAnsi="Arial"/>
                <w:sz w:val="13"/>
                <w:szCs w:val="13"/>
                <w:color w:val="auto"/>
                <w:w w:val="96"/>
              </w:rPr>
              <w:t>shares of common stock to cover over-allotments.</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0" w:right="820"/>
        <w:spacing w:after="0" w:line="276" w:lineRule="auto"/>
        <w:rPr>
          <w:sz w:val="20"/>
          <w:szCs w:val="20"/>
          <w:color w:val="auto"/>
        </w:rPr>
      </w:pPr>
      <w:r>
        <w:rPr>
          <w:rFonts w:ascii="Arial" w:cs="Arial" w:eastAsia="Arial" w:hAnsi="Arial"/>
          <w:sz w:val="13"/>
          <w:szCs w:val="13"/>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3"/>
                <w:szCs w:val="13"/>
                <w:color w:val="auto"/>
                <w:w w:val="93"/>
              </w:rPr>
              <w:t>Morgan Stanley &amp; Co. Incorporated expects to deliver the shares to purchasers on</w:t>
            </w:r>
          </w:p>
        </w:tc>
        <w:tc>
          <w:tcPr>
            <w:tcW w:w="540" w:type="dxa"/>
            <w:vAlign w:val="bottom"/>
          </w:tcPr>
          <w:p>
            <w:pPr>
              <w:jc w:val="right"/>
              <w:spacing w:after="0"/>
              <w:rPr>
                <w:sz w:val="20"/>
                <w:szCs w:val="20"/>
                <w:color w:val="auto"/>
              </w:rPr>
            </w:pPr>
            <w:r>
              <w:rPr>
                <w:rFonts w:ascii="Arial" w:cs="Arial" w:eastAsia="Arial" w:hAnsi="Arial"/>
                <w:sz w:val="13"/>
                <w:szCs w:val="13"/>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69215</wp:posOffset>
            </wp:positionV>
            <wp:extent cx="12979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24"/>
          <w:szCs w:val="24"/>
          <w:i w:val="1"/>
          <w:iCs w:val="1"/>
          <w:color w:val="auto"/>
        </w:rPr>
        <w:t>MORGAN STANLEY</w:t>
      </w:r>
    </w:p>
    <w:p>
      <w:pPr>
        <w:jc w:val="center"/>
        <w:ind w:right="-319"/>
        <w:spacing w:after="0" w:line="238" w:lineRule="auto"/>
        <w:rPr>
          <w:sz w:val="20"/>
          <w:szCs w:val="20"/>
          <w:color w:val="auto"/>
        </w:rPr>
      </w:pPr>
      <w:r>
        <w:rPr>
          <w:rFonts w:ascii="Arial" w:cs="Arial" w:eastAsia="Arial" w:hAnsi="Arial"/>
          <w:sz w:val="24"/>
          <w:szCs w:val="24"/>
          <w:i w:val="1"/>
          <w:iCs w:val="1"/>
          <w:color w:val="auto"/>
        </w:rPr>
        <w:t>UBS INVESTMENT BANK</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24"/>
          <w:szCs w:val="24"/>
          <w:i w:val="1"/>
          <w:iCs w:val="1"/>
          <w:color w:val="auto"/>
        </w:rPr>
        <w:t>LEERINK SWANN</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01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610108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0"/>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2"/>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84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31">
              <w:r>
                <w:rPr>
                  <w:rFonts w:ascii="Arial" w:cs="Arial" w:eastAsia="Arial" w:hAnsi="Arial"/>
                  <w:sz w:val="13"/>
                  <w:szCs w:val="13"/>
                  <w:color w:val="0000EE"/>
                  <w:w w:val="91"/>
                </w:rPr>
                <w:t>Special Note Regarding Forward-Looking Statements</w:t>
              </w:r>
            </w:hyperlink>
          </w:p>
        </w:tc>
        <w:tc>
          <w:tcPr>
            <w:tcW w:w="476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860" w:type="dxa"/>
            <w:vAlign w:val="bottom"/>
            <w:tcBorders>
              <w:bottom w:val="single" w:sz="8" w:color="0000EE"/>
            </w:tcBorders>
            <w:gridSpan w:val="9"/>
          </w:tcPr>
          <w:p>
            <w:pPr>
              <w:spacing w:after="0" w:line="138" w:lineRule="exact"/>
              <w:rPr>
                <w:rFonts w:ascii="Arial" w:cs="Arial" w:eastAsia="Arial" w:hAnsi="Arial"/>
                <w:sz w:val="13"/>
                <w:szCs w:val="13"/>
                <w:color w:val="0000EE"/>
                <w:w w:val="87"/>
              </w:rPr>
            </w:pPr>
            <w:hyperlink w:anchor="page32">
              <w:r>
                <w:rPr>
                  <w:rFonts w:ascii="Arial" w:cs="Arial" w:eastAsia="Arial" w:hAnsi="Arial"/>
                  <w:sz w:val="13"/>
                  <w:szCs w:val="13"/>
                  <w:color w:val="0000EE"/>
                  <w:w w:val="87"/>
                </w:rPr>
                <w:t>Use of Proceeds</w:t>
              </w:r>
            </w:hyperlink>
          </w:p>
        </w:tc>
        <w:tc>
          <w:tcPr>
            <w:tcW w:w="6740" w:type="dxa"/>
            <w:vAlign w:val="bottom"/>
            <w:gridSpan w:val="1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4"/>
              </w:rPr>
            </w:pPr>
            <w:hyperlink w:anchor="page33">
              <w:r>
                <w:rPr>
                  <w:rFonts w:ascii="Arial" w:cs="Arial" w:eastAsia="Arial" w:hAnsi="Arial"/>
                  <w:sz w:val="13"/>
                  <w:szCs w:val="13"/>
                  <w:color w:val="0000EE"/>
                  <w:w w:val="94"/>
                </w:rPr>
                <w:t>Capitalization</w:t>
              </w:r>
            </w:hyperlink>
          </w:p>
        </w:tc>
        <w:tc>
          <w:tcPr>
            <w:tcW w:w="100" w:type="dxa"/>
            <w:vAlign w:val="bottom"/>
            <w:tcBorders>
              <w:top w:val="single" w:sz="8" w:color="0000EE"/>
            </w:tcBorders>
            <w:gridSpan w:val="2"/>
          </w:tcPr>
          <w:p>
            <w:pPr>
              <w:spacing w:after="0"/>
              <w:rPr>
                <w:sz w:val="11"/>
                <w:szCs w:val="11"/>
                <w:color w:val="auto"/>
              </w:rPr>
            </w:pPr>
          </w:p>
        </w:tc>
        <w:tc>
          <w:tcPr>
            <w:tcW w:w="6740" w:type="dxa"/>
            <w:vAlign w:val="bottom"/>
            <w:gridSpan w:val="1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98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Selected Consolidated Financial Data</w:t>
              </w:r>
            </w:hyperlink>
          </w:p>
        </w:tc>
        <w:tc>
          <w:tcPr>
            <w:tcW w:w="562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59">
              <w:r>
                <w:rPr>
                  <w:rFonts w:ascii="Arial" w:cs="Arial" w:eastAsia="Arial" w:hAnsi="Arial"/>
                  <w:sz w:val="13"/>
                  <w:szCs w:val="13"/>
                  <w:color w:val="0000EE"/>
                  <w:w w:val="87"/>
                </w:rPr>
                <w:t>Business</w:t>
              </w:r>
            </w:hyperlink>
          </w:p>
        </w:tc>
        <w:tc>
          <w:tcPr>
            <w:tcW w:w="4220" w:type="dxa"/>
            <w:vAlign w:val="bottom"/>
            <w:tcBorders>
              <w:top w:val="single" w:sz="8" w:color="0000EE"/>
            </w:tcBorders>
            <w:gridSpan w:val="18"/>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54</w:t>
            </w:r>
          </w:p>
        </w:tc>
      </w:tr>
      <w:tr>
        <w:trPr>
          <w:trHeight w:val="137"/>
        </w:trPr>
        <w:tc>
          <w:tcPr>
            <w:tcW w:w="7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82">
              <w:r>
                <w:rPr>
                  <w:rFonts w:ascii="Arial" w:cs="Arial" w:eastAsia="Arial" w:hAnsi="Arial"/>
                  <w:sz w:val="13"/>
                  <w:szCs w:val="13"/>
                  <w:color w:val="0000EE"/>
                  <w:w w:val="89"/>
                </w:rPr>
                <w:t>Management</w:t>
              </w:r>
            </w:hyperlink>
          </w:p>
        </w:tc>
        <w:tc>
          <w:tcPr>
            <w:tcW w:w="6900" w:type="dxa"/>
            <w:vAlign w:val="bottom"/>
            <w:gridSpan w:val="17"/>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77</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09">
              <w:r>
                <w:rPr>
                  <w:rFonts w:ascii="Arial" w:cs="Arial" w:eastAsia="Arial" w:hAnsi="Arial"/>
                  <w:sz w:val="13"/>
                  <w:szCs w:val="13"/>
                  <w:color w:val="0000EE"/>
                </w:rPr>
                <w:t>Certain Relationships and Related Party Transactions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104</w:t>
            </w:r>
          </w:p>
        </w:tc>
      </w:tr>
      <w:tr>
        <w:trPr>
          <w:trHeight w:val="137"/>
        </w:trPr>
        <w:tc>
          <w:tcPr>
            <w:tcW w:w="120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1"/>
              </w:rPr>
            </w:pPr>
            <w:hyperlink w:anchor="page113">
              <w:r>
                <w:rPr>
                  <w:rFonts w:ascii="Arial" w:cs="Arial" w:eastAsia="Arial" w:hAnsi="Arial"/>
                  <w:sz w:val="13"/>
                  <w:szCs w:val="13"/>
                  <w:color w:val="0000EE"/>
                  <w:w w:val="91"/>
                </w:rPr>
                <w:t>Principal Stockholders</w:t>
              </w:r>
            </w:hyperlink>
          </w:p>
        </w:tc>
        <w:tc>
          <w:tcPr>
            <w:tcW w:w="1600" w:type="dxa"/>
            <w:vAlign w:val="bottom"/>
            <w:tcBorders>
              <w:top w:val="single" w:sz="8" w:color="0000EE"/>
            </w:tcBorders>
            <w:gridSpan w:val="7"/>
          </w:tcPr>
          <w:p>
            <w:pPr>
              <w:spacing w:after="0"/>
              <w:rPr>
                <w:sz w:val="11"/>
                <w:szCs w:val="11"/>
                <w:color w:val="auto"/>
              </w:rPr>
            </w:pPr>
          </w:p>
        </w:tc>
        <w:tc>
          <w:tcPr>
            <w:tcW w:w="480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108</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16">
              <w:r>
                <w:rPr>
                  <w:rFonts w:ascii="Arial" w:cs="Arial" w:eastAsia="Arial" w:hAnsi="Arial"/>
                  <w:sz w:val="13"/>
                  <w:szCs w:val="13"/>
                  <w:color w:val="0000EE"/>
                </w:rPr>
                <w:t>Description of Capital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660" w:type="dxa"/>
            <w:vAlign w:val="bottom"/>
            <w:tcBorders>
              <w:bottom w:val="single" w:sz="8" w:color="0000EE"/>
            </w:tcBorders>
            <w:gridSpan w:val="13"/>
          </w:tcPr>
          <w:p>
            <w:pPr>
              <w:spacing w:after="0" w:line="138" w:lineRule="exact"/>
              <w:rPr>
                <w:rFonts w:ascii="Arial" w:cs="Arial" w:eastAsia="Arial" w:hAnsi="Arial"/>
                <w:sz w:val="13"/>
                <w:szCs w:val="13"/>
                <w:color w:val="0000EE"/>
                <w:w w:val="90"/>
              </w:rPr>
            </w:pPr>
            <w:hyperlink w:anchor="page120">
              <w:r>
                <w:rPr>
                  <w:rFonts w:ascii="Arial" w:cs="Arial" w:eastAsia="Arial" w:hAnsi="Arial"/>
                  <w:sz w:val="13"/>
                  <w:szCs w:val="13"/>
                  <w:color w:val="0000EE"/>
                  <w:w w:val="90"/>
                </w:rPr>
                <w:t>Shares Eligible For Future Sale</w:t>
              </w:r>
            </w:hyperlink>
          </w:p>
        </w:tc>
        <w:tc>
          <w:tcPr>
            <w:tcW w:w="5940" w:type="dxa"/>
            <w:vAlign w:val="bottom"/>
            <w:gridSpan w:val="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115</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Material U.S. Federal Income and Estate Tax Consequences to Non-U.S. Holders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117</w:t>
            </w:r>
          </w:p>
        </w:tc>
      </w:tr>
      <w:tr>
        <w:trPr>
          <w:trHeight w:val="137"/>
        </w:trPr>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2"/>
              </w:rPr>
            </w:pPr>
            <w:hyperlink w:anchor="page125">
              <w:r>
                <w:rPr>
                  <w:rFonts w:ascii="Arial" w:cs="Arial" w:eastAsia="Arial" w:hAnsi="Arial"/>
                  <w:sz w:val="13"/>
                  <w:szCs w:val="13"/>
                  <w:color w:val="0000EE"/>
                  <w:w w:val="92"/>
                </w:rPr>
                <w:t>Underwriters</w:t>
              </w:r>
            </w:hyperlink>
          </w:p>
        </w:tc>
        <w:tc>
          <w:tcPr>
            <w:tcW w:w="3560" w:type="dxa"/>
            <w:vAlign w:val="bottom"/>
            <w:tcBorders>
              <w:top w:val="single" w:sz="8" w:color="0000EE"/>
            </w:tcBorders>
            <w:gridSpan w:val="15"/>
          </w:tcPr>
          <w:p>
            <w:pPr>
              <w:spacing w:after="0"/>
              <w:rPr>
                <w:sz w:val="11"/>
                <w:szCs w:val="11"/>
                <w:color w:val="auto"/>
              </w:rPr>
            </w:pPr>
          </w:p>
        </w:tc>
        <w:tc>
          <w:tcPr>
            <w:tcW w:w="33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137"/>
        </w:trPr>
        <w:tc>
          <w:tcPr>
            <w:tcW w:w="74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129">
              <w:r>
                <w:rPr>
                  <w:rFonts w:ascii="Arial" w:cs="Arial" w:eastAsia="Arial" w:hAnsi="Arial"/>
                  <w:sz w:val="13"/>
                  <w:szCs w:val="13"/>
                  <w:color w:val="0000EE"/>
                  <w:w w:val="91"/>
                </w:rPr>
                <w:t>Legal Matters</w:t>
              </w:r>
            </w:hyperlink>
          </w:p>
        </w:tc>
        <w:tc>
          <w:tcPr>
            <w:tcW w:w="6860" w:type="dxa"/>
            <w:vAlign w:val="bottom"/>
            <w:gridSpan w:val="1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29">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380" w:type="dxa"/>
            <w:vAlign w:val="bottom"/>
            <w:tcBorders>
              <w:bottom w:val="single" w:sz="8" w:color="0000EE"/>
            </w:tcBorders>
            <w:gridSpan w:val="17"/>
          </w:tcPr>
          <w:p>
            <w:pPr>
              <w:spacing w:after="0" w:line="138" w:lineRule="exact"/>
              <w:rPr>
                <w:rFonts w:ascii="Arial" w:cs="Arial" w:eastAsia="Arial" w:hAnsi="Arial"/>
                <w:sz w:val="13"/>
                <w:szCs w:val="13"/>
                <w:color w:val="0000EE"/>
                <w:w w:val="94"/>
              </w:rPr>
            </w:pPr>
            <w:hyperlink w:anchor="page129">
              <w:r>
                <w:rPr>
                  <w:rFonts w:ascii="Arial" w:cs="Arial" w:eastAsia="Arial" w:hAnsi="Arial"/>
                  <w:sz w:val="13"/>
                  <w:szCs w:val="13"/>
                  <w:color w:val="0000EE"/>
                  <w:w w:val="94"/>
                </w:rPr>
                <w:t>Where You Can Find Additional Information</w:t>
              </w:r>
            </w:hyperlink>
          </w:p>
        </w:tc>
        <w:tc>
          <w:tcPr>
            <w:tcW w:w="522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137"/>
        </w:trPr>
        <w:tc>
          <w:tcPr>
            <w:tcW w:w="230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130">
              <w:r>
                <w:rPr>
                  <w:rFonts w:ascii="Arial" w:cs="Arial" w:eastAsia="Arial" w:hAnsi="Arial"/>
                  <w:sz w:val="13"/>
                  <w:szCs w:val="13"/>
                  <w:color w:val="0000EE"/>
                  <w:w w:val="90"/>
                </w:rPr>
                <w:t>Index to Consolidated Financial Statements</w:t>
              </w:r>
            </w:hyperlink>
          </w:p>
        </w:tc>
        <w:tc>
          <w:tcPr>
            <w:tcW w:w="53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Pr>
          <w:p>
            <w:pPr>
              <w:spacing w:after="0"/>
              <w:rPr>
                <w:sz w:val="11"/>
                <w:szCs w:val="11"/>
                <w:color w:val="auto"/>
              </w:rPr>
            </w:pPr>
          </w:p>
        </w:tc>
        <w:tc>
          <w:tcPr>
            <w:tcW w:w="7560" w:type="dxa"/>
            <w:vAlign w:val="bottom"/>
            <w:gridSpan w:val="21"/>
          </w:tcPr>
          <w:p>
            <w:pPr>
              <w:spacing w:after="0" w:line="138" w:lineRule="exact"/>
              <w:rPr>
                <w:sz w:val="20"/>
                <w:szCs w:val="20"/>
                <w:color w:val="auto"/>
              </w:rPr>
            </w:pPr>
            <w:r>
              <w:rPr>
                <w:rFonts w:ascii="Arial" w:cs="Arial" w:eastAsia="Arial" w:hAnsi="Arial"/>
                <w:sz w:val="13"/>
                <w:szCs w:val="13"/>
                <w:color w:val="0000EE"/>
              </w:rPr>
              <w:t>EXHIBIT 21.1</w:t>
            </w:r>
          </w:p>
        </w:tc>
        <w:tc>
          <w:tcPr>
            <w:tcW w:w="22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560" w:type="dxa"/>
            <w:vAlign w:val="bottom"/>
            <w:gridSpan w:val="21"/>
          </w:tcPr>
          <w:p>
            <w:pPr>
              <w:spacing w:after="0" w:line="138" w:lineRule="exact"/>
              <w:rPr>
                <w:sz w:val="20"/>
                <w:szCs w:val="20"/>
                <w:color w:val="auto"/>
              </w:rPr>
            </w:pPr>
            <w:r>
              <w:rPr>
                <w:rFonts w:ascii="Arial" w:cs="Arial" w:eastAsia="Arial" w:hAnsi="Arial"/>
                <w:sz w:val="13"/>
                <w:szCs w:val="13"/>
                <w:color w:val="0000EE"/>
              </w:rPr>
              <w:t>EXHIBIT 23.1</w:t>
            </w:r>
          </w:p>
        </w:tc>
        <w:tc>
          <w:tcPr>
            <w:tcW w:w="2200" w:type="dxa"/>
            <w:vAlign w:val="bottom"/>
          </w:tcPr>
          <w:p>
            <w:pPr>
              <w:spacing w:after="0"/>
              <w:rPr>
                <w:sz w:val="11"/>
                <w:szCs w:val="11"/>
                <w:color w:val="auto"/>
              </w:rPr>
            </w:pPr>
          </w:p>
        </w:tc>
      </w:tr>
      <w:tr>
        <w:trPr>
          <w:trHeight w:val="186"/>
        </w:trPr>
        <w:tc>
          <w:tcPr>
            <w:tcW w:w="40" w:type="dxa"/>
            <w:vAlign w:val="bottom"/>
            <w:tcBorders>
              <w:bottom w:val="single" w:sz="8" w:color="auto"/>
            </w:tcBorders>
          </w:tcPr>
          <w:p>
            <w:pPr>
              <w:spacing w:after="0"/>
              <w:rPr>
                <w:sz w:val="16"/>
                <w:szCs w:val="16"/>
                <w:color w:val="auto"/>
              </w:rPr>
            </w:pPr>
          </w:p>
        </w:tc>
        <w:tc>
          <w:tcPr>
            <w:tcW w:w="36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2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-2446020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8"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46"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3"/>
          <w:szCs w:val="13"/>
          <w:color w:val="auto"/>
        </w:rPr>
        <w:t>.</w:t>
      </w:r>
    </w:p>
    <w:p>
      <w:pPr>
        <w:spacing w:after="0" w:line="65"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80" w:firstLine="399"/>
        <w:spacing w:after="0" w:line="296" w:lineRule="auto"/>
        <w:rPr>
          <w:sz w:val="20"/>
          <w:szCs w:val="20"/>
          <w:color w:val="auto"/>
        </w:rPr>
      </w:pPr>
      <w:r>
        <w:rPr>
          <w:rFonts w:ascii="Arial" w:cs="Arial" w:eastAsia="Arial" w:hAnsi="Arial"/>
          <w:sz w:val="12"/>
          <w:szCs w:val="12"/>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8 and our consolidated financial statements and related notes included elsewhere in this prospectus, before making an investment decision. Unless otherwise indicated, the terms “Fluidigm,” “we,” “us” and “our” refer to Fluidigm Corporation.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FLUIDIGM CORPORATION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address critical industry needs by providing very large-scale integration of essential laboratory functions on a single microfabricated device. IFCs can measure, combine, diffuse, fold, mix, separate or pump nanoliter volumes of fluids with precise control and reproducibility. Based on their similarities to the integrated circuit that revolutionized the microelectronics industry, we often refer to our IFCs as “integrated circuits for biology.” These devices enable our customers to perform thousands of sophisticated biochemical reactions and measurements in parallel on samples smaller than the content of a single cell, while reducing the consumption of expensive laboratory chemicals. Particularly for large-scale experimentation, our IFC systems increase throughput, decrease costs and enhance sensitivity compared to conventional laboratory systems.</w:t>
      </w:r>
    </w:p>
    <w:p>
      <w:pPr>
        <w:spacing w:after="0" w:line="59" w:lineRule="exact"/>
        <w:rPr>
          <w:sz w:val="20"/>
          <w:szCs w:val="20"/>
          <w:color w:val="auto"/>
        </w:rPr>
      </w:pPr>
    </w:p>
    <w:p>
      <w:pPr>
        <w:ind w:left="860" w:right="20" w:firstLine="399"/>
        <w:spacing w:after="0" w:line="257" w:lineRule="auto"/>
        <w:rPr>
          <w:sz w:val="20"/>
          <w:szCs w:val="20"/>
          <w:color w:val="auto"/>
        </w:rPr>
      </w:pPr>
      <w:r>
        <w:rPr>
          <w:rFonts w:ascii="Arial" w:cs="Arial" w:eastAsia="Arial" w:hAnsi="Arial"/>
          <w:sz w:val="13"/>
          <w:szCs w:val="13"/>
          <w:color w:val="auto"/>
        </w:rPr>
        <w:t>We have commercialized IFC systems, consisting of instrumentation, software and single-use IFCs, for a wide range of life science applications.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our success and continued growth prospects are attributable to the following:</w:t>
      </w:r>
    </w:p>
    <w:p>
      <w:pPr>
        <w:spacing w:after="0" w:line="96" w:lineRule="exact"/>
        <w:rPr>
          <w:sz w:val="20"/>
          <w:szCs w:val="20"/>
          <w:color w:val="auto"/>
        </w:rPr>
      </w:pPr>
    </w:p>
    <w:p>
      <w:pPr>
        <w:ind w:left="1460" w:right="8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Disruptive Technology. </w:t>
      </w:r>
      <w:r>
        <w:rPr>
          <w:rFonts w:ascii="Arial" w:cs="Arial" w:eastAsia="Arial" w:hAnsi="Arial"/>
          <w:sz w:val="13"/>
          <w:szCs w:val="13"/>
          <w:color w:val="auto"/>
        </w:rPr>
        <w:t>We believe we have achieved a level of miniaturization in microfluidics that allows us to integrate the components required to automate a broad range of</w:t>
      </w:r>
      <w:r>
        <w:rPr>
          <w:rFonts w:ascii="Arial" w:cs="Arial" w:eastAsia="Arial" w:hAnsi="Arial"/>
          <w:sz w:val="13"/>
          <w:szCs w:val="13"/>
          <w:i w:val="1"/>
          <w:iCs w:val="1"/>
          <w:color w:val="auto"/>
        </w:rPr>
        <w:t xml:space="preserve"> </w:t>
      </w:r>
      <w:r>
        <w:rPr>
          <w:rFonts w:ascii="Arial" w:cs="Arial" w:eastAsia="Arial" w:hAnsi="Arial"/>
          <w:sz w:val="13"/>
          <w:szCs w:val="13"/>
          <w:color w:val="auto"/>
        </w:rPr>
        <w:t>life science applications in an area less than half the size of a credit card. Our IFCs deliver orders of magnitude improvements in cost and labor efficiencies, while being easily incorporated into existing laboratory workflows and allowing the use of broadly accepted chemistries.</w:t>
      </w:r>
    </w:p>
    <w:p>
      <w:pPr>
        <w:spacing w:after="0" w:line="27"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Proven Customer Adoption. </w:t>
      </w:r>
      <w:r>
        <w:rPr>
          <w:rFonts w:ascii="Arial" w:cs="Arial" w:eastAsia="Arial" w:hAnsi="Arial"/>
          <w:sz w:val="13"/>
          <w:szCs w:val="13"/>
          <w:color w:val="auto"/>
        </w:rPr>
        <w:t>We have sold our IFCs to over 100 customers. These customers include many leading biotechnology and pharmaceutical companies, academic</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and life science laboratories worldwide.</w:t>
      </w:r>
    </w:p>
    <w:p>
      <w:pPr>
        <w:spacing w:after="0" w:line="10"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Broad Application in the Life Science Market. </w:t>
      </w:r>
      <w:r>
        <w:rPr>
          <w:rFonts w:ascii="Arial" w:cs="Arial" w:eastAsia="Arial" w:hAnsi="Arial"/>
          <w:sz w:val="13"/>
          <w:szCs w:val="13"/>
          <w:color w:val="auto"/>
        </w:rPr>
        <w:t>We have developed and commercialized IFCs for several significant life science research applications and believe that the inherent</w:t>
      </w:r>
      <w:r>
        <w:rPr>
          <w:rFonts w:ascii="Arial" w:cs="Arial" w:eastAsia="Arial" w:hAnsi="Arial"/>
          <w:sz w:val="13"/>
          <w:szCs w:val="13"/>
          <w:i w:val="1"/>
          <w:iCs w:val="1"/>
          <w:color w:val="auto"/>
        </w:rPr>
        <w:t xml:space="preserve"> </w:t>
      </w:r>
      <w:r>
        <w:rPr>
          <w:rFonts w:ascii="Arial" w:cs="Arial" w:eastAsia="Arial" w:hAnsi="Arial"/>
          <w:sz w:val="13"/>
          <w:szCs w:val="13"/>
          <w:color w:val="auto"/>
        </w:rPr>
        <w:t>flexibility of our technology will enable the development of IFCs for a wide variety of additional markets and applications.</w:t>
      </w:r>
    </w:p>
    <w:p>
      <w:pPr>
        <w:spacing w:after="0" w:line="10"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Strong Research and Development Capabilities and Intellectual Property Position. </w:t>
      </w:r>
      <w:r>
        <w:rPr>
          <w:rFonts w:ascii="Arial" w:cs="Arial" w:eastAsia="Arial" w:hAnsi="Arial"/>
          <w:sz w:val="13"/>
          <w:szCs w:val="13"/>
          <w:color w:val="auto"/>
        </w:rPr>
        <w:t>We have and will continue to invest substantially in research and development to increase the</w:t>
      </w:r>
      <w:r>
        <w:rPr>
          <w:rFonts w:ascii="Arial" w:cs="Arial" w:eastAsia="Arial" w:hAnsi="Arial"/>
          <w:sz w:val="13"/>
          <w:szCs w:val="13"/>
          <w:i w:val="1"/>
          <w:iCs w:val="1"/>
          <w:color w:val="auto"/>
        </w:rPr>
        <w:t xml:space="preserve"> </w:t>
      </w:r>
      <w:r>
        <w:rPr>
          <w:rFonts w:ascii="Arial" w:cs="Arial" w:eastAsia="Arial" w:hAnsi="Arial"/>
          <w:sz w:val="13"/>
          <w:szCs w:val="13"/>
          <w:color w:val="auto"/>
        </w:rPr>
        <w:t>density, throughput and functionality of our IFCs. We have developed an extensive portfolio of intellectual property, including more than 80 issued U.S. patents and 240 patent applications pending worldwide either owned by or licensed to us.</w:t>
      </w:r>
    </w:p>
    <w:p>
      <w:pPr>
        <w:spacing w:after="0" w:line="17" w:lineRule="exact"/>
        <w:rPr>
          <w:rFonts w:ascii="Arial" w:cs="Arial" w:eastAsia="Arial" w:hAnsi="Arial"/>
          <w:sz w:val="13"/>
          <w:szCs w:val="13"/>
          <w:color w:val="auto"/>
        </w:rPr>
      </w:pPr>
    </w:p>
    <w:p>
      <w:pPr>
        <w:ind w:left="1460" w:right="28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Efficient Manufacturing and Process Development. </w:t>
      </w:r>
      <w:r>
        <w:rPr>
          <w:rFonts w:ascii="Arial" w:cs="Arial" w:eastAsia="Arial" w:hAnsi="Arial"/>
          <w:sz w:val="13"/>
          <w:szCs w:val="13"/>
          <w:color w:val="auto"/>
        </w:rPr>
        <w:t>Our sophisticated manufacturing process, which combines standard semiconductor methods with proprietary techniques,</w:t>
      </w:r>
      <w:r>
        <w:rPr>
          <w:rFonts w:ascii="Arial" w:cs="Arial" w:eastAsia="Arial" w:hAnsi="Arial"/>
          <w:sz w:val="13"/>
          <w:szCs w:val="13"/>
          <w:i w:val="1"/>
          <w:iCs w:val="1"/>
          <w:color w:val="auto"/>
        </w:rPr>
        <w:t xml:space="preserve"> </w:t>
      </w:r>
      <w:r>
        <w:rPr>
          <w:rFonts w:ascii="Arial" w:cs="Arial" w:eastAsia="Arial" w:hAnsi="Arial"/>
          <w:sz w:val="13"/>
          <w:szCs w:val="13"/>
          <w:color w:val="auto"/>
        </w:rPr>
        <w:t>enables us to produce large quantities of IFCs to stringent quality standards. We have established our manufacturing facility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Singapore because of the availability of a skilled workforce, an extensive supplier and partner network, lower operating costs and significant government support.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860" w:right="60" w:firstLine="399"/>
        <w:spacing w:after="0" w:line="281" w:lineRule="auto"/>
        <w:rPr>
          <w:sz w:val="20"/>
          <w:szCs w:val="20"/>
          <w:color w:val="auto"/>
        </w:rPr>
      </w:pPr>
      <w:r>
        <w:rPr>
          <w:rFonts w:ascii="Arial" w:cs="Arial" w:eastAsia="Arial" w:hAnsi="Arial"/>
          <w:sz w:val="12"/>
          <w:szCs w:val="12"/>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Developing and applying this knowledge increasingly requires performing experimentation on a scale and with a precision that can be achieved only through automation. However, the most common forms of life science automation rely on cumbersome robotic systems that are slow, expensive and labor intensive and, we believe, fundamentally constrain life science research. In much the same way that integrated circuits overcame the limitations of early computers by placing an increasing number of transistors on a single silicon chip, our IFCs are designed to overcome many of the limitations of conventional laboratory systems by integrating an increasing number of fluidic components on a single microfabricated IFC.</w:t>
      </w:r>
    </w:p>
    <w:p>
      <w:pPr>
        <w:spacing w:after="0" w:line="58" w:lineRule="exact"/>
        <w:rPr>
          <w:sz w:val="20"/>
          <w:szCs w:val="20"/>
          <w:color w:val="auto"/>
        </w:rPr>
      </w:pPr>
    </w:p>
    <w:p>
      <w:pPr>
        <w:ind w:left="860" w:right="20" w:firstLine="399"/>
        <w:spacing w:after="0" w:line="264" w:lineRule="auto"/>
        <w:rPr>
          <w:sz w:val="20"/>
          <w:szCs w:val="20"/>
          <w:color w:val="auto"/>
        </w:rPr>
      </w:pPr>
      <w:r>
        <w:rPr>
          <w:rFonts w:ascii="Arial" w:cs="Arial" w:eastAsia="Arial" w:hAnsi="Arial"/>
          <w:sz w:val="13"/>
          <w:szCs w:val="13"/>
          <w:color w:val="auto"/>
        </w:rPr>
        <w:t>Currently, researchers and clinicians use our IFCs to perform large-scale experimentation in the fields of genomics and proteomics. Genomics is the in-depth study of the genetic makeup of microorganisms, plants, animals and people, including analyzing variations in genes and gene activity. Proteomics is the large-scale study of the structure and function of proteins. Our IFC systems support the following types of genomic and proteomic studies:</w:t>
      </w:r>
    </w:p>
    <w:p>
      <w:pPr>
        <w:spacing w:after="0" w:line="67" w:lineRule="exact"/>
        <w:rPr>
          <w:sz w:val="20"/>
          <w:szCs w:val="20"/>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Genotyping: </w:t>
      </w:r>
      <w:r>
        <w:rPr>
          <w:rFonts w:ascii="Arial" w:cs="Arial" w:eastAsia="Arial" w:hAnsi="Arial"/>
          <w:sz w:val="13"/>
          <w:szCs w:val="13"/>
          <w:color w:val="auto"/>
        </w:rPr>
        <w:t>determining the specific genetic traits of an individual or individuals.</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measuring the activity of genes.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determining the three-dimensional structure of proteins.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Digital PCR: </w:t>
      </w:r>
      <w:r>
        <w:rPr>
          <w:rFonts w:ascii="Arial" w:cs="Arial" w:eastAsia="Arial" w:hAnsi="Arial"/>
          <w:sz w:val="13"/>
          <w:szCs w:val="13"/>
          <w:color w:val="auto"/>
        </w:rPr>
        <w:t>quantifying scarce genetic sequences in a biological sample.</w:t>
      </w:r>
    </w:p>
    <w:p>
      <w:pPr>
        <w:spacing w:after="0" w:line="96"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According to Strategic Directions International, in 2005 the principal segments of the genomic analysis market, gene expression and genotyping, accounted for $4.9 billion worldwide in expenditures and are expected to grow annually by 8% through 2010. We believe that our products may further be developed for use in molecular diagnostics. Molecular diagnostics is a rapidly growing market that seeks to apply information learned from genomic and proteomic analysis to clinical practice in diagnosing, monitoring and treating disease.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860" w:right="200" w:firstLine="399"/>
        <w:spacing w:after="0" w:line="320" w:lineRule="auto"/>
        <w:rPr>
          <w:sz w:val="20"/>
          <w:szCs w:val="20"/>
          <w:color w:val="auto"/>
        </w:rPr>
      </w:pPr>
      <w:r>
        <w:rPr>
          <w:rFonts w:ascii="Arial" w:cs="Arial" w:eastAsia="Arial" w:hAnsi="Arial"/>
          <w:sz w:val="12"/>
          <w:szCs w:val="12"/>
          <w:color w:val="auto"/>
        </w:rPr>
        <w:t>Our IFC systems are designed to overcome many of the limitations of conventional laboratory systems by enabling researchers and clinicians to rapidly perform a large number of experiments at one time and in nanoliter volumes, significantly increasing throughput, reducing reagent costs, conserving patient samples and reducing workflow complexity.</w:t>
      </w:r>
    </w:p>
    <w:p>
      <w:pPr>
        <w:spacing w:after="0" w:line="35"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color w:val="auto"/>
        </w:rPr>
        <w:t>We commercially introduced our Topaz IFC system in the first quarter of 2003 and our Biomark IFC system in the fourth quarter of 2006. Our first IFC, the 1.96 Dynamic Array for our Topaz system, was introduced in the first quarter of 2003 and allowed researchers to test a single sample against 96 different reagents. In May 2008, we introduced the 96.96 Dynamic Array IFC for our Biomark system. This IFC is based on a matrix architecture that allows a researcher to test each of 96 different samples against each of 96 different reagents in parallel, and thus perform 9,216 individual experiments simultaneously.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advantages of our IFC systems over conventional laboratory systems include:</w:t>
      </w:r>
    </w:p>
    <w:p>
      <w:pPr>
        <w:spacing w:after="0" w:line="96" w:lineRule="exact"/>
        <w:rPr>
          <w:sz w:val="20"/>
          <w:szCs w:val="20"/>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liquid handling steps than conventional systems for the same experiment.</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Improved Throughput. </w:t>
      </w:r>
      <w:r>
        <w:rPr>
          <w:rFonts w:ascii="Arial" w:cs="Arial" w:eastAsia="Arial" w:hAnsi="Arial"/>
          <w:sz w:val="13"/>
          <w:szCs w:val="13"/>
          <w:color w:val="auto"/>
        </w:rPr>
        <w:t>Our most advanced IFCs can conduct up to 24 times more experiments than a conventional system can perform in a single run.</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Nanoliter Precision. </w:t>
      </w:r>
      <w:r>
        <w:rPr>
          <w:rFonts w:ascii="Arial" w:cs="Arial" w:eastAsia="Arial" w:hAnsi="Arial"/>
          <w:sz w:val="11"/>
          <w:szCs w:val="11"/>
          <w:color w:val="auto"/>
        </w:rPr>
        <w:t>Our IFC systems allow researchers to dispense samples and reagents in nanoliter, or billionths of a liter, volumes, which supports high sensitivity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60" w:right="20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Reduced Reagent and Sample Requirements. </w:t>
      </w:r>
      <w:r>
        <w:rPr>
          <w:rFonts w:ascii="Arial" w:cs="Arial" w:eastAsia="Arial" w:hAnsi="Arial"/>
          <w:sz w:val="13"/>
          <w:szCs w:val="13"/>
          <w:color w:val="auto"/>
        </w:rPr>
        <w:t>Our systems operate on volumes of reagents and samples that are typically less than 1% of the volumes required by conventional</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For high volume users, the cost of purchasing one BioMark system is much lower than the cost of purchasing the number of conventional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provide the same throughput.</w:t>
      </w:r>
    </w:p>
    <w:p>
      <w:pPr>
        <w:spacing w:after="0" w:line="19"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Ease of Adoption. </w:t>
      </w:r>
      <w:r>
        <w:rPr>
          <w:rFonts w:ascii="Arial" w:cs="Arial" w:eastAsia="Arial" w:hAnsi="Arial"/>
          <w:sz w:val="13"/>
          <w:szCs w:val="13"/>
          <w:color w:val="auto"/>
        </w:rPr>
        <w:t>Our IFC systems support widely-used chemistries and are compatible with standard laboratory equipment, allowing researchers to easily incorporate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into their laboratory workflow and processes.</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believe that our IFC systems also offer significant advantages over other high-throughput methods for large scale experimentation. These alternative approaches have one or more limitations such as lack of flexibility, poor data quality, complex and slow workflows or high running costs. However, some of these methods are able to detect thousands of genetic markers in a single sample and may be more suitable for certain applications than our products. In addition, some of these alternative approaches are more widely adopted and better validated than our systems.</w:t>
      </w:r>
    </w:p>
    <w:p>
      <w:pPr>
        <w:spacing w:after="0" w:line="70" w:lineRule="exact"/>
        <w:rPr>
          <w:sz w:val="20"/>
          <w:szCs w:val="20"/>
          <w:color w:val="auto"/>
        </w:rPr>
      </w:pPr>
    </w:p>
    <w:p>
      <w:pPr>
        <w:ind w:left="860" w:right="40" w:firstLine="399"/>
        <w:spacing w:after="0" w:line="316" w:lineRule="auto"/>
        <w:rPr>
          <w:sz w:val="20"/>
          <w:szCs w:val="20"/>
          <w:color w:val="auto"/>
        </w:rPr>
      </w:pPr>
      <w:r>
        <w:rPr>
          <w:rFonts w:ascii="Arial" w:cs="Arial" w:eastAsia="Arial" w:hAnsi="Arial"/>
          <w:sz w:val="11"/>
          <w:szCs w:val="11"/>
          <w:color w:val="auto"/>
        </w:rPr>
        <w:t>Our IFC systems address the needs of researchers and clinicians who perform large-scale studies in the areas of genomics, proteomics and molecular diagnostics. Nevertheless, researchers and clinicians may be slow to adopt our IFC systems as they are based on technology that is not yet well-established in the industry. Moreover, many of the existing laboratories have already made substantial capital investments in their existing systems and may be hesitant to abandon that investment. In addition,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Our business is subject to numerous risks, as more fully described in the section entitled “Risk Factors” immediately following this prospectus summary, including the following:</w:t>
      </w:r>
    </w:p>
    <w:p>
      <w:pPr>
        <w:spacing w:after="0" w:line="108"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had an accumulated deficit of $140.4 million as of March 29, 2008 and expect to incur losses for the foreseeable future.</w:t>
      </w:r>
    </w:p>
    <w:p>
      <w:pPr>
        <w:spacing w:after="0" w:line="58" w:lineRule="exact"/>
        <w:rPr>
          <w:rFonts w:ascii="Arial" w:cs="Arial" w:eastAsia="Arial" w:hAnsi="Arial"/>
          <w:sz w:val="12"/>
          <w:szCs w:val="12"/>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our products fail to achieve and sustain market acceptance, our revenue will be adversely affected.</w:t>
      </w:r>
    </w:p>
    <w:p>
      <w:pPr>
        <w:spacing w:after="0" w:line="47" w:lineRule="exact"/>
        <w:rPr>
          <w:rFonts w:ascii="Arial" w:cs="Arial" w:eastAsia="Arial" w:hAnsi="Arial"/>
          <w:sz w:val="13"/>
          <w:szCs w:val="13"/>
          <w:color w:val="auto"/>
        </w:rPr>
      </w:pPr>
    </w:p>
    <w:p>
      <w:pPr>
        <w:ind w:left="1460" w:right="52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sales cycle for the BioMark and Topaz systems is lengthy and unpredictable, which makes it difficult for us to forecast revenue and could cause significant quarterly fluctuations in revenue and other operating results.</w:t>
      </w:r>
    </w:p>
    <w:p>
      <w:pPr>
        <w:spacing w:after="0" w:line="10"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a substantial portion of our revenues from a limited number of customers and other entities, and the loss of, or a significant reduction in, orders or grants from one or more of our major customers or grantors would adversely affect our operations and financial condition.</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life science industry is highly competitive and subject to rapid technological change, and we may not be able to successfully compete.</w:t>
      </w:r>
    </w:p>
    <w:p>
      <w:pPr>
        <w:spacing w:after="0" w:line="47"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limited experience in producing our products, and we may experience development or manufacturing problems or delays that could limit the growth of our revenue or increase our losses.</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are dependent on single source suppliers for some of the components and materials used in our systems, and the loss of any of these suppliers could harm our business.</w:t>
      </w:r>
    </w:p>
    <w:p>
      <w:pPr>
        <w:spacing w:after="0" w:line="58" w:lineRule="exact"/>
        <w:rPr>
          <w:rFonts w:ascii="Arial" w:cs="Arial" w:eastAsia="Arial" w:hAnsi="Arial"/>
          <w:sz w:val="12"/>
          <w:szCs w:val="12"/>
          <w:color w:val="auto"/>
        </w:rPr>
      </w:pPr>
    </w:p>
    <w:p>
      <w:pPr>
        <w:ind w:left="146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protect our intellectual property and proprietary technology through patents and other means is uncertain, and we are dependent on certain licensed-in technology. In addition, future third-party claims of intellectual property infringement could adversely affect our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History and Information</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50"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“Fluidigm,” the Fluidigm logo, “Topaz,” “BioMark,” “AutoInspeX,” “MSL” and “NanoFlex” are trademarks or registered trademarks of Fluidigm.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3"/>
          <w:szCs w:val="13"/>
          <w:color w:val="auto"/>
        </w:rPr>
        <w:t>We intend to use the net proceeds from this offering to expand our sales force, support the commercialization of our products, continue research and development, expand our facilities and manufacturing operations and for working capital and other general corporate purposes. We may also use a portion of the net proceeds to acquire other businesses, products or technologies. However, we do not have agreements or commitments for any specific acquisitions at this time. See “Use of Proceeds.”</w:t>
      </w:r>
    </w:p>
    <w:p>
      <w:pPr>
        <w:spacing w:after="0" w:line="61"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FLDM</w:t>
      </w:r>
    </w:p>
    <w:p>
      <w:pPr>
        <w:spacing w:after="0" w:line="9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right="36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66,638,462 shares of our common stock outstanding as of March 29, 2008, but excludes:</w:t>
      </w:r>
    </w:p>
    <w:p>
      <w:pPr>
        <w:spacing w:after="0" w:line="59"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46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of our convertible preferred stock;</w:t>
      </w:r>
    </w:p>
    <w:p>
      <w:pPr>
        <w:sectPr>
          <w:pgSz w:w="11900" w:h="16838" w:orient="portrait"/>
          <w:cols w:equalWidth="0" w:num="1">
            <w:col w:w="10820"/>
          </w:cols>
          <w:pgMar w:left="220" w:top="343" w:right="859" w:bottom="1440" w:gutter="0" w:footer="0" w:header="0"/>
          <w:type w:val="continuous"/>
        </w:sectPr>
      </w:pPr>
    </w:p>
    <w:p>
      <w:pPr>
        <w:spacing w:after="0" w:line="59"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20" w:firstLine="360"/>
        <w:spacing w:after="0" w:line="371" w:lineRule="auto"/>
        <w:rPr>
          <w:sz w:val="20"/>
          <w:szCs w:val="20"/>
          <w:color w:val="auto"/>
        </w:rPr>
      </w:pPr>
      <w:r>
        <w:rPr>
          <w:rFonts w:ascii="Arial" w:cs="Arial" w:eastAsia="Arial" w:hAnsi="Arial"/>
          <w:sz w:val="11"/>
          <w:szCs w:val="11"/>
          <w:color w:val="auto"/>
        </w:rPr>
        <w:t>shares of common stock reserved for future issuance under our stock-based compensation plans, including shares of common stock reserved for issuance under our 2008 Equity Incentive Plan, which will become effective on the date of this prospectus, and any future automatic increase in shares reserved for issuance under such plan; and</w:t>
      </w:r>
    </w:p>
    <w:p>
      <w:pPr>
        <w:spacing w:after="0" w:line="2" w:lineRule="exact"/>
        <w:rPr>
          <w:sz w:val="20"/>
          <w:szCs w:val="20"/>
          <w:color w:val="auto"/>
        </w:rPr>
      </w:pPr>
    </w:p>
    <w:p>
      <w:pPr>
        <w:sectPr>
          <w:pgSz w:w="11900" w:h="16838" w:orient="portrait"/>
          <w:cols w:equalWidth="0" w:num="2">
            <w:col w:w="1300" w:space="160"/>
            <w:col w:w="9360"/>
          </w:cols>
          <w:pgMar w:left="220" w:top="343" w:right="859" w:bottom="1440" w:gutter="0" w:footer="0" w:header="0"/>
          <w:type w:val="continuous"/>
        </w:sectPr>
      </w:pPr>
    </w:p>
    <w:p>
      <w:pPr>
        <w:ind w:left="1460" w:right="36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1,503,945 shares of our Series E preferred stock issued upon the conversion of principal and accrued interest on a convertible promissory note held by Biomedical Sciences Investment Fund Pte Ltd on April 30, 2008.</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-for-</w:t>
      </w:r>
      <w:r>
        <w:rPr>
          <w:rFonts w:ascii="Arial" w:cs="Arial" w:eastAsia="Arial" w:hAnsi="Arial"/>
          <w:sz w:val="11"/>
          <w:szCs w:val="11"/>
          <w:color w:val="auto"/>
        </w:rPr>
        <w:t>reverse split of our outstanding common stock and convertible preferred stock, to be effected prior to the completion of this offering;</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conversion of all outstanding shares of our convertible preferred stock into an aggregate of 56,670,894 shares of common stock upon the closing of this offering;</w:t>
      </w:r>
    </w:p>
    <w:p>
      <w:pPr>
        <w:spacing w:after="0" w:line="107"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immediately prior to the effectiveness of this offering; and</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00" w:lineRule="exact"/>
        <w:rPr>
          <w:sz w:val="20"/>
          <w:szCs w:val="20"/>
          <w:color w:val="auto"/>
        </w:rPr>
      </w:pPr>
    </w:p>
    <w:p>
      <w:pPr>
        <w:ind w:left="860" w:right="80" w:firstLine="399"/>
        <w:spacing w:after="0" w:line="316" w:lineRule="auto"/>
        <w:rPr>
          <w:sz w:val="20"/>
          <w:szCs w:val="20"/>
          <w:color w:val="auto"/>
        </w:rPr>
      </w:pPr>
      <w:r>
        <w:rPr>
          <w:rFonts w:ascii="Arial" w:cs="Arial" w:eastAsia="Arial" w:hAnsi="Arial"/>
          <w:sz w:val="11"/>
          <w:szCs w:val="11"/>
          <w:color w:val="auto"/>
        </w:rPr>
        <w:t>We have derived the summary consolidated statement of operations data for the years ended December 31, 2005, December 31, 2006 and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44"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6"/>
          </w:tcPr>
          <w:p>
            <w:pPr>
              <w:jc w:val="right"/>
              <w:ind w:right="80"/>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81"/>
        </w:trPr>
        <w:tc>
          <w:tcPr>
            <w:tcW w:w="57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180" w:type="dxa"/>
            <w:vAlign w:val="bottom"/>
          </w:tcPr>
          <w:p>
            <w:pPr>
              <w:spacing w:after="0"/>
              <w:rPr>
                <w:sz w:val="7"/>
                <w:szCs w:val="7"/>
                <w:color w:val="auto"/>
              </w:rPr>
            </w:pPr>
          </w:p>
        </w:tc>
        <w:tc>
          <w:tcPr>
            <w:tcW w:w="560" w:type="dxa"/>
            <w:vAlign w:val="bottom"/>
            <w:tcBorders>
              <w:top w:val="single" w:sz="8" w:color="auto"/>
            </w:tcBorders>
            <w:gridSpan w:val="3"/>
          </w:tcPr>
          <w:p>
            <w:pPr>
              <w:ind w:left="20"/>
              <w:spacing w:after="0" w:line="81" w:lineRule="exact"/>
              <w:rPr>
                <w:sz w:val="20"/>
                <w:szCs w:val="20"/>
                <w:color w:val="auto"/>
              </w:rPr>
            </w:pPr>
            <w:r>
              <w:rPr>
                <w:rFonts w:ascii="Arial" w:cs="Arial" w:eastAsia="Arial" w:hAnsi="Arial"/>
                <w:sz w:val="9"/>
                <w:szCs w:val="9"/>
                <w:b w:val="1"/>
                <w:bCs w:val="1"/>
                <w:color w:val="auto"/>
              </w:rPr>
              <w:t>March 31,</w:t>
            </w:r>
          </w:p>
        </w:tc>
        <w:tc>
          <w:tcPr>
            <w:tcW w:w="46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March 29,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2006</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100" w:type="dxa"/>
            <w:vAlign w:val="bottom"/>
          </w:tcPr>
          <w:p>
            <w:pPr>
              <w:spacing w:after="0"/>
              <w:rPr>
                <w:sz w:val="10"/>
                <w:szCs w:val="10"/>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91"/>
        </w:trPr>
        <w:tc>
          <w:tcPr>
            <w:tcW w:w="5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tcPr>
          <w:p>
            <w:pPr>
              <w:spacing w:after="0"/>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4,451</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744</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47"/>
        </w:trPr>
        <w:tc>
          <w:tcPr>
            <w:tcW w:w="5740" w:type="dxa"/>
            <w:vAlign w:val="bottom"/>
          </w:tcPr>
          <w:p>
            <w:pPr>
              <w:ind w:left="120"/>
              <w:spacing w:after="0"/>
              <w:rPr>
                <w:sz w:val="20"/>
                <w:szCs w:val="20"/>
                <w:color w:val="auto"/>
              </w:rPr>
            </w:pPr>
            <w:r>
              <w:rPr>
                <w:rFonts w:ascii="Arial" w:cs="Arial" w:eastAsia="Arial" w:hAnsi="Arial"/>
                <w:sz w:val="12"/>
                <w:szCs w:val="12"/>
                <w:color w:val="auto"/>
              </w:rPr>
              <w:t>Collaboration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460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Grant revenue</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2,364</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40"/>
              <w:spacing w:after="0"/>
              <w:rPr>
                <w:sz w:val="20"/>
                <w:szCs w:val="20"/>
                <w:color w:val="auto"/>
              </w:rPr>
            </w:pPr>
            <w:r>
              <w:rPr>
                <w:rFonts w:ascii="Arial" w:cs="Arial" w:eastAsia="Arial" w:hAnsi="Arial"/>
                <w:sz w:val="12"/>
                <w:szCs w:val="12"/>
                <w:color w:val="auto"/>
              </w:rPr>
              <w:t>Total revenue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7,674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6,398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7,275</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2,514</w:t>
            </w:r>
          </w:p>
        </w:tc>
        <w:tc>
          <w:tcPr>
            <w:tcW w:w="0" w:type="dxa"/>
            <w:vAlign w:val="bottom"/>
          </w:tcPr>
          <w:p>
            <w:pPr>
              <w:spacing w:after="0"/>
              <w:rPr>
                <w:sz w:val="1"/>
                <w:szCs w:val="1"/>
                <w:color w:val="auto"/>
              </w:rPr>
            </w:pPr>
          </w:p>
        </w:tc>
      </w:tr>
      <w:tr>
        <w:trPr>
          <w:trHeight w:val="147"/>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Cost and expenses: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tcPr>
          <w:p>
            <w:pPr>
              <w:ind w:left="120"/>
              <w:spacing w:after="0"/>
              <w:rPr>
                <w:sz w:val="20"/>
                <w:szCs w:val="20"/>
                <w:color w:val="auto"/>
              </w:rPr>
            </w:pPr>
            <w:r>
              <w:rPr>
                <w:rFonts w:ascii="Arial" w:cs="Arial" w:eastAsia="Arial" w:hAnsi="Arial"/>
                <w:sz w:val="12"/>
                <w:szCs w:val="12"/>
                <w:color w:val="auto"/>
              </w:rPr>
              <w:t>Cost of product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3,514</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47"/>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11,449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15,589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14,389</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3,473</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3,280</w:t>
            </w:r>
          </w:p>
        </w:tc>
        <w:tc>
          <w:tcPr>
            <w:tcW w:w="0" w:type="dxa"/>
            <w:vAlign w:val="bottom"/>
          </w:tcPr>
          <w:p>
            <w:pPr>
              <w:spacing w:after="0"/>
              <w:rPr>
                <w:sz w:val="1"/>
                <w:szCs w:val="1"/>
                <w:color w:val="auto"/>
              </w:rPr>
            </w:pPr>
          </w:p>
        </w:tc>
      </w:tr>
      <w:tr>
        <w:trPr>
          <w:trHeight w:val="147"/>
        </w:trPr>
        <w:tc>
          <w:tcPr>
            <w:tcW w:w="5740" w:type="dxa"/>
            <w:vAlign w:val="bottom"/>
          </w:tcPr>
          <w:p>
            <w:pPr>
              <w:ind w:left="12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7,955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9,699</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12,898</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2,758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4,463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costs and expenses</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24,168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28,061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30,801</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7,078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9,037</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(16,494)</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(21,663)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(23,526)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(5,510)</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(6,523)</w:t>
            </w:r>
          </w:p>
        </w:tc>
        <w:tc>
          <w:tcPr>
            <w:tcW w:w="0" w:type="dxa"/>
            <w:vAlign w:val="bottom"/>
          </w:tcPr>
          <w:p>
            <w:pPr>
              <w:spacing w:after="0"/>
              <w:rPr>
                <w:sz w:val="1"/>
                <w:szCs w:val="1"/>
                <w:color w:val="auto"/>
              </w:rPr>
            </w:pPr>
          </w:p>
        </w:tc>
      </w:tr>
      <w:tr>
        <w:trPr>
          <w:trHeight w:val="153"/>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(2,261)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(1,227)</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7"/>
        </w:trPr>
        <w:tc>
          <w:tcPr>
            <w:tcW w:w="5740" w:type="dxa"/>
            <w:vAlign w:val="bottom"/>
          </w:tcPr>
          <w:p>
            <w:pPr>
              <w:ind w:left="120"/>
              <w:spacing w:after="0"/>
              <w:rPr>
                <w:sz w:val="20"/>
                <w:szCs w:val="20"/>
                <w:color w:val="auto"/>
              </w:rPr>
            </w:pPr>
            <w:r>
              <w:rPr>
                <w:rFonts w:ascii="Arial" w:cs="Arial" w:eastAsia="Arial" w:hAnsi="Arial"/>
                <w:sz w:val="12"/>
                <w:szCs w:val="12"/>
                <w:color w:val="auto"/>
              </w:rPr>
              <w:t>Interest income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340</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1,140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291</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2"/>
                <w:szCs w:val="12"/>
                <w:color w:val="auto"/>
              </w:rPr>
              <w:t>Loss before provision for income taxes and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(25,346)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(6,334)</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(6,589)</w:t>
            </w:r>
          </w:p>
        </w:tc>
        <w:tc>
          <w:tcPr>
            <w:tcW w:w="0" w:type="dxa"/>
            <w:vAlign w:val="bottom"/>
          </w:tcPr>
          <w:p>
            <w:pPr>
              <w:spacing w:after="0"/>
              <w:rPr>
                <w:sz w:val="1"/>
                <w:szCs w:val="1"/>
                <w:color w:val="auto"/>
              </w:rPr>
            </w:pPr>
          </w:p>
        </w:tc>
      </w:tr>
      <w:tr>
        <w:trPr>
          <w:trHeight w:val="153"/>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2"/>
                <w:szCs w:val="12"/>
                <w:color w:val="auto"/>
              </w:rPr>
              <w:t>Loss before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(6,355)</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153"/>
        </w:trPr>
        <w:tc>
          <w:tcPr>
            <w:tcW w:w="5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637</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74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(16,385)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(6,355)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shd w:val="clear" w:color="auto" w:fill="CCEEFF"/>
          </w:tcPr>
          <w:p>
            <w:pPr>
              <w:ind w:left="120"/>
              <w:spacing w:after="0" w:line="163" w:lineRule="exact"/>
              <w:rPr>
                <w:sz w:val="20"/>
                <w:szCs w:val="20"/>
                <w:color w:val="auto"/>
              </w:rPr>
            </w:pPr>
            <w:r>
              <w:rPr>
                <w:rFonts w:ascii="Arial" w:cs="Arial" w:eastAsia="Arial" w:hAnsi="Arial"/>
                <w:sz w:val="11"/>
                <w:szCs w:val="11"/>
                <w:color w:val="auto"/>
              </w:rPr>
              <w:t>Net loss per share of common stock, basic and diluted</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(0.67)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29"/>
        </w:trPr>
        <w:tc>
          <w:tcPr>
            <w:tcW w:w="5740" w:type="dxa"/>
            <w:vAlign w:val="bottom"/>
            <w:vMerge w:val="restart"/>
          </w:tcPr>
          <w:p>
            <w:pPr>
              <w:ind w:left="120"/>
              <w:spacing w:after="0" w:line="186" w:lineRule="exact"/>
              <w:rPr>
                <w:sz w:val="20"/>
                <w:szCs w:val="20"/>
                <w:color w:val="auto"/>
              </w:rPr>
            </w:pPr>
            <w:r>
              <w:rPr>
                <w:rFonts w:ascii="Arial" w:cs="Arial" w:eastAsia="Arial" w:hAnsi="Arial"/>
                <w:sz w:val="12"/>
                <w:szCs w:val="12"/>
                <w:color w:val="auto"/>
              </w:rPr>
              <w:t>Shares used in computing net loss per share of common stock, basic and diluted</w:t>
            </w:r>
            <w:r>
              <w:rPr>
                <w:rFonts w:ascii="Arial" w:cs="Arial" w:eastAsia="Arial" w:hAnsi="Arial"/>
                <w:sz w:val="20"/>
                <w:szCs w:val="20"/>
                <w:color w:val="auto"/>
                <w:vertAlign w:val="superscript"/>
              </w:rPr>
              <w:t>(1)</w:t>
            </w: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9,018</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9,316</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9,671</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9,510</w:t>
            </w:r>
          </w:p>
        </w:tc>
        <w:tc>
          <w:tcPr>
            <w:tcW w:w="1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9,913</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120"/>
              <w:spacing w:after="0" w:line="148" w:lineRule="exact"/>
              <w:rPr>
                <w:sz w:val="20"/>
                <w:szCs w:val="20"/>
                <w:color w:val="auto"/>
              </w:rPr>
            </w:pPr>
            <w:r>
              <w:rPr>
                <w:rFonts w:ascii="Arial" w:cs="Arial" w:eastAsia="Arial" w:hAnsi="Arial"/>
                <w:sz w:val="10"/>
                <w:szCs w:val="10"/>
                <w:color w:val="auto"/>
              </w:rPr>
              <w:t>Pro forma net loss per share of common stock, basic and diluted</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Shares used in computing pro forma net loss per share of common stock, basic and diluted</w:t>
      </w:r>
    </w:p>
    <w:p>
      <w:pPr>
        <w:spacing w:after="0" w:line="200" w:lineRule="exact"/>
        <w:rPr>
          <w:sz w:val="20"/>
          <w:szCs w:val="20"/>
          <w:color w:val="auto"/>
        </w:rPr>
      </w:pPr>
    </w:p>
    <w:p>
      <w:pPr>
        <w:ind w:left="1080" w:right="20" w:hanging="226"/>
        <w:spacing w:after="0" w:line="259" w:lineRule="auto"/>
        <w:tabs>
          <w:tab w:leader="none" w:pos="1080" w:val="left"/>
        </w:tabs>
        <w:numPr>
          <w:ilvl w:val="0"/>
          <w:numId w:val="9"/>
        </w:numPr>
        <w:rPr>
          <w:rFonts w:ascii="Arial" w:cs="Arial" w:eastAsia="Arial" w:hAnsi="Arial"/>
          <w:sz w:val="10"/>
          <w:szCs w:val="10"/>
          <w:color w:val="auto"/>
        </w:rPr>
      </w:pPr>
      <w:r>
        <w:rPr>
          <w:rFonts w:ascii="Arial" w:cs="Arial" w:eastAsia="Arial" w:hAnsi="Arial"/>
          <w:sz w:val="10"/>
          <w:szCs w:val="10"/>
          <w:color w:val="auto"/>
        </w:rPr>
        <w:t>Please see Note 2 to our consolidated financial statements included elsewhere in this prospectus for an explanation of the method used to calculate basic and diluted net loss per share of common stock and pro forma net loss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As of March 29, 2008</w:t>
            </w: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1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(1)</w:t>
            </w:r>
          </w:p>
        </w:tc>
        <w:tc>
          <w:tcPr>
            <w:tcW w:w="1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As Adjusted</w:t>
            </w:r>
            <w:r>
              <w:rPr>
                <w:rFonts w:ascii="Arial" w:cs="Arial" w:eastAsia="Arial" w:hAnsi="Arial"/>
                <w:sz w:val="8"/>
                <w:szCs w:val="8"/>
                <w:b w:val="1"/>
                <w:bCs w:val="1"/>
                <w:color w:val="auto"/>
                <w:w w:val="97"/>
              </w:rPr>
              <w:t>(2)(3)</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ind w:left="260"/>
              <w:spacing w:after="0" w:line="81" w:lineRule="exact"/>
              <w:rPr>
                <w:sz w:val="20"/>
                <w:szCs w:val="20"/>
                <w:color w:val="auto"/>
              </w:rPr>
            </w:pPr>
            <w:r>
              <w:rPr>
                <w:rFonts w:ascii="Arial" w:cs="Arial" w:eastAsia="Arial" w:hAnsi="Arial"/>
                <w:sz w:val="9"/>
                <w:szCs w:val="9"/>
                <w:b w:val="1"/>
                <w:bCs w:val="1"/>
                <w:color w:val="auto"/>
                <w:w w:val="80"/>
              </w:rPr>
              <w:t>(in thousands)</w:t>
            </w:r>
          </w:p>
        </w:tc>
        <w:tc>
          <w:tcPr>
            <w:tcW w:w="4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(unaudited)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and cash equivalents and available-for-sale securities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31,235</w:t>
            </w:r>
          </w:p>
        </w:tc>
        <w:tc>
          <w:tcPr>
            <w:tcW w:w="78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29,851</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47,338</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long-term debt and convertible promissory notes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Convertible preferred stock warrant liabilities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162,082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(136,921)</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080" w:right="20" w:hanging="226"/>
        <w:spacing w:after="0" w:line="242" w:lineRule="auto"/>
        <w:tabs>
          <w:tab w:leader="none" w:pos="108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pro forma balance sheet data in the table above reflects (i) the automatic conversion of principal and accrued interest of a convertible promissory note held by Biomedical Sciences Investment Fund Pte Ltd into 1,503,945 shares of our common stock, which conversion occurred on April 30, 2008, (ii) the conversion of all outstanding shares of convertible preferred stock into common stock and (iii) the reclassification of the convertible preferred stock warrant liabilities to additional paid-in capital, each effective upon the closing of this offering.</w:t>
      </w:r>
    </w:p>
    <w:p>
      <w:pPr>
        <w:spacing w:after="0" w:line="65" w:lineRule="exact"/>
        <w:rPr>
          <w:sz w:val="20"/>
          <w:szCs w:val="20"/>
          <w:color w:val="auto"/>
        </w:rPr>
      </w:pPr>
    </w:p>
    <w:p>
      <w:pPr>
        <w:ind w:left="1080" w:right="240" w:hanging="219"/>
        <w:spacing w:after="0" w:line="242" w:lineRule="auto"/>
        <w:tabs>
          <w:tab w:leader="none" w:pos="1060" w:val="left"/>
        </w:tabs>
        <w:rPr>
          <w:sz w:val="20"/>
          <w:szCs w:val="20"/>
          <w:color w:val="auto"/>
        </w:rPr>
      </w:pPr>
      <w:r>
        <w:rPr>
          <w:rFonts w:ascii="Arial" w:cs="Arial" w:eastAsia="Arial" w:hAnsi="Arial"/>
          <w:sz w:val="10"/>
          <w:szCs w:val="10"/>
          <w:color w:val="auto"/>
        </w:rPr>
        <w:t>(2)</w:t>
        <w:tab/>
        <w:t>The pro forma as adjusted balance sheet data in the table above also reflects the pro forma conversions and reclassifications described immediately above plus the sale of shares of our common stock in this offering and the application of the net proceeds at an initial public offering price of $ per share, the midpoint of the range set forth on the cover page of this prospectus, after deducting estimated underwriting discounts and commissions and estimated offering expenses payable by us.</w:t>
      </w:r>
    </w:p>
    <w:p>
      <w:pPr>
        <w:spacing w:after="0" w:line="65" w:lineRule="exact"/>
        <w:rPr>
          <w:sz w:val="20"/>
          <w:szCs w:val="20"/>
          <w:color w:val="auto"/>
        </w:rPr>
      </w:pPr>
    </w:p>
    <w:p>
      <w:pPr>
        <w:ind w:left="1080" w:right="20" w:hanging="226"/>
        <w:spacing w:after="0" w:line="260" w:lineRule="auto"/>
        <w:tabs>
          <w:tab w:leader="none" w:pos="1080" w:val="left"/>
        </w:tabs>
        <w:numPr>
          <w:ilvl w:val="0"/>
          <w:numId w:val="11"/>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cash, cash equivalents and available-for-sale securities, working capital, total assets and total stockholders’ equity by $ million, assuming that the number of shares offered by us, as set forth on the cover page of this prospectus, remains the same, and after deducting</w:t>
      </w:r>
    </w:p>
    <w:p>
      <w:pPr>
        <w:ind w:left="1080" w:right="20"/>
        <w:spacing w:after="0" w:line="233" w:lineRule="auto"/>
        <w:rPr>
          <w:sz w:val="20"/>
          <w:szCs w:val="20"/>
          <w:color w:val="auto"/>
        </w:rPr>
      </w:pPr>
      <w:r>
        <w:rPr>
          <w:rFonts w:ascii="Arial" w:cs="Arial" w:eastAsia="Arial" w:hAnsi="Arial"/>
          <w:sz w:val="10"/>
          <w:szCs w:val="10"/>
          <w:color w:val="auto"/>
        </w:rPr>
        <w:t>estimated underwriting discounts and commissions and estimated offering expenses payable by us. Each increase of 1.0 million shares in the number of shares offered by us would increase each of cash, cash equivalents, available-for-sale securities, working capital, total assets and total stockholders’ equity by approximately $ million. Similarly, each decrease of 1.0 million shares in the number of shares offered by us would decrease each of cash, cash equivalents, available-for-sale securities, working capital, total assets and total stockholders’ equity by approximately $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a limited operating history and have incurred significant losses in each fiscal year since our inception, including net losses of $16.4 million, $23.6 million, $25.5 million and $6.6 million during 2005, 2006, 2007 and the three months ended March 29, 2008. As of March 29, 2008, we had an accumulated deficit of $140.4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our products fail to achieve and sustain sufficient market acceptance, our revenue will be adversely affected.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instrument systems will depend on many factors, including our ability to convince potential customers that our systems are an attractive alternative to existing technologies. Compared to other technologies, our Integrated Fluidic Circuit, or IFC, technology is new and unproven, and most potential customers have limited knowledge of, or experience with, our products. Prior to adopting our technology, potential customers generally need to devote significant effort to testing and validating our systems and benchmarking them against their current systems and performance requirements. Any failure of our systems to meet these customer benchmarks could result in customers choosing to retain their existing systems or to purchase systems other than ours.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A significant part of our sales and marketing efforts have been directed at convincing industry leaders of the advantages of our systems and encouraging such leaders to publish or present the results of their evaluation of our system. If we are unable to induce leading researchers to use our system or if such researchers are unable to achieve and publish or present significant experimental results using our system, acceptance and adoption of our systems will be slowed.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Our sales cycle is lengthy and unpredictable, which makes it difficult for us to forecast revenue and could cause significant quarterly fluctuations in revenue and other operating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results.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sales cycles for our instrument systems is lengthy, which makes it difficult for us to accurately forecast revenues in a given period, and may cause revenue and operating results to vary significantly from period to period.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Due in part to the high up-front cost associated with our systems, potential customers for our instrument systems typically need to commit significant time and resources to evaluate our technology and their decision to purchase our instruments may be further limited by budgetary constraints and several layers of internal review and approval, which are beyond our control.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in many instances, installed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sales efforts require significant time and effort and could hinder our ability to increase sales.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Before purchasing one of our systems, customers typically require input from one or more scientific evaluators as well as a review by personnel with finance or operational expertise. As a result, during our sales effort, we must identify all persons involved in the purchasing decision and devote a sufficient amount of time to presenting our systems to those individuals. The newness and complexity of our products often requires us to spend substantial time and effort assisting potential customers in evaluating our instruments including providing demonstrations and benchmarking our products against other available technologies. This process can be costly and time consuming. We expect that our sales process will become less burdensome as our products become more widely known and used. However, if this change does not occur, we will not be able to expand our sales effort as quickly as anticipated and our sales will be adversely affected.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success is dependent upon our ability to expand our customer base and introduce new applications.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customer base is primarily composed of pharmaceutical and biotechnology companies, academic institutions and life science laboratories that perform large-scale experimentation for life science research purposes. Our success will depend in part upon our ability to increase our market share amongst these customers, attract life science research customers who do not currently perform large-scale experimentation, attract customers outside the life science research market and market new applications to existing and new customers as we develop such applications. Attracting new customers and introducing new applications requires substantial time and expense. For example, it may be difficult to identify, engage and market to customers who do not currently perform large-scale experimentation or are unfamiliar with our current applications. In addition, certain new applications that we are considering developing are not practical to perform with conventional techniques. Any failure to expand our existing customer base or launch new applications would adversely affect our ability to increase our revenues.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inability to develop new systems and enhance the capabilities of our IFC systems to keep pace with rapidly changing technology and customer requirements could adversely affect our business.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on our ability to develop new applications for our IFC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proteomics, as well as potential markets for our products such as molecular diagnostics,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While we have planned substantial improvements to the BioMark system, including enhancing the capabilities of our IFCs, we may not be able to successfully implement these improvements. Even if we successfully implement some or all of these planned improvements, we could incur substantial development costs in doing so. We may not have adequate resources available to develop new technologies or be able to successfully introduce new applications of,</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320" w:lineRule="auto"/>
        <w:rPr>
          <w:sz w:val="20"/>
          <w:szCs w:val="20"/>
          <w:color w:val="auto"/>
        </w:rPr>
      </w:pPr>
      <w:r>
        <w:rPr>
          <w:rFonts w:ascii="Arial" w:cs="Arial" w:eastAsia="Arial" w:hAnsi="Arial"/>
          <w:sz w:val="12"/>
          <w:szCs w:val="12"/>
          <w:color w:val="auto"/>
        </w:rPr>
        <w:t>or enhancements to, our systems. We cannot guarantee that we will be able to maintain technological advantages over emerging technologies in the future. If we fail to keep pace with emerging technologies, demand for our systems will not grow and may decline, and our business, revenue, financial condition and operating results could suffer materially.</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i w:val="1"/>
          <w:iCs w:val="1"/>
          <w:color w:val="auto"/>
        </w:rPr>
        <w:t>We have limited resources for marketing, selling and distributing our products and we may not be able to develop a direct sales and marketing force or distribution capabilities that can meet our customers’ needs.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limited marketing, sales and distribution resources and capabilities. We sell our products primarily through our own sales force and through distributors in certain territories.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first product line, the Topaz system for protein crystallization, was introduced for commercial sale in 2002. Our BioMark system was introduced for commercial sale in 2006.</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Our future sales will depend in large part on our ability to develop and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we may seek to enlist one or more parties to assist with sales, distribution and customer support globally or in certain regions of the world. If we do seek to enter into such arrangements, we may not be successful in attracting desirable sales and distribution partners, or we may not be able to enter into such arrangements on favorable terms. If our sales and marketing efforts, or those of any third-party sales and distribution partners, are not successful, our technologies and products may not gain market acceptance, which would materially impact our business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life science industry is highly competitive and subject to rapid technological change, and we may not be able to successfully compete.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companies that design, manufacture and market instruments for gene expression analysis, genotyping, other nucleic acid detection and additional applications using well established laboratory techniques, as well as newer technologies such as bead encoded arrays, microfluidics, nanotechnology, next-generation DNA sequencing and inkjet and photolithographic arrays. Most of our current competitors have significantly greater name recognition, greater financial and human resources, broader product lines and product packages, larger sales forces, large existing installed bases, substantial intellectual property portfolios and greater experience in research and development, manufacturing and marketing than we do. For example, companies such as Affymetrix, Applied Biosystems, BioTrove, Illumina, Roche Diagnostics and Sequenom have products that compete in certain segments of the market in which we sell our BioMark system.</w:t>
      </w:r>
    </w:p>
    <w:p>
      <w:pPr>
        <w:spacing w:after="0" w:line="58"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We receive a substantial portion of our revenue from a limited number of customers and other entities, and the loss of, or a significant reduction in, orders or grants from one or more of our major customers or grantors would adversely affect our operations and financial condition.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We receive a substantial portion of our revenue from a limited number of customers and grantors. We received an aggregate of approximately 37%, 44%, 38% and 30% of our total revenue from our top three customers in 2005, 2006, 2007 and the three months ended March 29, 2008. Grant revenue from the Singapore Economic Development Board, or EDB, represented 0%, 14%, 24% and 16% of our total revenue in 2005, 2006 and 2007 and the three months ended March 29, 2008. We anticipate that we will continue to be dependent on a limited number of customers and grantors for a significant portion of our revenue in the near future and in some cases the portion of our revenue attributable to certain customers or grantors may increase in the future. However, we may not be able to maintain or increase sales to our top customers or grants from our top grantors for a variety of reasons, including the following:</w:t>
      </w:r>
    </w:p>
    <w:p>
      <w:pPr>
        <w:spacing w:after="0" w:line="42"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agreements with our customers and grantors do not require them to purchase a minimum quantity of our products or make a minimum amount of grants in any year;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customers can stop using our products with limited notice to us and suffer little or no payment penalty;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grants are subject to the achievement of milestones that we may not meet;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many of our customers have pre-existing or concurrent relationships with our current or potential competitors that may affect the customers’ decisions to purchase our products.</w:t>
      </w:r>
    </w:p>
    <w:p>
      <w:pPr>
        <w:spacing w:after="0" w:line="10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past, we have relied in significant part on our strategic relationships with customers that are technology leaders in our target markets. We intend to pursue the expansion of such relationships and the formation of new strategic relationships but we cannot assure you that we will be able to do so. These relationships often require us to develop new products that may involve significant technological challenges. Our customers frequently place considerable pressure on us to meet their tight development schedules. Our grantors frequently condition their present and future grants on our compliance with certain development, hiring and local investment milestones. Accordingly, we may have to devote a substantial amount of our resources to our strategic relationships, which could detract from or delay our completion of other important development projects. Delays in development could impair our relationships with our strategic customers and grantors and negatively impact sales of the products under development or future grant activity. The loss of a key customer or grantor, a reduction in sales to any key customer, a reduction in grants from a key grantor, or our inability to attract new significant customers could seriously impact our revenue and materially and adversely affect our results of operations.</w:t>
      </w:r>
    </w:p>
    <w:p>
      <w:pPr>
        <w:spacing w:after="0" w:line="7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b w:val="1"/>
          <w:bCs w:val="1"/>
          <w:i w:val="1"/>
          <w:iCs w:val="1"/>
          <w:color w:val="auto"/>
        </w:rPr>
        <w:t>Our business depends on research and development spending levels of pharmaceutical and biotechnology companies and academic, clinical and governmental research institutions and any reduction in such spending could limit our ability to sell our products.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expect that our revenue in the foreseeable future will be derived primarily from sales of instruments and IFCs to academic institutions, biotechnology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IFCs. These reductions and delays may result from factors that are not within our control, such as:</w:t>
      </w:r>
    </w:p>
    <w:p>
      <w:pPr>
        <w:spacing w:after="0" w:line="48"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programs that provide funding to research institutions and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regulatory environment affecting life science companies and life science research;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market-driven pressures on companies to consolidate operations and reduce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mergers and acquisitions in the life science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factors affecting research and development spending.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decrease in our customers’ budgets or expenditures or in the size, scope or frequency of capital or operating expenditures as a result of the foregoing or other factors could materially adversely affect our operations or financial condition.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cannot provide quality technical support, we could lose customers and our operating results could suffer.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We are currently expanding our technical support staff and will need to increase it further to support expected new customers as well as the expanding needs of existing customers. If we are unable to attract, train or retain the number of highly qualified technical services personnel that our business needs, our business and prospects will suffer.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To use our products, customers typically need to purchase specialized reagents. Any interruption in the availability of these reagents for use in our products could limit our ability to market our products.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products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55"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41% of our product revenue in 2007, involve real-time polymerase chain reaction, or PCR. The primary producers of reagents for PCR reactions are Applied Biosystems and Roche Diagnostics, who are our direct competitors, and their licensees. These PCR reagents are sold pursuant to limited licenses or covenants not to sue with respect to patents held by these companies. We do not have any contractual relationship with Roche Diagnostics or Applied Biosystems regarding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are dependent on single source suppliers for some of the components and materials used in our systems, and the loss of any of these suppliers could harm our business.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1280" w:right="2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essential component of our BioMark system is a specialized thermal cycler that is available from a limited number of suppliers. We purchase this thermal cycler from one supplier, Eppendorf AG, which customizes it to our specifications pursuant to a supply agreement.</w:t>
      </w:r>
    </w:p>
    <w:p>
      <w:pPr>
        <w:spacing w:after="0" w:line="4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IFCs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25" w:lineRule="exact"/>
        <w:rPr>
          <w:rFonts w:ascii="Arial" w:cs="Arial" w:eastAsia="Arial" w:hAnsi="Arial"/>
          <w:sz w:val="12"/>
          <w:szCs w:val="12"/>
          <w:color w:val="auto"/>
        </w:rPr>
      </w:pPr>
    </w:p>
    <w:p>
      <w:pPr>
        <w:ind w:left="1280" w:right="20" w:hanging="190"/>
        <w:spacing w:after="0" w:line="371"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plastic carriers that hold the core components of our IFCs need to be produced to specifications and tolerances that few manufacturers are able to meet. We have experienced quality issues in the past and, as a result, have recently switched suppliers. We do not have a long term contract with either of our current sole suppliers for particular carriers.</w:t>
      </w:r>
    </w:p>
    <w:p>
      <w:pPr>
        <w:spacing w:after="0" w:line="2" w:lineRule="exact"/>
        <w:rPr>
          <w:rFonts w:ascii="Arial" w:cs="Arial" w:eastAsia="Arial" w:hAnsi="Arial"/>
          <w:sz w:val="11"/>
          <w:szCs w:val="11"/>
          <w:color w:val="auto"/>
        </w:rPr>
      </w:pPr>
    </w:p>
    <w:p>
      <w:pPr>
        <w:ind w:left="1280" w:right="1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reader for our BioMark system requires specialized high resolution camera lenses that are available from a limited number of sources. We do not have a long term contract with our current sole supplier.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reliance on these suppliers also subjects us to other risks that could harm our business, including the following:</w:t>
      </w:r>
    </w:p>
    <w:p>
      <w:pPr>
        <w:spacing w:after="0" w:line="96"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subject to increased component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are not a major customer of many of our suppliers, and these suppliers may therefore give other customers’ needs higher priority than ours;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not be able to obtain adequate supply in a timely manner or on commercially reasonable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make errors in manufacturing components that could negatively affect the efficacy of our systems or cause delays in shipment of our systems;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encounter financial hardships unrelated to our demand for components, which could inhibit their ability to fulfill our orders and meet our requirements.</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in the past experienced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b w:val="1"/>
          <w:bCs w:val="1"/>
          <w:i w:val="1"/>
          <w:iCs w:val="1"/>
          <w:color w:val="auto"/>
        </w:rPr>
        <w:t>We have limited experience in producing our products, and we may experience development or manufacturing problems or delays that could limit the growth of our revenue or increase our losses.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limited experience manufacturing and assembling our products in commercial quantities and we may encounter unforeseen situations that would result in delays or shortfalls.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first produced the IFCs used in our current Topaz system in June 2002 at our facility in South San Francisco. We have since moved our commercial production of IFCs to our facility in Singapore, which first produced commercial IFCs for our Topaz systems in October 2006 and first produced commercial IFCs for our BioMark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system in December 2007.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Such a drop in yield can greatly increase our cost to manufacture our IFCs or, in more severe cases, require us to halt the manufacture of IFCs until the problem is resolved. Identifying and resolving the cause of a drop in yield can require substantial time and resources. We have had significant yield problems in the past and cannot assure you that these types of yield issues will not occur again. Sustained yield problems would have a material adverse affect on our business, financial condition and results of operations.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developing an IFC for a new application typically requires developing a specific production process for that type of IFC. While all of our IFCs are produced using the same basic processes, significant variations are required to ensure adequate yield of any particular type of IFC. Developing such a process can be very time consuming, and any unexpected difficulty in doing so can delay the introduction of a product. For example, in the second quarter of 2006, our ability to conduct demonstrations for potential customers for our BioMark system was impaired because we were unable to produce sufficient quantities of that IFC. Though these production problems were resolved, the delay in conducting customer demonstrations resulted in the loss and delay of orders from potential customers. We cannot assure you that we will not face similar difficulties in developing new processes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are unable to recruit and retain key executives and scientists, we may be unable to achieve our goals.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may be unable to manage our anticipated growth effectively.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rapid growth of our business has placed a significant strain on our managerial, operational and financial resources and systems. We have increased the number of our employees from 78 at December 31, 2005 to 137 at March 29, 2008. In addition, since October 2006 we have commenced manufacturing operations in Singapore and opened sales offices in Europe and Japan.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our primary commercial manufacturing facility located in Singapore is sufficient to meet our short-term manufacturing needs. However, the current lease for our manufacturing facility in Singapore expires in October 2008. In order to meet the long-term demand for our IFC systems, we believe that we will need to add to our existing manufacturing space in Singapore or move all of our manufacturing facilities to a new location in Singapore.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Further, our anticipated growth will place additional strain on our suppliers and manufacturing facilities, resulting in an increased need for us to carefully monitor quality assurance.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failure by us to manage our growth effectively could have an adverse effect on our ability to achieve our development and commercialization goals.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IFC technology. Our IFC technology is new and complex and the behavior of fluids and surrounding compounds in a nanoscale environment is difficult to predict in advance. Though we have developed design rules for the implementation of our IFC technology, these are frequently revised to reflect new insights we have gained about the technology. In addition, we have discovered that biological or chemical reactions sometimes behave differently when implemented on IFCs rather than in a standard laboratory environment. As a result, significant research and development efforts may be required to transfer even well-understood reactions to our technology. In the past, product development projects have been significantly delayed when we encountered unanticipated difficulties in implementing a process on our IFCs.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Our products, although not currently regulated, could in the future be subject to regulation by the U.S. Food and Drug Administration or other regulatory agencies.</w:t>
      </w:r>
    </w:p>
    <w:p>
      <w:pPr>
        <w:spacing w:after="0" w:line="10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products are currently labeled and sold for research purposes only and are not subject to U.S. Food and Drug Administration, or FDA, clearance or approval.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FDA clearance or approval would be required. Even where a product is exempted from FDA clearance or approval, the FDA may impose restrictions on how and to whom we can market and sell our products. Obtaining FDA approval can be expensive and uncertain, generally takes several years to obtain and requires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 As a result, these regulations and restrictions could materially and adversely affect our business, financial condition and results of operations. Similar laws and regulations are also in effect in many foreign countries that could affect our ability to market certain products. The number and scope of these requirements are increasing. We may not be able to obtain regulatory approvals in such countries or may incur significant costs in obtaining or maintaining our foreign regulatory approvals.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believe that the net proceeds from this offering, together with our existing cash and cash equivalents, available for sale securities balances and cash receipts generated from sales of our products, will be sufficient to meet our anticipated cash requirements for at least the next 18 months. However, we may need to raise substantial additional capital to:</w:t>
      </w:r>
    </w:p>
    <w:p>
      <w:pPr>
        <w:spacing w:after="0" w:line="35"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expand the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fund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continue our 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defend,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commercialize new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acquire companies and in-license products or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funding requirements will depend on many factors,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 acceptance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our research and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filing and prosecuting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defending,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regulatory clearances or approvals,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sales, marketing and distribution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technical support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require additional funds in the future, such funds may not be available on acceptable terms, or at all.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products could have unknown defects or errors, which may give rise to claims against us and adversely affect market adoption of our systems.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IFCs, these risks may increase. While we do not provide express warranties that our IFCs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IFC systems. The costs incurred in correcting any defects or errors may be substantial and could adversely affect our operating margins.</w:t>
      </w:r>
    </w:p>
    <w:p>
      <w:pPr>
        <w:spacing w:after="0" w:line="5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our products contain defects, we may experience:</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failure to achieve market acceptance or expansion of our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loss of customer orders and delay in order fulfillment;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damage to our brand reputation;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increased cost of our warranty program due to product repair or replacement;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recalls or replacements;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inability to attract new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diversion of resources from our manufacturing and research and development departments into our service department; and</w:t>
      </w:r>
    </w:p>
    <w:p>
      <w:pPr>
        <w:spacing w:after="0" w:line="86" w:lineRule="exact"/>
        <w:rPr>
          <w:rFonts w:ascii="Arial" w:cs="Arial" w:eastAsia="Arial" w:hAnsi="Arial"/>
          <w:sz w:val="13"/>
          <w:szCs w:val="13"/>
          <w:color w:val="auto"/>
        </w:rPr>
      </w:pPr>
    </w:p>
    <w:p>
      <w:pPr>
        <w:ind w:left="1080" w:right="1760" w:firstLine="10"/>
        <w:spacing w:after="0" w:line="427"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680" w:right="440" w:firstLine="399"/>
        <w:spacing w:after="0" w:line="276" w:lineRule="auto"/>
        <w:rPr>
          <w:sz w:val="20"/>
          <w:szCs w:val="20"/>
          <w:color w:val="auto"/>
        </w:rPr>
      </w:pPr>
      <w:r>
        <w:rPr>
          <w:rFonts w:ascii="Arial" w:cs="Arial" w:eastAsia="Arial" w:hAnsi="Arial"/>
          <w:sz w:val="13"/>
          <w:szCs w:val="13"/>
          <w:b w:val="1"/>
          <w:bCs w:val="1"/>
          <w:i w:val="1"/>
          <w:i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During 2005, 2006, 2007 and the three months ended March 29, 2008, approximately 28%, 40%, 52% and 49% of our total revenue was generated outside of North America. We believe that a significant percentage of our future revenue will come from international sources as we expand our overseas operations and develop opportunities in additional international areas.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58"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required compliance with existing and changing foreign regulatory requirements and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export or import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laws and business practices favoring local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longer payment cycles and difficulties in enforcing agreements and collecting receivables through certain foreign legal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potentially adverse tax consequences, tariffs, customs charges, bureaucratic requirements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protecting or procuring intellectual property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and if we are unsuccessful in finding a solution, our financial results will suffer.</w:t>
      </w:r>
    </w:p>
    <w:p>
      <w:pPr>
        <w:spacing w:after="0" w:line="10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IFC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coverage and any such contamination or discharge could result in significant cost to us in penalties, damages and suspension of our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our facilities become inoperable, we will be unable to continue manufacturing our products and as a result, our business will be harmed until we are able to secure a new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w:t>
      </w:r>
    </w:p>
    <w:p>
      <w:pPr>
        <w:spacing w:after="0" w:line="8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manufacture and assemble our IFCs for commercial sale at our facility in Singapore and assemble our instrument platforms at our facilities in Singapore and South San Francisco, California. No other manufacturing or assembly facilities are currently available to us. Our facilities and the equipment we use to manufacture our products would be costly to replace and could require substantial lead time to repair or replace. The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in the future, the accuracy and timing of our financial reporting may be adversely affected.</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connection with the audit of our consolidated financial statements for the years ended December 31, 2005 and 2006 we, together with our independent registered public accounting firm identified material weaknesses in our internal control over financial reporting.</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material weaknesses related to our financial statement close process, revenue recognition and accrual processes and inventory costing, cost of sales, purchases cut-off and stock-based compensation. These material weaknesses resulted in the recording of numerous audit adjustments over the two year period ending December 31, 2006. Since the date of our independent registered public accounting firm’s reports on our consolidated financial statements for the years ended December 31, 2005 and 2006 and through the date of this prospectus, we have taken steps intended to remediate these material weaknesses, primarily through the hiring of additional accounting and finance personnel with technical accounting and financial reporting experience. In addition, we have implemented procedures and controls in the financial statement close process designed to improve the accuracy and timeliness in financial accounting and reporting.</w:t>
      </w:r>
    </w:p>
    <w:p>
      <w:pPr>
        <w:spacing w:after="0" w:line="72"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April and May 2008, we reviewed our internal control over financial reporting and concluded that we had certain significant deficiencies.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 significant deficiencies identified by us related to: our controls for the consolidation and elimination entries relating to intercompany transfer pricing and elimination of intercompany profits embedded in deferred costs of our Japanese subsidiary; our controls for applying SFAS 123R to option grants with non-standard vesting terms and validation of stock compensation expenses calculated by our option tracking software; and our controls and procedures for the valuation of inventory.</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that we will require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of 2002, or Sarbanes-Oxley Act, we may be unable to report our financial results accurately and prevent fraud. While we expect to remediate the significant deficiencies, we cannot assure you that we will be able to do so in a timely manner, which could impair our ability to accurately and timely report our financial position, results of operations or cash flows.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No material weaknesses in internal control over financial reporting were identified in our April 2008 review. However, our management and independent registered public accounting firm did not perform an evaluation of our internal control over financial reporting during any period in accordance with the provisions of Section 404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Sarbanes-Oxley Act. Had we and our independent registered public accounting firm performed an evaluation of our internal control over financial reporting in accordance with the provisions of Section 404 of the Sarbanes-Oxley Act, additional control deficiencies may have been identified by management or our independent registered public accounting firm.</w:t>
      </w:r>
    </w:p>
    <w:p>
      <w:pPr>
        <w:spacing w:after="0" w:line="35"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7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commencing in 2009,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Some of our programs are partially supported by government grants, which may be reduced, withdrawn, delayed or reclaimed.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March 29,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commercial success may depend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advantageous to us.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3"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patent positions of life science companies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4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make the inventions covered by each of our pending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file patent applications for these inventions.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products and technologies or duplicate any of our products and technologies.</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not develop additional proprietary products and technologies that are patentable.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patents of others may have an adverse effect on our business.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apply for patents covering our products and technologies and uses thereof, as we deem appropriate. However, we may fail to apply for patents on important products and technologies in a timely fashion or at all.</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depend on certain technologies that are licensed to us. We do not control these technologies and any loss of our rights to them could prevent us from selling our products.</w:t>
      </w:r>
    </w:p>
    <w:p>
      <w:pPr>
        <w:spacing w:after="0" w:line="11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these technologies and employ the inventions claimed in the licensed patents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Enforcement of our licensed patents or defense or any claims asserting the invalidity of these patents is often subject to the control or cooperation of our licensors. 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are subject to certain U.S. government regulations because we have licensed technologies that were developed with U.S. government grants. In accordance with these regulations, these licenses provide that products embodying the technologies will be manufactured substantially in the United States.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Substantially all of our sales are dependent on the availability of products that incorporate technologies developed with U.S. government grants and that are currently manufactured in Singapore. The federal regulations allow the funding government agency to grant, at the request of the licensors of such technology, a waiver of the domestic manufacturing requirement. Waivers may be requested prior to any government notification. We are assisting the licensors of these technologies with the analysis of the domestic manufacturing requirement, and we believe that at least one of our licensors will be requesting a waiver with our assistance. If it were to be</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determined that we are in violation of the domestic manufacturing requirement and a waiver of such requirement was either not requested or not granted, then the U.S. government could exercise its march-in rights. In addition, these licenses contain provisions relating to compliance with this domestic manufacturing requirement. If it were to be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and proprietary rights and to determine the scope, coverage and validity of others’ proprietary rights.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Litigation may be necessary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and re-examination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and opposition proceedings against our patents. The outcome of any litigation or interference proceeding might not be favorable to us, and we might not be able to obtain licenses to technology that we require. Even if such licenses are obtainable, they may not be available at a reasonable cost.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For example, on June 4, 2008 we received a letter from Applied Biosystems, Inc., one of our competitors, asserting that our BioMark System for gene expression analysis infringes upon U.S. Patent No. 6,814,934, or the ’934 patent, and its foreign counterparts in Europe and Canada, owned by Applied Biosystems’ parent company, Applera Corporation. In response to this letter, we filed suit against Applied Biosystems and Applera in federal district court in the Southern District of New York seeking declaratory judgments of non-infringement and invalidity of the ’934 patent. In response to our action, Applied Biosystems and Applera may file suit against us in other jurisdictions asserting that our products infringe the ’934 patent or other proprietary rights held by them, or they may seek to dismiss or move our suit. Applied Biosystems has recently announced that it expects to be acquired by Invitrogen Corporation. This may make it more difficult for us to predict the direction of discussions and litigation among the parties.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Litigation, other proceedings or third party claims of intellectual property infringement could require us to spend significant time and money and could prevent us from selling our products or services or impact our stock price.</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Applied Biosystems, one of our competitors, has asserted that our BioMark System for gene expression analysis infringes upon Applera’s ’934 patent, and we have filed suit against Applied Biosystems and Applera seeking declaratory judgments of non-infringement and invalidity of the Applera patent. Other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For example, numerous significant intellectual property issues have been litigated between existing and new participants in the PCR market, including litigation initiated by Applied Biosystems, Inc. 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7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Patent infringement suits can be expensive, lengthy and disruptive to business operations. We could incur substantial costs and divert the attention of our management and technical personnel in prosecuting or defending against any claims. There can be no assurance that we will prevail in our suit against Applied Biosystems and Applera in our defense of any claims brought against us by Applied Biosystems or Applera or in any other suit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initiated against us by third parties.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 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63"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may be subject to damages resulting from claims that we or our employees have wrongfully used or disclosed alleged trade secrets of our employees’ former employers.</w:t>
      </w:r>
    </w:p>
    <w:p>
      <w:pPr>
        <w:spacing w:after="0" w:line="11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Many of our employees were previously employed at universities or other life science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 and this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expect that our stock price will fluctuate significantly, and you may not be able to resell your shares at or above the initial public offering price.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actual or anticipated quarterly variation in our results of operations or the results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new commercial products, significant contracts, commercial relationships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 for our stock;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commencement of, or our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market conditions in the life science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major change in our Board or management;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trading market for our common stock will rely in part on the research and reports that equity research analysts publish about us and our business. We do not control these analysts or the content and opinions included in their reports. Securities analysts may elect not to provide research coverage of our common stock after the completion of this offering, and such lack of research coverage may adversely affect the market price of our common stock. The price of our stock could decline if one or more equity research analysts downgrade our stock or if those analysts issue other unfavorable commentary or cease publishing reports about us or our business. If one or more equity research analysts ceases coverage of our company, we could lose visibility in the market, which in turn could cause our stock price to decline.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Purchasers in this offering will experience immediate and substantial dilution in the book value of their investment.</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 in net tangible book value per share from the price you paid, based on an assumed initial public offering price of $ per share, the mid-point of the range set forth on the cover page of this prospectus. In addition, new investors who purchase shares in this offering will</w:t>
      </w:r>
    </w:p>
    <w:p>
      <w:pPr>
        <w:spacing w:after="0" w:line="1" w:lineRule="exact"/>
        <w:rPr>
          <w:sz w:val="20"/>
          <w:szCs w:val="20"/>
          <w:color w:val="auto"/>
        </w:rPr>
      </w:pPr>
    </w:p>
    <w:p>
      <w:pPr>
        <w:ind w:left="680" w:right="160"/>
        <w:spacing w:after="0" w:line="258" w:lineRule="auto"/>
        <w:rPr>
          <w:sz w:val="20"/>
          <w:szCs w:val="20"/>
          <w:color w:val="auto"/>
        </w:rPr>
      </w:pPr>
      <w:r>
        <w:rPr>
          <w:rFonts w:ascii="Arial" w:cs="Arial" w:eastAsia="Arial" w:hAnsi="Arial"/>
          <w:sz w:val="13"/>
          <w:szCs w:val="13"/>
          <w:color w:val="auto"/>
        </w:rPr>
        <w:t>contribute approximately % of the total amount of equity capital raised by us through the date of this offering, but will only own approximately % of the outstanding share capital and approximately % of the voting rights. The exercise of outstanding options and warrants will result in further dilution. For a further description of the dilution that you will experience immediately after this offering, see “Dilution.”</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140" w:firstLine="399"/>
        <w:spacing w:after="0" w:line="305" w:lineRule="auto"/>
        <w:rPr>
          <w:sz w:val="20"/>
          <w:szCs w:val="20"/>
          <w:color w:val="auto"/>
        </w:rPr>
      </w:pPr>
      <w:r>
        <w:rPr>
          <w:rFonts w:ascii="Arial" w:cs="Arial" w:eastAsia="Arial" w:hAnsi="Arial"/>
          <w:sz w:val="11"/>
          <w:szCs w:val="11"/>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April 30, 2008, upon completion of this offering, we will have</w:t>
      </w:r>
    </w:p>
    <w:p>
      <w:pPr>
        <w:spacing w:after="0" w:line="1" w:lineRule="exact"/>
        <w:rPr>
          <w:sz w:val="20"/>
          <w:szCs w:val="20"/>
          <w:color w:val="auto"/>
        </w:rPr>
      </w:pPr>
    </w:p>
    <w:p>
      <w:pPr>
        <w:ind w:left="680" w:right="60"/>
        <w:spacing w:after="0" w:line="298" w:lineRule="auto"/>
        <w:rPr>
          <w:sz w:val="20"/>
          <w:szCs w:val="20"/>
          <w:color w:val="auto"/>
        </w:rPr>
      </w:pPr>
      <w:r>
        <w:rPr>
          <w:rFonts w:ascii="Arial" w:cs="Arial" w:eastAsia="Arial" w:hAnsi="Arial"/>
          <w:sz w:val="11"/>
          <w:szCs w:val="11"/>
          <w:color w:val="auto"/>
        </w:rPr>
        <w:t>outstanding a total of shares of common stock, assuming no exercise of the underwriters’ over-allotment option. Of these shares, only the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w:t>
      </w:r>
    </w:p>
    <w:p>
      <w:pPr>
        <w:spacing w:after="0" w:line="1" w:lineRule="exact"/>
        <w:rPr>
          <w:sz w:val="20"/>
          <w:szCs w:val="20"/>
          <w:color w:val="auto"/>
        </w:rPr>
      </w:pPr>
    </w:p>
    <w:p>
      <w:pPr>
        <w:ind w:left="680" w:right="40"/>
        <w:spacing w:after="0" w:line="273" w:lineRule="auto"/>
        <w:rPr>
          <w:sz w:val="20"/>
          <w:szCs w:val="20"/>
          <w:color w:val="auto"/>
        </w:rPr>
      </w:pPr>
      <w:r>
        <w:rPr>
          <w:rFonts w:ascii="Arial" w:cs="Arial" w:eastAsia="Arial" w:hAnsi="Arial"/>
          <w:sz w:val="12"/>
          <w:szCs w:val="12"/>
          <w:color w:val="auto"/>
        </w:rPr>
        <w:t>on shares outstanding as of April 30, 2008, up to an additional 68,101,494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stock that are subject to outstanding options as of April 30, 2008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executive officers, directors and their affiliates will beneficially own or control approximately % of the outstanding shares of our common stock, following the completion of this offering.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6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58"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our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broad discretion in the use of the net proceeds from this offering and may not use them effectively.</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5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180" w:firstLine="399"/>
        <w:spacing w:after="0" w:line="277" w:lineRule="auto"/>
        <w:rPr>
          <w:sz w:val="20"/>
          <w:szCs w:val="20"/>
          <w:color w:val="auto"/>
        </w:rPr>
      </w:pPr>
      <w:r>
        <w:rPr>
          <w:rFonts w:ascii="Arial" w:cs="Arial" w:eastAsia="Arial" w:hAnsi="Arial"/>
          <w:sz w:val="12"/>
          <w:szCs w:val="12"/>
          <w:color w:val="auto"/>
        </w:rPr>
        <w:t>We estimate that the net proceeds from the sale of shares of our common stock that we are selling in this offering will be $ million, based on an assumed initial public offering price of $ per share, the midpoint of the range set forth on the cover page of this prospectus, after deducting estimated underwriting discounts and commissions and estimated offering expenses payable by us. A $1.00 increase (decrease) in the assumed initial public offering price of $ per share would increase (decrease) the net proceeds to us by $ million,</w:t>
      </w:r>
    </w:p>
    <w:p>
      <w:pPr>
        <w:spacing w:after="0" w:line="1" w:lineRule="exact"/>
        <w:rPr>
          <w:sz w:val="20"/>
          <w:szCs w:val="20"/>
          <w:color w:val="auto"/>
        </w:rPr>
      </w:pPr>
    </w:p>
    <w:p>
      <w:pPr>
        <w:ind w:left="680" w:right="60"/>
        <w:spacing w:after="0" w:line="445" w:lineRule="auto"/>
        <w:rPr>
          <w:sz w:val="20"/>
          <w:szCs w:val="20"/>
          <w:color w:val="auto"/>
        </w:rPr>
      </w:pPr>
      <w:r>
        <w:rPr>
          <w:rFonts w:ascii="Arial" w:cs="Arial" w:eastAsia="Arial" w:hAnsi="Arial"/>
          <w:sz w:val="11"/>
          <w:szCs w:val="11"/>
          <w:color w:val="auto"/>
        </w:rPr>
        <w:t>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the net proceeds to us by $ million. Similarly, a decrease of 1.0 million shares in the number of shares offered by us would decrease the net proceeds to us by $ million. If the underwriters’ over-allotment option is exercised in full, we estimate that we will receive net proceeds of $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net proceeds that we will receive from this offering, we expect to use approximately:</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for sales and marketing initiatives, including significantly expanding our sales force, to support the ongoing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for research and product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to expand our facilities and manufacturing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balance for working capital and other general corporate purposes.</w:t>
      </w:r>
    </w:p>
    <w:p>
      <w:pPr>
        <w:spacing w:after="0" w:line="96"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March 29, 2008:</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96" w:lineRule="exact"/>
        <w:rPr>
          <w:rFonts w:ascii="Arial" w:cs="Arial" w:eastAsia="Arial" w:hAnsi="Arial"/>
          <w:sz w:val="13"/>
          <w:szCs w:val="13"/>
          <w:color w:val="auto"/>
        </w:rPr>
      </w:pPr>
    </w:p>
    <w:p>
      <w:pPr>
        <w:jc w:val="both"/>
        <w:ind w:left="1280" w:right="10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 pro forma basis to give effect to (1) the conversion of principal and accrued interest on a convertible promissory note held by Biomedical Sciences Investment Fund Pte Ltd into 1,503,945 shares of our Series E preferred stock on April 30, 2008, (2) the conversion of all outstanding shares of convertible preferred stock into common stock and (3) the reclassification of the convertible preferred stock warrant liabilities to additional paid-in capital, each effective upon the closing of this offering; and</w:t>
      </w:r>
    </w:p>
    <w:p>
      <w:pPr>
        <w:sectPr>
          <w:pgSz w:w="11900" w:h="16838" w:orient="portrait"/>
          <w:cols w:equalWidth="0" w:num="1">
            <w:col w:w="10660"/>
          </w:cols>
          <w:pgMar w:left="220" w:top="343" w:right="1019" w:bottom="1440" w:gutter="0" w:footer="0" w:header="0"/>
        </w:sectPr>
      </w:pP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on a pro forma as adjusted basis to also give effect to the pro forma conversions and reclassifications described above and the sale of shares of our common stock in this offering and the application of the net proceeds at the assumed initial public offering price of $ per share, the midpoint of the range set forth on the cover page of this prospectus, after deducting estimated underwriting discounts and commissions and estimated offering expenses payable by us.</w:t>
      </w:r>
    </w:p>
    <w:p>
      <w:pPr>
        <w:spacing w:after="0" w:line="67"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680" w:right="220" w:firstLine="399"/>
        <w:spacing w:after="0" w:line="276" w:lineRule="auto"/>
        <w:rPr>
          <w:sz w:val="20"/>
          <w:szCs w:val="20"/>
          <w:color w:val="auto"/>
        </w:rPr>
      </w:pPr>
      <w:r>
        <w:rPr>
          <w:rFonts w:ascii="Arial" w:cs="Arial" w:eastAsia="Arial" w:hAnsi="Arial"/>
          <w:sz w:val="13"/>
          <w:szCs w:val="13"/>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6"/>
              </w:rPr>
              <w:t>As of March 29, 2008</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Actual</w:t>
            </w:r>
          </w:p>
        </w:tc>
        <w:tc>
          <w:tcPr>
            <w:tcW w:w="180" w:type="dxa"/>
            <w:vAlign w:val="bottom"/>
          </w:tcPr>
          <w:p>
            <w:pPr>
              <w:spacing w:after="0"/>
              <w:rPr>
                <w:sz w:val="7"/>
                <w:szCs w:val="7"/>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Pro Forma</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jc w:val="center"/>
              <w:ind w:left="125"/>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7"/>
          </w:tcPr>
          <w:p>
            <w:pPr>
              <w:jc w:val="center"/>
              <w:ind w:right="24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0" w:type="dxa"/>
            <w:vAlign w:val="bottom"/>
          </w:tcPr>
          <w:p>
            <w:pPr>
              <w:spacing w:after="0"/>
              <w:rPr>
                <w:sz w:val="1"/>
                <w:szCs w:val="1"/>
                <w:color w:val="auto"/>
              </w:rPr>
            </w:pPr>
          </w:p>
        </w:tc>
      </w:tr>
      <w:tr>
        <w:trPr>
          <w:trHeight w:val="29"/>
        </w:trPr>
        <w:tc>
          <w:tcPr>
            <w:tcW w:w="35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3"/>
                <w:szCs w:val="13"/>
                <w:color w:val="auto"/>
              </w:rPr>
              <w:t>Convertible promissory notes</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preferred stock warrant liabilities</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40" w:type="dxa"/>
            <w:vAlign w:val="bottom"/>
            <w:gridSpan w:val="6"/>
          </w:tcPr>
          <w:p>
            <w:pPr>
              <w:spacing w:after="0" w:line="149" w:lineRule="exact"/>
              <w:rPr>
                <w:sz w:val="20"/>
                <w:szCs w:val="20"/>
                <w:color w:val="auto"/>
              </w:rPr>
            </w:pPr>
            <w:r>
              <w:rPr>
                <w:rFonts w:ascii="Arial" w:cs="Arial" w:eastAsia="Arial" w:hAnsi="Arial"/>
                <w:sz w:val="13"/>
                <w:szCs w:val="13"/>
                <w:color w:val="auto"/>
              </w:rPr>
              <w:t>Convertible preferred stock issuable in series, $0.001 par value: 61,798 shares authorized, 56,671 shares issued and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0" w:type="dxa"/>
            <w:vAlign w:val="bottom"/>
            <w:gridSpan w:val="4"/>
          </w:tcPr>
          <w:p>
            <w:pPr>
              <w:ind w:left="140"/>
              <w:spacing w:after="0"/>
              <w:rPr>
                <w:sz w:val="20"/>
                <w:szCs w:val="20"/>
                <w:color w:val="auto"/>
              </w:rPr>
            </w:pPr>
            <w:r>
              <w:rPr>
                <w:rFonts w:ascii="Arial" w:cs="Arial" w:eastAsia="Arial" w:hAnsi="Arial"/>
                <w:sz w:val="13"/>
                <w:szCs w:val="13"/>
                <w:color w:val="auto"/>
                <w:w w:val="94"/>
              </w:rPr>
              <w:t>outstanding (actual); no shares authorized, issued or outstanding (pro forma and pro forma as adjusted)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162,082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 (deficit):</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gridSpan w:val="4"/>
          </w:tcPr>
          <w:p>
            <w:pPr>
              <w:ind w:left="140"/>
              <w:spacing w:after="0" w:line="149" w:lineRule="exact"/>
              <w:rPr>
                <w:sz w:val="20"/>
                <w:szCs w:val="20"/>
                <w:color w:val="auto"/>
              </w:rPr>
            </w:pPr>
            <w:r>
              <w:rPr>
                <w:rFonts w:ascii="Arial" w:cs="Arial" w:eastAsia="Arial" w:hAnsi="Arial"/>
                <w:sz w:val="13"/>
                <w:szCs w:val="13"/>
                <w:color w:val="auto"/>
                <w:w w:val="91"/>
              </w:rPr>
              <w:t>Common stock, $0.001 par value: 87,386 shares authorized, 9,928 shares issued and outstanding (actual);</w:t>
            </w:r>
          </w:p>
        </w:tc>
        <w:tc>
          <w:tcPr>
            <w:tcW w:w="1140" w:type="dxa"/>
            <w:vAlign w:val="bottom"/>
            <w:gridSpan w:val="2"/>
          </w:tcPr>
          <w:p>
            <w:pPr>
              <w:jc w:val="right"/>
              <w:ind w:right="631"/>
              <w:spacing w:after="0" w:line="149" w:lineRule="exact"/>
              <w:rPr>
                <w:sz w:val="20"/>
                <w:szCs w:val="20"/>
                <w:color w:val="auto"/>
              </w:rPr>
            </w:pPr>
            <w:r>
              <w:rPr>
                <w:rFonts w:ascii="Arial" w:cs="Arial" w:eastAsia="Arial" w:hAnsi="Arial"/>
                <w:sz w:val="13"/>
                <w:szCs w:val="13"/>
                <w:color w:val="auto"/>
              </w:rPr>
              <w:t>shares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80"/>
              <w:spacing w:after="0"/>
              <w:rPr>
                <w:sz w:val="20"/>
                <w:szCs w:val="20"/>
                <w:color w:val="auto"/>
              </w:rPr>
            </w:pPr>
            <w:r>
              <w:rPr>
                <w:rFonts w:ascii="Arial" w:cs="Arial" w:eastAsia="Arial" w:hAnsi="Arial"/>
                <w:sz w:val="13"/>
                <w:szCs w:val="13"/>
                <w:color w:val="auto"/>
              </w:rPr>
              <w:t>authorized,</w:t>
            </w:r>
          </w:p>
        </w:tc>
        <w:tc>
          <w:tcPr>
            <w:tcW w:w="2520" w:type="dxa"/>
            <w:vAlign w:val="bottom"/>
          </w:tcPr>
          <w:p>
            <w:pPr>
              <w:ind w:left="120"/>
              <w:spacing w:after="0"/>
              <w:rPr>
                <w:sz w:val="20"/>
                <w:szCs w:val="20"/>
                <w:color w:val="auto"/>
              </w:rPr>
            </w:pPr>
            <w:r>
              <w:rPr>
                <w:rFonts w:ascii="Arial" w:cs="Arial" w:eastAsia="Arial" w:hAnsi="Arial"/>
                <w:sz w:val="13"/>
                <w:szCs w:val="13"/>
                <w:color w:val="auto"/>
                <w:w w:val="96"/>
              </w:rPr>
              <w:t>shares issued and outstanding (pro forma);</w:t>
            </w:r>
          </w:p>
        </w:tc>
        <w:tc>
          <w:tcPr>
            <w:tcW w:w="1200" w:type="dxa"/>
            <w:vAlign w:val="bottom"/>
          </w:tcPr>
          <w:p>
            <w:pPr>
              <w:ind w:left="180"/>
              <w:spacing w:after="0"/>
              <w:rPr>
                <w:sz w:val="20"/>
                <w:szCs w:val="20"/>
                <w:color w:val="auto"/>
              </w:rPr>
            </w:pPr>
            <w:r>
              <w:rPr>
                <w:rFonts w:ascii="Arial" w:cs="Arial" w:eastAsia="Arial" w:hAnsi="Arial"/>
                <w:sz w:val="13"/>
                <w:szCs w:val="13"/>
                <w:color w:val="auto"/>
                <w:w w:val="93"/>
              </w:rPr>
              <w:t>shares authorized,</w:t>
            </w:r>
          </w:p>
        </w:tc>
        <w:tc>
          <w:tcPr>
            <w:tcW w:w="2220" w:type="dxa"/>
            <w:vAlign w:val="bottom"/>
            <w:gridSpan w:val="3"/>
          </w:tcPr>
          <w:p>
            <w:pPr>
              <w:jc w:val="right"/>
              <w:ind w:right="331"/>
              <w:spacing w:after="0"/>
              <w:rPr>
                <w:sz w:val="20"/>
                <w:szCs w:val="20"/>
                <w:color w:val="auto"/>
              </w:rPr>
            </w:pPr>
            <w:r>
              <w:rPr>
                <w:rFonts w:ascii="Arial" w:cs="Arial" w:eastAsia="Arial" w:hAnsi="Arial"/>
                <w:sz w:val="13"/>
                <w:szCs w:val="13"/>
                <w:color w:val="auto"/>
              </w:rPr>
              <w:t>shares issued and outstanding</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20" w:type="dxa"/>
            <w:vAlign w:val="bottom"/>
            <w:gridSpan w:val="2"/>
          </w:tcPr>
          <w:p>
            <w:pPr>
              <w:ind w:left="280"/>
              <w:spacing w:after="0"/>
              <w:rPr>
                <w:sz w:val="20"/>
                <w:szCs w:val="20"/>
                <w:color w:val="auto"/>
              </w:rPr>
            </w:pPr>
            <w:r>
              <w:rPr>
                <w:rFonts w:ascii="Arial" w:cs="Arial" w:eastAsia="Arial" w:hAnsi="Arial"/>
                <w:sz w:val="13"/>
                <w:szCs w:val="13"/>
                <w:color w:val="auto"/>
              </w:rPr>
              <w:t>(pro forma as adjusted)</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Preferred stock, $0.001 par value: no shares authorized, issued or outstanding (actual);</w:t>
            </w:r>
          </w:p>
        </w:tc>
        <w:tc>
          <w:tcPr>
            <w:tcW w:w="2220" w:type="dxa"/>
            <w:vAlign w:val="bottom"/>
            <w:gridSpan w:val="3"/>
            <w:shd w:val="clear" w:color="auto" w:fill="CCEEFF"/>
          </w:tcPr>
          <w:p>
            <w:pPr>
              <w:jc w:val="right"/>
              <w:ind w:right="651"/>
              <w:spacing w:after="0"/>
              <w:rPr>
                <w:sz w:val="20"/>
                <w:szCs w:val="20"/>
                <w:color w:val="auto"/>
              </w:rPr>
            </w:pPr>
            <w:r>
              <w:rPr>
                <w:rFonts w:ascii="Arial" w:cs="Arial" w:eastAsia="Arial" w:hAnsi="Arial"/>
                <w:sz w:val="13"/>
                <w:szCs w:val="13"/>
                <w:color w:val="auto"/>
                <w:w w:val="89"/>
              </w:rPr>
              <w:t>shares authorized, no shares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issued or outstanding (pro forma and pro forma as adjusted)</w:t>
            </w: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(140,411)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(136,921)</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Total capitalization</w:t>
            </w:r>
            <w:r>
              <w:rPr>
                <w:rFonts w:ascii="Arial" w:cs="Arial" w:eastAsia="Arial" w:hAnsi="Arial"/>
                <w:sz w:val="11"/>
                <w:szCs w:val="11"/>
                <w:color w:val="auto"/>
              </w:rPr>
              <w:t>(1)</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00" w:right="40" w:hanging="213"/>
        <w:spacing w:after="0" w:line="260" w:lineRule="auto"/>
        <w:tabs>
          <w:tab w:leader="none" w:pos="900" w:val="left"/>
        </w:tabs>
        <w:numPr>
          <w:ilvl w:val="0"/>
          <w:numId w:val="29"/>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additional paid-in capital, total stockholders’ equity and total capitalization by $ million, assuming that the number of shares offered by us, as set forth on the cover page of this prospectus, remains the same, and after deducting estimated underwriting discounts</w:t>
      </w:r>
    </w:p>
    <w:p>
      <w:pPr>
        <w:ind w:left="900" w:right="360"/>
        <w:spacing w:after="0" w:line="243" w:lineRule="auto"/>
        <w:rPr>
          <w:sz w:val="20"/>
          <w:szCs w:val="20"/>
          <w:color w:val="auto"/>
        </w:rPr>
      </w:pPr>
      <w:r>
        <w:rPr>
          <w:rFonts w:ascii="Arial" w:cs="Arial" w:eastAsia="Arial" w:hAnsi="Arial"/>
          <w:sz w:val="10"/>
          <w:szCs w:val="10"/>
          <w:color w:val="auto"/>
        </w:rPr>
        <w:t>and commissions and estimated offering expenses payable by us. Each increase of 1.0 million shares in the number of shares offered by us, together with a $1.00 increase in the assumed offering price of $ per share, would increase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900" w:right="200"/>
        <w:spacing w:after="0" w:line="242" w:lineRule="auto"/>
        <w:rPr>
          <w:sz w:val="20"/>
          <w:szCs w:val="20"/>
          <w:color w:val="auto"/>
        </w:rPr>
      </w:pPr>
      <w:r>
        <w:rPr>
          <w:rFonts w:ascii="Arial" w:cs="Arial" w:eastAsia="Arial" w:hAnsi="Arial"/>
          <w:sz w:val="10"/>
          <w:szCs w:val="10"/>
          <w:color w:val="auto"/>
        </w:rPr>
        <w:t>additional paid-in capital, total stockholders’ equity and total capitalization by approximately $ million. Similarly, each decrease of 1.0 million shares in the number of shares offered by us, together with a $1.00 decrease in the assumed offering price of $ per share, would decrease additional paid-in capital, total stockholders’ equity and total capitalization by approximately $ million. The pro forma as adjusted information discussed above is illustrative only and will be adjusted based on the actual public offering price and terms of this offering determined at pricing.</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of our convertible preferred stock;</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40"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shares of common stock reserved for issuance under our 2008 Equity Incentive Plan, and any future increase in shares reserved for issuance under such plan, each of which will become effective on the date of this prospectus; and</w:t>
      </w:r>
    </w:p>
    <w:p>
      <w:pPr>
        <w:spacing w:after="0" w:line="25"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If you invest in our common stock, your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w:t>
      </w:r>
    </w:p>
    <w:p>
      <w:pPr>
        <w:spacing w:after="0" w:line="70"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common stock outstanding. Our historical net tangible book value (deficit) as of March 29, 2008, was $25.2 million, or $2.53 per share. Our pro forma net tangible book value as of March 29, 2008 was $ million, or $ per share, based on the total number of shares of our common stock outstanding as of March 29, 2008, after giving effect to (1) the conversion of an outstanding convertible promissory note into 1,503,945 shares of common stock, (2) the conversion of all outstanding shares of our convertible preferred stock into common stock and (3) the reclassification of the convertible preferred stock warrant liabilities to additional paid-in capital, each effective upon the closing of this offering.</w:t>
      </w:r>
    </w:p>
    <w:p>
      <w:pPr>
        <w:spacing w:after="0" w:line="71"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After giving effect to our sale of shares of common stock in this offering at an assumed initial public offering price of $ per share, the midpoint of the range set forth on the cover page of this prospectus, and after deducting the estimated underwriting discounts and commissions and estimated offering expenses, our pro forma as adjusted net tangible book value</w:t>
      </w:r>
    </w:p>
    <w:tbl>
      <w:tblPr>
        <w:tblLayout w:type="fixed"/>
        <w:tblInd w:w="680" w:type="dxa"/>
        <w:tblCellMar>
          <w:top w:w="0" w:type="dxa"/>
          <w:left w:w="0" w:type="dxa"/>
          <w:bottom w:w="0" w:type="dxa"/>
          <w:right w:w="0" w:type="dxa"/>
        </w:tblCellMar>
      </w:tblPr>
      <w:tr>
        <w:trPr>
          <w:trHeight w:val="150"/>
        </w:trPr>
        <w:tc>
          <w:tcPr>
            <w:tcW w:w="7460" w:type="dxa"/>
            <w:vAlign w:val="bottom"/>
          </w:tcPr>
          <w:p>
            <w:pPr>
              <w:spacing w:after="0"/>
              <w:rPr>
                <w:sz w:val="20"/>
                <w:szCs w:val="20"/>
                <w:color w:val="auto"/>
              </w:rPr>
            </w:pPr>
            <w:r>
              <w:rPr>
                <w:rFonts w:ascii="Arial" w:cs="Arial" w:eastAsia="Arial" w:hAnsi="Arial"/>
                <w:sz w:val="13"/>
                <w:szCs w:val="13"/>
                <w:color w:val="auto"/>
                <w:w w:val="94"/>
              </w:rPr>
              <w:t>as of March 29, 2008 would have been $   million, or $   per share. This represents an immediate increase in net tangible book value of $</w:t>
            </w:r>
          </w:p>
        </w:tc>
        <w:tc>
          <w:tcPr>
            <w:tcW w:w="2520" w:type="dxa"/>
            <w:vAlign w:val="bottom"/>
            <w:gridSpan w:val="2"/>
          </w:tcPr>
          <w:p>
            <w:pPr>
              <w:jc w:val="center"/>
              <w:ind w:right="114"/>
              <w:spacing w:after="0"/>
              <w:rPr>
                <w:sz w:val="20"/>
                <w:szCs w:val="20"/>
                <w:color w:val="auto"/>
              </w:rPr>
            </w:pPr>
            <w:r>
              <w:rPr>
                <w:rFonts w:ascii="Arial" w:cs="Arial" w:eastAsia="Arial" w:hAnsi="Arial"/>
                <w:sz w:val="13"/>
                <w:szCs w:val="13"/>
                <w:color w:val="auto"/>
                <w:w w:val="90"/>
              </w:rPr>
              <w:t>per share to existing stockholders and an</w:t>
            </w:r>
          </w:p>
        </w:tc>
      </w:tr>
      <w:tr>
        <w:trPr>
          <w:trHeight w:val="165"/>
        </w:trPr>
        <w:tc>
          <w:tcPr>
            <w:tcW w:w="8720" w:type="dxa"/>
            <w:vAlign w:val="bottom"/>
            <w:gridSpan w:val="2"/>
          </w:tcPr>
          <w:p>
            <w:pPr>
              <w:spacing w:after="0"/>
              <w:rPr>
                <w:sz w:val="20"/>
                <w:szCs w:val="20"/>
                <w:color w:val="auto"/>
              </w:rPr>
            </w:pPr>
            <w:r>
              <w:rPr>
                <w:rFonts w:ascii="Arial" w:cs="Arial" w:eastAsia="Arial" w:hAnsi="Arial"/>
                <w:sz w:val="13"/>
                <w:szCs w:val="13"/>
                <w:color w:val="auto"/>
              </w:rPr>
              <w:t>immediate dilution in net tangible book value of $   per share to purchasers of common stock in this offering, as illustrated in the following table:</w:t>
            </w:r>
          </w:p>
        </w:tc>
        <w:tc>
          <w:tcPr>
            <w:tcW w:w="1260" w:type="dxa"/>
            <w:vAlign w:val="bottom"/>
          </w:tcPr>
          <w:p>
            <w:pPr>
              <w:spacing w:after="0"/>
              <w:rPr>
                <w:sz w:val="14"/>
                <w:szCs w:val="14"/>
                <w:color w:val="auto"/>
              </w:rPr>
            </w:pPr>
          </w:p>
        </w:tc>
      </w:tr>
      <w:tr>
        <w:trPr>
          <w:trHeight w:val="100"/>
        </w:trPr>
        <w:tc>
          <w:tcPr>
            <w:tcW w:w="7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Historical net tangible book value per share as of March 29, 2008</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14"/>
              <w:spacing w:after="0"/>
              <w:rPr>
                <w:sz w:val="20"/>
                <w:szCs w:val="20"/>
                <w:color w:val="auto"/>
              </w:rPr>
            </w:pPr>
            <w:r>
              <w:rPr>
                <w:rFonts w:ascii="Arial" w:cs="Arial" w:eastAsia="Arial" w:hAnsi="Arial"/>
                <w:sz w:val="13"/>
                <w:szCs w:val="13"/>
                <w:color w:val="auto"/>
              </w:rPr>
              <w:t>2.53</w:t>
            </w:r>
          </w:p>
        </w:tc>
      </w:tr>
      <w:tr>
        <w:trPr>
          <w:trHeight w:val="157"/>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 as adjusted net tangible book value per share as of March 29, 2008</w:t>
            </w:r>
          </w:p>
        </w:tc>
        <w:tc>
          <w:tcPr>
            <w:tcW w:w="1260" w:type="dxa"/>
            <w:vAlign w:val="bottom"/>
            <w:shd w:val="clear" w:color="auto" w:fill="CCEEFF"/>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spacing w:after="0"/>
              <w:rPr>
                <w:sz w:val="13"/>
                <w:szCs w:val="13"/>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Increase in pro forma as adjusted net tangible book value per share attributable to new investors</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spacing w:after="0"/>
              <w:rPr>
                <w:sz w:val="13"/>
                <w:szCs w:val="13"/>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after this offering</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65"/>
        </w:trPr>
        <w:tc>
          <w:tcPr>
            <w:tcW w:w="7460" w:type="dxa"/>
            <w:vAlign w:val="bottom"/>
          </w:tcPr>
          <w:p>
            <w:pPr>
              <w:spacing w:after="0"/>
              <w:rPr>
                <w:sz w:val="20"/>
                <w:szCs w:val="20"/>
                <w:color w:val="auto"/>
              </w:rPr>
            </w:pPr>
            <w:r>
              <w:rPr>
                <w:rFonts w:ascii="Arial" w:cs="Arial" w:eastAsia="Arial" w:hAnsi="Arial"/>
                <w:sz w:val="13"/>
                <w:szCs w:val="13"/>
                <w:color w:val="auto"/>
              </w:rPr>
              <w:t>Pro forma dilution per share to new investors in this offering</w:t>
            </w:r>
          </w:p>
        </w:tc>
        <w:tc>
          <w:tcPr>
            <w:tcW w:w="126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ind w:left="680" w:right="800" w:firstLine="399"/>
        <w:spacing w:after="0" w:line="277" w:lineRule="auto"/>
        <w:rPr>
          <w:sz w:val="20"/>
          <w:szCs w:val="20"/>
          <w:color w:val="auto"/>
        </w:rPr>
      </w:pPr>
      <w:r>
        <w:rPr>
          <w:rFonts w:ascii="Arial" w:cs="Arial" w:eastAsia="Arial" w:hAnsi="Arial"/>
          <w:sz w:val="12"/>
          <w:szCs w:val="12"/>
          <w:color w:val="auto"/>
        </w:rPr>
        <w:t>Each $1.00 increase (decrease) in the assumed public offering price of $ per share, the midpoint of the range set forth on the cover of this prospectus, would increase (decrease) our pro forma as adjusted net tangible book value by approximately $ million, or approximately $ per share, and the pro forma dilution per share to investors in this offering by approximately $ per share, assuming that the number of shares offered by us, as set forth on the cover page of this prospectus, remains the same and after deducting estimated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underwriting discounts and commissions and estimated offering expenses payable by us. We may also increase or decrease the number of shares we are offering. An increase of 1.0 million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gridSpan w:val="5"/>
          </w:tcPr>
          <w:p>
            <w:pPr>
              <w:ind w:left="680"/>
              <w:spacing w:after="0"/>
              <w:rPr>
                <w:sz w:val="20"/>
                <w:szCs w:val="20"/>
                <w:color w:val="auto"/>
              </w:rPr>
            </w:pPr>
            <w:r>
              <w:rPr>
                <w:rFonts w:ascii="Arial" w:cs="Arial" w:eastAsia="Arial" w:hAnsi="Arial"/>
                <w:sz w:val="13"/>
                <w:szCs w:val="13"/>
                <w:color w:val="auto"/>
                <w:w w:val="91"/>
              </w:rPr>
              <w:t>shares in the number of shares offered by us, together with a $1.00 increase in the assumed offering price of $</w:t>
            </w:r>
          </w:p>
        </w:tc>
        <w:tc>
          <w:tcPr>
            <w:tcW w:w="4920" w:type="dxa"/>
            <w:vAlign w:val="bottom"/>
            <w:gridSpan w:val="4"/>
          </w:tcPr>
          <w:p>
            <w:pPr>
              <w:ind w:left="100"/>
              <w:spacing w:after="0"/>
              <w:rPr>
                <w:sz w:val="20"/>
                <w:szCs w:val="20"/>
                <w:color w:val="auto"/>
              </w:rPr>
            </w:pPr>
            <w:r>
              <w:rPr>
                <w:rFonts w:ascii="Arial" w:cs="Arial" w:eastAsia="Arial" w:hAnsi="Arial"/>
                <w:sz w:val="13"/>
                <w:szCs w:val="13"/>
                <w:color w:val="auto"/>
              </w:rPr>
              <w:t>per share, would result in a pro forma as adjusted net tangible book value of</w:t>
            </w: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0" w:type="dxa"/>
            <w:vAlign w:val="bottom"/>
          </w:tcPr>
          <w:p>
            <w:pPr>
              <w:ind w:left="100"/>
              <w:spacing w:after="0"/>
              <w:rPr>
                <w:sz w:val="20"/>
                <w:szCs w:val="20"/>
                <w:color w:val="auto"/>
              </w:rPr>
            </w:pPr>
            <w:r>
              <w:rPr>
                <w:rFonts w:ascii="Arial" w:cs="Arial" w:eastAsia="Arial" w:hAnsi="Arial"/>
                <w:sz w:val="13"/>
                <w:szCs w:val="13"/>
                <w:color w:val="auto"/>
              </w:rPr>
              <w:t>million, or $</w:t>
            </w:r>
          </w:p>
        </w:tc>
        <w:tc>
          <w:tcPr>
            <w:tcW w:w="4700" w:type="dxa"/>
            <w:vAlign w:val="bottom"/>
            <w:gridSpan w:val="4"/>
          </w:tcPr>
          <w:p>
            <w:pPr>
              <w:ind w:left="100"/>
              <w:spacing w:after="0"/>
              <w:rPr>
                <w:sz w:val="20"/>
                <w:szCs w:val="20"/>
                <w:color w:val="auto"/>
              </w:rPr>
            </w:pPr>
            <w:r>
              <w:rPr>
                <w:rFonts w:ascii="Arial" w:cs="Arial" w:eastAsia="Arial" w:hAnsi="Arial"/>
                <w:sz w:val="13"/>
                <w:szCs w:val="13"/>
                <w:color w:val="auto"/>
                <w:w w:val="93"/>
              </w:rPr>
              <w:t>per share, and the pro forma dilution per share to investors in this offering would be $</w:t>
            </w:r>
          </w:p>
        </w:tc>
        <w:tc>
          <w:tcPr>
            <w:tcW w:w="3300" w:type="dxa"/>
            <w:vAlign w:val="bottom"/>
            <w:gridSpan w:val="2"/>
          </w:tcPr>
          <w:p>
            <w:pPr>
              <w:ind w:left="100"/>
              <w:spacing w:after="0"/>
              <w:rPr>
                <w:sz w:val="20"/>
                <w:szCs w:val="20"/>
                <w:color w:val="auto"/>
              </w:rPr>
            </w:pPr>
            <w:r>
              <w:rPr>
                <w:rFonts w:ascii="Arial" w:cs="Arial" w:eastAsia="Arial" w:hAnsi="Arial"/>
                <w:sz w:val="13"/>
                <w:szCs w:val="13"/>
                <w:color w:val="auto"/>
                <w:w w:val="94"/>
              </w:rPr>
              <w:t>per share. Similarly, a decrease of 1.0 million shares in the</w:t>
            </w:r>
          </w:p>
        </w:tc>
        <w:tc>
          <w:tcPr>
            <w:tcW w:w="980" w:type="dxa"/>
            <w:vAlign w:val="bottom"/>
          </w:tcPr>
          <w:p>
            <w:pPr>
              <w:spacing w:after="0"/>
              <w:rPr>
                <w:sz w:val="13"/>
                <w:szCs w:val="13"/>
                <w:color w:val="auto"/>
              </w:rPr>
            </w:pPr>
          </w:p>
        </w:tc>
      </w:tr>
      <w:tr>
        <w:trPr>
          <w:trHeight w:val="157"/>
        </w:trPr>
        <w:tc>
          <w:tcPr>
            <w:tcW w:w="6220" w:type="dxa"/>
            <w:vAlign w:val="bottom"/>
            <w:gridSpan w:val="4"/>
          </w:tcPr>
          <w:p>
            <w:pPr>
              <w:ind w:left="680"/>
              <w:spacing w:after="0"/>
              <w:rPr>
                <w:sz w:val="20"/>
                <w:szCs w:val="20"/>
                <w:color w:val="auto"/>
              </w:rPr>
            </w:pPr>
            <w:r>
              <w:rPr>
                <w:rFonts w:ascii="Arial" w:cs="Arial" w:eastAsia="Arial" w:hAnsi="Arial"/>
                <w:sz w:val="13"/>
                <w:szCs w:val="13"/>
                <w:color w:val="auto"/>
                <w:w w:val="92"/>
              </w:rPr>
              <w:t>number of shares offered by us, together with a $1.00 decrease in the assumed public offering price of $</w:t>
            </w:r>
          </w:p>
        </w:tc>
        <w:tc>
          <w:tcPr>
            <w:tcW w:w="4260" w:type="dxa"/>
            <w:vAlign w:val="bottom"/>
            <w:gridSpan w:val="4"/>
          </w:tcPr>
          <w:p>
            <w:pPr>
              <w:ind w:left="100"/>
              <w:spacing w:after="0"/>
              <w:rPr>
                <w:sz w:val="20"/>
                <w:szCs w:val="20"/>
                <w:color w:val="auto"/>
              </w:rPr>
            </w:pPr>
            <w:r>
              <w:rPr>
                <w:rFonts w:ascii="Arial" w:cs="Arial" w:eastAsia="Arial" w:hAnsi="Arial"/>
                <w:sz w:val="13"/>
                <w:szCs w:val="13"/>
                <w:color w:val="auto"/>
                <w:w w:val="93"/>
              </w:rPr>
              <w:t>per share, would result in an pro forma as adjusted net tangible book value of</w:t>
            </w:r>
          </w:p>
        </w:tc>
        <w:tc>
          <w:tcPr>
            <w:tcW w:w="980" w:type="dxa"/>
            <w:vAlign w:val="bottom"/>
          </w:tcPr>
          <w:p>
            <w:pPr>
              <w:spacing w:after="0"/>
              <w:rPr>
                <w:sz w:val="13"/>
                <w:szCs w:val="13"/>
                <w:color w:val="auto"/>
              </w:rPr>
            </w:pP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0" w:type="dxa"/>
            <w:vAlign w:val="bottom"/>
          </w:tcPr>
          <w:p>
            <w:pPr>
              <w:ind w:left="100"/>
              <w:spacing w:after="0"/>
              <w:rPr>
                <w:sz w:val="20"/>
                <w:szCs w:val="20"/>
                <w:color w:val="auto"/>
              </w:rPr>
            </w:pPr>
            <w:r>
              <w:rPr>
                <w:rFonts w:ascii="Arial" w:cs="Arial" w:eastAsia="Arial" w:hAnsi="Arial"/>
                <w:sz w:val="13"/>
                <w:szCs w:val="13"/>
                <w:color w:val="auto"/>
              </w:rPr>
              <w:t>million, or $</w:t>
            </w:r>
          </w:p>
        </w:tc>
        <w:tc>
          <w:tcPr>
            <w:tcW w:w="4700" w:type="dxa"/>
            <w:vAlign w:val="bottom"/>
            <w:gridSpan w:val="4"/>
          </w:tcPr>
          <w:p>
            <w:pPr>
              <w:ind w:left="100"/>
              <w:spacing w:after="0"/>
              <w:rPr>
                <w:sz w:val="20"/>
                <w:szCs w:val="20"/>
                <w:color w:val="auto"/>
              </w:rPr>
            </w:pPr>
            <w:r>
              <w:rPr>
                <w:rFonts w:ascii="Arial" w:cs="Arial" w:eastAsia="Arial" w:hAnsi="Arial"/>
                <w:sz w:val="13"/>
                <w:szCs w:val="13"/>
                <w:color w:val="auto"/>
                <w:w w:val="93"/>
              </w:rPr>
              <w:t>per share, and the pro forma dilution per share to investors in this offering would be $</w:t>
            </w:r>
          </w:p>
        </w:tc>
        <w:tc>
          <w:tcPr>
            <w:tcW w:w="3300" w:type="dxa"/>
            <w:vAlign w:val="bottom"/>
            <w:gridSpan w:val="2"/>
          </w:tcPr>
          <w:p>
            <w:pPr>
              <w:ind w:left="100"/>
              <w:spacing w:after="0"/>
              <w:rPr>
                <w:sz w:val="20"/>
                <w:szCs w:val="20"/>
                <w:color w:val="auto"/>
              </w:rPr>
            </w:pPr>
            <w:r>
              <w:rPr>
                <w:rFonts w:ascii="Arial" w:cs="Arial" w:eastAsia="Arial" w:hAnsi="Arial"/>
                <w:sz w:val="13"/>
                <w:szCs w:val="13"/>
                <w:color w:val="auto"/>
                <w:w w:val="92"/>
              </w:rPr>
              <w:t>per share. The pro forma as adjusted information discussed</w:t>
            </w:r>
          </w:p>
        </w:tc>
        <w:tc>
          <w:tcPr>
            <w:tcW w:w="980" w:type="dxa"/>
            <w:vAlign w:val="bottom"/>
          </w:tcPr>
          <w:p>
            <w:pPr>
              <w:spacing w:after="0"/>
              <w:rPr>
                <w:sz w:val="13"/>
                <w:szCs w:val="13"/>
                <w:color w:val="auto"/>
              </w:rPr>
            </w:pPr>
          </w:p>
        </w:tc>
      </w:tr>
      <w:tr>
        <w:trPr>
          <w:trHeight w:val="165"/>
        </w:trPr>
        <w:tc>
          <w:tcPr>
            <w:tcW w:w="9080" w:type="dxa"/>
            <w:vAlign w:val="bottom"/>
            <w:gridSpan w:val="7"/>
          </w:tcPr>
          <w:p>
            <w:pPr>
              <w:ind w:left="680"/>
              <w:spacing w:after="0"/>
              <w:rPr>
                <w:sz w:val="20"/>
                <w:szCs w:val="20"/>
                <w:color w:val="auto"/>
              </w:rPr>
            </w:pPr>
            <w:r>
              <w:rPr>
                <w:rFonts w:ascii="Arial" w:cs="Arial" w:eastAsia="Arial" w:hAnsi="Arial"/>
                <w:sz w:val="13"/>
                <w:szCs w:val="13"/>
                <w:color w:val="auto"/>
              </w:rPr>
              <w:t>above is illustrative only and will be adjusted based on the actual public offering price and other terms of this offering determined at pricing.</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9080" w:type="dxa"/>
            <w:vAlign w:val="bottom"/>
            <w:gridSpan w:val="7"/>
          </w:tcPr>
          <w:p>
            <w:pPr>
              <w:ind w:left="1080"/>
              <w:spacing w:after="0"/>
              <w:rPr>
                <w:sz w:val="20"/>
                <w:szCs w:val="20"/>
                <w:color w:val="auto"/>
              </w:rPr>
            </w:pPr>
            <w:r>
              <w:rPr>
                <w:rFonts w:ascii="Arial" w:cs="Arial" w:eastAsia="Arial" w:hAnsi="Arial"/>
                <w:sz w:val="13"/>
                <w:szCs w:val="13"/>
                <w:color w:val="auto"/>
                <w:w w:val="93"/>
              </w:rPr>
              <w:t>If the underwriters’ over-allotment option is exercised in full, the pro forma as adjusted net tangible book value per share after this offering would be $</w:t>
            </w:r>
          </w:p>
        </w:tc>
        <w:tc>
          <w:tcPr>
            <w:tcW w:w="1400" w:type="dxa"/>
            <w:vAlign w:val="bottom"/>
          </w:tcPr>
          <w:p>
            <w:pPr>
              <w:ind w:left="100"/>
              <w:spacing w:after="0"/>
              <w:rPr>
                <w:sz w:val="20"/>
                <w:szCs w:val="20"/>
                <w:color w:val="auto"/>
              </w:rPr>
            </w:pPr>
            <w:r>
              <w:rPr>
                <w:rFonts w:ascii="Arial" w:cs="Arial" w:eastAsia="Arial" w:hAnsi="Arial"/>
                <w:sz w:val="13"/>
                <w:szCs w:val="13"/>
                <w:color w:val="auto"/>
                <w:w w:val="87"/>
              </w:rPr>
              <w:t>per share, the increase in</w:t>
            </w:r>
          </w:p>
        </w:tc>
        <w:tc>
          <w:tcPr>
            <w:tcW w:w="980" w:type="dxa"/>
            <w:vAlign w:val="bottom"/>
          </w:tcPr>
          <w:p>
            <w:pPr>
              <w:spacing w:after="0"/>
              <w:rPr>
                <w:sz w:val="20"/>
                <w:szCs w:val="20"/>
                <w:color w:val="auto"/>
              </w:rPr>
            </w:pPr>
          </w:p>
        </w:tc>
      </w:tr>
      <w:tr>
        <w:trPr>
          <w:trHeight w:val="157"/>
        </w:trPr>
        <w:tc>
          <w:tcPr>
            <w:tcW w:w="5540" w:type="dxa"/>
            <w:vAlign w:val="bottom"/>
            <w:gridSpan w:val="3"/>
          </w:tcPr>
          <w:p>
            <w:pPr>
              <w:ind w:left="680"/>
              <w:spacing w:after="0"/>
              <w:rPr>
                <w:sz w:val="20"/>
                <w:szCs w:val="20"/>
                <w:color w:val="auto"/>
              </w:rPr>
            </w:pPr>
            <w:r>
              <w:rPr>
                <w:rFonts w:ascii="Arial" w:cs="Arial" w:eastAsia="Arial" w:hAnsi="Arial"/>
                <w:sz w:val="13"/>
                <w:szCs w:val="13"/>
                <w:color w:val="auto"/>
                <w:w w:val="91"/>
              </w:rPr>
              <w:t>pro forma as adjusted net tangible book value per share to existing stockholders would be $</w:t>
            </w:r>
          </w:p>
        </w:tc>
        <w:tc>
          <w:tcPr>
            <w:tcW w:w="4940" w:type="dxa"/>
            <w:vAlign w:val="bottom"/>
            <w:gridSpan w:val="5"/>
          </w:tcPr>
          <w:p>
            <w:pPr>
              <w:ind w:left="140"/>
              <w:spacing w:after="0"/>
              <w:rPr>
                <w:sz w:val="20"/>
                <w:szCs w:val="20"/>
                <w:color w:val="auto"/>
              </w:rPr>
            </w:pPr>
            <w:r>
              <w:rPr>
                <w:rFonts w:ascii="Arial" w:cs="Arial" w:eastAsia="Arial" w:hAnsi="Arial"/>
                <w:sz w:val="13"/>
                <w:szCs w:val="13"/>
                <w:color w:val="auto"/>
                <w:w w:val="94"/>
              </w:rPr>
              <w:t>per share and the dilution to new investors purchasing shares in this offering would be $</w:t>
            </w:r>
          </w:p>
        </w:tc>
        <w:tc>
          <w:tcPr>
            <w:tcW w:w="980" w:type="dxa"/>
            <w:vAlign w:val="bottom"/>
          </w:tcPr>
          <w:p>
            <w:pPr>
              <w:spacing w:after="0"/>
              <w:rPr>
                <w:sz w:val="20"/>
                <w:szCs w:val="20"/>
                <w:color w:val="auto"/>
              </w:rPr>
            </w:pPr>
            <w:r>
              <w:rPr>
                <w:rFonts w:ascii="Arial" w:cs="Arial" w:eastAsia="Arial" w:hAnsi="Arial"/>
                <w:sz w:val="13"/>
                <w:szCs w:val="13"/>
                <w:color w:val="auto"/>
              </w:rPr>
              <w:t>per</w:t>
            </w:r>
          </w:p>
        </w:tc>
      </w:tr>
      <w:tr>
        <w:trPr>
          <w:trHeight w:val="165"/>
        </w:trPr>
        <w:tc>
          <w:tcPr>
            <w:tcW w:w="1640" w:type="dxa"/>
            <w:vAlign w:val="bottom"/>
          </w:tcPr>
          <w:p>
            <w:pPr>
              <w:ind w:left="680"/>
              <w:spacing w:after="0"/>
              <w:rPr>
                <w:sz w:val="20"/>
                <w:szCs w:val="20"/>
                <w:color w:val="auto"/>
              </w:rPr>
            </w:pPr>
            <w:r>
              <w:rPr>
                <w:rFonts w:ascii="Arial" w:cs="Arial" w:eastAsia="Arial" w:hAnsi="Arial"/>
                <w:sz w:val="13"/>
                <w:szCs w:val="13"/>
                <w:color w:val="auto"/>
              </w:rPr>
              <w:t>share.</w:t>
            </w: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52"/>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16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following table presents on a pro forma as adjusted basis as of March 29, 2008, after giving effect to the automatic conversion of all outstanding shares of convertible preferred stock into common stock,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and the value of any stock issued for services and the average price paid per share (in thousands, except per share amounts and percentages):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0"/>
                <w:szCs w:val="10"/>
                <w:b w:val="1"/>
                <w:bCs w:val="1"/>
                <w:color w:val="auto"/>
              </w:rPr>
              <w:t>Shares Purchased</w:t>
            </w:r>
          </w:p>
        </w:tc>
        <w:tc>
          <w:tcPr>
            <w:tcW w:w="120" w:type="dxa"/>
            <w:vAlign w:val="bottom"/>
          </w:tcPr>
          <w:p>
            <w:pPr>
              <w:spacing w:after="0"/>
              <w:rPr>
                <w:sz w:val="10"/>
                <w:szCs w:val="10"/>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Average Price</w:t>
            </w:r>
          </w:p>
        </w:tc>
      </w:tr>
      <w:tr>
        <w:trPr>
          <w:trHeight w:val="98"/>
        </w:trPr>
        <w:tc>
          <w:tcPr>
            <w:tcW w:w="10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46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50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8"/>
              </w:rPr>
              <w:t>Per Share</w:t>
            </w:r>
          </w:p>
        </w:tc>
      </w:tr>
      <w:tr>
        <w:trPr>
          <w:trHeight w:val="29"/>
        </w:trPr>
        <w:tc>
          <w:tcPr>
            <w:tcW w:w="1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24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66,611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163,458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w:t>
            </w:r>
          </w:p>
        </w:tc>
      </w:tr>
      <w:tr>
        <w:trPr>
          <w:trHeight w:val="157"/>
        </w:trPr>
        <w:tc>
          <w:tcPr>
            <w:tcW w:w="3600" w:type="dxa"/>
            <w:vAlign w:val="bottom"/>
            <w:gridSpan w:val="2"/>
          </w:tcPr>
          <w:p>
            <w:pPr>
              <w:spacing w:after="0"/>
              <w:rPr>
                <w:sz w:val="20"/>
                <w:szCs w:val="20"/>
                <w:color w:val="auto"/>
              </w:rPr>
            </w:pPr>
            <w:r>
              <w:rPr>
                <w:rFonts w:ascii="Arial" w:cs="Arial" w:eastAsia="Arial" w:hAnsi="Arial"/>
                <w:sz w:val="13"/>
                <w:szCs w:val="13"/>
                <w:color w:val="auto"/>
              </w:rPr>
              <w:t>New investors</w:t>
            </w:r>
          </w:p>
        </w:tc>
        <w:tc>
          <w:tcPr>
            <w:tcW w:w="15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0"/>
                <w:szCs w:val="10"/>
                <w:color w:val="auto"/>
                <w:w w:val="97"/>
              </w:rPr>
              <w:t>(1)  Each $1.00 increase (decrease) in the assumed initial public offering price of $</w:t>
            </w:r>
          </w:p>
        </w:tc>
        <w:tc>
          <w:tcPr>
            <w:tcW w:w="6380" w:type="dxa"/>
            <w:vAlign w:val="bottom"/>
            <w:gridSpan w:val="13"/>
          </w:tcPr>
          <w:p>
            <w:pPr>
              <w:jc w:val="right"/>
              <w:ind w:right="40"/>
              <w:spacing w:after="0"/>
              <w:rPr>
                <w:sz w:val="20"/>
                <w:szCs w:val="20"/>
                <w:color w:val="auto"/>
              </w:rPr>
            </w:pPr>
            <w:r>
              <w:rPr>
                <w:rFonts w:ascii="Arial" w:cs="Arial" w:eastAsia="Arial" w:hAnsi="Arial"/>
                <w:sz w:val="10"/>
                <w:szCs w:val="10"/>
                <w:color w:val="auto"/>
                <w:w w:val="94"/>
              </w:rPr>
              <w:t>per share, the midpoint of the range set forth on the cover page of this prospectus, would increase (decrease) the total consideration paid to us by new</w:t>
            </w:r>
          </w:p>
        </w:tc>
      </w:tr>
    </w:tbl>
    <w:p>
      <w:pPr>
        <w:ind w:left="900" w:right="80"/>
        <w:spacing w:after="0" w:line="233" w:lineRule="auto"/>
        <w:rPr>
          <w:sz w:val="20"/>
          <w:szCs w:val="20"/>
          <w:color w:val="auto"/>
        </w:rPr>
      </w:pPr>
      <w:r>
        <w:rPr>
          <w:rFonts w:ascii="Arial" w:cs="Arial" w:eastAsia="Arial" w:hAnsi="Arial"/>
          <w:sz w:val="10"/>
          <w:szCs w:val="10"/>
          <w:color w:val="auto"/>
        </w:rPr>
        <w:t>investors and total consideration paid to us by all stockholder by $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 by $ million. Similarly, a decrease of 1.0 million shares in the number of shares offered by us would decrease the total consideration paid to us by new investors and total consideration paid to us by all stockholder by $ million.</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the underwriters exercise their over-allotment option in full, our existing stockholders would own % and our new investors would own % of the total number of shares of our common stock outstanding after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of our convertible preferred stock;</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40"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shares of common stock reserved for issuance under our 2008 Equity Incentive Plan, and any future increase in shares reserved for issuance under such plan, each of which will become effective on the date of this prospectus; and</w:t>
      </w:r>
    </w:p>
    <w:p>
      <w:pPr>
        <w:spacing w:after="0" w:line="35"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Assuming the exercise in full of the outstanding options and warrants, pro forma net tangible book value before this offering at March 29, 2008 would be $ per share, and after giving effect to the sale of shares in this offering, there would be immediate dilution of $ per share to new investors in this offering.</w:t>
      </w:r>
    </w:p>
    <w:p>
      <w:pPr>
        <w:spacing w:after="0" w:line="59"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3"/>
          <w:szCs w:val="13"/>
          <w:color w:val="auto"/>
        </w:rPr>
        <w:t>Effective upon the closing of this offering, an aggregate of</w:t>
      </w:r>
      <w:r>
        <w:rPr>
          <w:sz w:val="20"/>
          <w:szCs w:val="20"/>
          <w:color w:val="auto"/>
        </w:rPr>
        <w:tab/>
      </w:r>
      <w:r>
        <w:rPr>
          <w:rFonts w:ascii="Arial" w:cs="Arial" w:eastAsia="Arial" w:hAnsi="Arial"/>
          <w:sz w:val="11"/>
          <w:szCs w:val="11"/>
          <w:color w:val="auto"/>
        </w:rPr>
        <w:t>shares of our common stock will be reserved for future issuance under our stock-based compensation plans. To the</w:t>
      </w:r>
    </w:p>
    <w:p>
      <w:pPr>
        <w:spacing w:after="0" w:line="1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SELECTED CONSOLIDATED FINANCIAL DATA</w:t>
      </w:r>
    </w:p>
    <w:p>
      <w:pPr>
        <w:spacing w:after="0" w:line="81"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have derived the selected consolidated statement of operations data for the years ended December 31, 2005, December 31, 2006 and December 29, 2007 and the selected consolidated balance sheet data as of December 31, 2006 and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We have derived the selected consolidated statement of operations data for the years ended December 31, 2003 and 2004 and the selected consolidated balance sheet data as of December 31, 2003, 2004 and 2005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18"/>
              <w:spacing w:after="0"/>
              <w:rPr>
                <w:sz w:val="20"/>
                <w:szCs w:val="20"/>
                <w:color w:val="auto"/>
              </w:rPr>
            </w:pPr>
            <w:r>
              <w:rPr>
                <w:rFonts w:ascii="Arial" w:cs="Arial" w:eastAsia="Arial" w:hAnsi="Arial"/>
                <w:sz w:val="9"/>
                <w:szCs w:val="9"/>
                <w:b w:val="1"/>
                <w:bCs w:val="1"/>
                <w:color w:val="auto"/>
                <w:w w:val="98"/>
              </w:rPr>
              <w:t>Three Months Ended</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3"/>
          </w:tcPr>
          <w:p>
            <w:pPr>
              <w:jc w:val="right"/>
              <w:ind w:right="36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right"/>
              <w:ind w:right="69"/>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198"/>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restart"/>
          </w:tcPr>
          <w:p>
            <w:pPr>
              <w:jc w:val="right"/>
              <w:ind w:right="120"/>
              <w:spacing w:after="0"/>
              <w:rPr>
                <w:sz w:val="20"/>
                <w:szCs w:val="20"/>
                <w:color w:val="auto"/>
              </w:rPr>
            </w:pPr>
            <w:r>
              <w:rPr>
                <w:rFonts w:ascii="Arial" w:cs="Arial" w:eastAsia="Arial" w:hAnsi="Arial"/>
                <w:sz w:val="9"/>
                <w:szCs w:val="9"/>
                <w:b w:val="1"/>
                <w:bCs w:val="1"/>
                <w:color w:val="auto"/>
                <w:w w:val="98"/>
              </w:rPr>
              <w:t>(in thousands, except per share amounts)</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Statement of Operations Data:</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Product revenue</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3,133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4,603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4,451</w:t>
            </w:r>
          </w:p>
        </w:tc>
        <w:tc>
          <w:tcPr>
            <w:tcW w:w="120" w:type="dxa"/>
            <w:vAlign w:val="bottom"/>
            <w:shd w:val="clear" w:color="auto" w:fill="CCEEFF"/>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744</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1,917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Collaboration revenue</w:t>
            </w:r>
          </w:p>
        </w:tc>
        <w:tc>
          <w:tcPr>
            <w:tcW w:w="100" w:type="dxa"/>
            <w:vAlign w:val="bottom"/>
          </w:tcPr>
          <w:p>
            <w:pPr>
              <w:spacing w:after="0"/>
              <w:rPr>
                <w:sz w:val="9"/>
                <w:szCs w:val="9"/>
                <w:color w:val="auto"/>
              </w:rPr>
            </w:pPr>
          </w:p>
        </w:tc>
        <w:tc>
          <w:tcPr>
            <w:tcW w:w="9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1,568</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460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235</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Grant revenue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2,364</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589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revenue</w:t>
            </w: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3,133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7,674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6,398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7,275</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1,568</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Cost of product revenue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3,362</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4,764</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2,773</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3,514</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847</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1,294</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11,218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11,449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15,589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14,389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3,473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3,280</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7,263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7,955</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9,699</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12,898</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2,758</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4,463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20,399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21,660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24,168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28,061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30,801</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7,078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9,037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Loss from operations</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(17,266)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(16,621)</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(16,494)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(21,663)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(23,526)</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(5,510)</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(6,523)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(1,227)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Interest income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1,140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291</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income (expense), net</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95"/>
        </w:trPr>
        <w:tc>
          <w:tcPr>
            <w:tcW w:w="3720" w:type="dxa"/>
            <w:vAlign w:val="bottom"/>
            <w:gridSpan w:val="2"/>
          </w:tcPr>
          <w:p>
            <w:pPr>
              <w:spacing w:after="0" w:line="95" w:lineRule="exact"/>
              <w:rPr>
                <w:sz w:val="20"/>
                <w:szCs w:val="20"/>
                <w:color w:val="auto"/>
              </w:rPr>
            </w:pPr>
            <w:r>
              <w:rPr>
                <w:rFonts w:ascii="Arial" w:cs="Arial" w:eastAsia="Arial" w:hAnsi="Arial"/>
                <w:sz w:val="10"/>
                <w:szCs w:val="10"/>
                <w:color w:val="auto"/>
              </w:rPr>
              <w:t>Loss before provision for income taxes and cumulative of change in accounting</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ind w:left="120"/>
              <w:spacing w:after="0"/>
              <w:rPr>
                <w:sz w:val="20"/>
                <w:szCs w:val="20"/>
                <w:color w:val="auto"/>
              </w:rPr>
            </w:pPr>
            <w:r>
              <w:rPr>
                <w:rFonts w:ascii="Arial" w:cs="Arial" w:eastAsia="Arial" w:hAnsi="Arial"/>
                <w:sz w:val="10"/>
                <w:szCs w:val="10"/>
                <w:color w:val="auto"/>
              </w:rPr>
              <w:t>principle</w:t>
            </w:r>
          </w:p>
        </w:tc>
        <w:tc>
          <w:tcPr>
            <w:tcW w:w="100" w:type="dxa"/>
            <w:vAlign w:val="bottom"/>
          </w:tcPr>
          <w:p>
            <w:pPr>
              <w:spacing w:after="0"/>
              <w:rPr>
                <w:sz w:val="10"/>
                <w:szCs w:val="1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0"/>
                <w:szCs w:val="10"/>
                <w:color w:val="auto"/>
              </w:rPr>
              <w:t>(17,304)</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(16,838)</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(17,022)</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(23,553)</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(25,346)</w:t>
            </w:r>
          </w:p>
        </w:tc>
        <w:tc>
          <w:tcPr>
            <w:tcW w:w="120" w:type="dxa"/>
            <w:vAlign w:val="bottom"/>
          </w:tcPr>
          <w:p>
            <w:pPr>
              <w:spacing w:after="0"/>
              <w:rPr>
                <w:sz w:val="10"/>
                <w:szCs w:val="10"/>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0"/>
                <w:szCs w:val="10"/>
                <w:color w:val="auto"/>
              </w:rPr>
              <w:t>(6,334)</w:t>
            </w:r>
          </w:p>
        </w:tc>
        <w:tc>
          <w:tcPr>
            <w:tcW w:w="140" w:type="dxa"/>
            <w:vAlign w:val="bottom"/>
          </w:tcPr>
          <w:p>
            <w:pPr>
              <w:spacing w:after="0"/>
              <w:rPr>
                <w:sz w:val="10"/>
                <w:szCs w:val="10"/>
                <w:color w:val="auto"/>
              </w:rPr>
            </w:pPr>
          </w:p>
        </w:tc>
        <w:tc>
          <w:tcPr>
            <w:tcW w:w="440" w:type="dxa"/>
            <w:vAlign w:val="bottom"/>
            <w:gridSpan w:val="2"/>
          </w:tcPr>
          <w:p>
            <w:pPr>
              <w:jc w:val="right"/>
              <w:ind w:right="18"/>
              <w:spacing w:after="0"/>
              <w:rPr>
                <w:sz w:val="20"/>
                <w:szCs w:val="20"/>
                <w:color w:val="auto"/>
              </w:rPr>
            </w:pPr>
            <w:r>
              <w:rPr>
                <w:rFonts w:ascii="Arial" w:cs="Arial" w:eastAsia="Arial" w:hAnsi="Arial"/>
                <w:sz w:val="10"/>
                <w:szCs w:val="10"/>
                <w:color w:val="auto"/>
              </w:rPr>
              <w:t>(6,589)</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Provision for income taxes</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(21)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Loss before cumulative effect of change in accounting principle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(17,022)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637</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3"/>
        </w:trPr>
        <w:tc>
          <w:tcPr>
            <w:tcW w:w="37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Net loss per share of common stock, basic and diluted</w:t>
            </w:r>
            <w:r>
              <w:rPr>
                <w:rFonts w:ascii="Arial" w:cs="Arial" w:eastAsia="Arial" w:hAnsi="Arial"/>
                <w:sz w:val="8"/>
                <w:szCs w:val="8"/>
                <w:color w:val="auto"/>
              </w:rPr>
              <w:t>(1)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3"/>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(1.82)</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(2.63)</w:t>
            </w:r>
          </w:p>
        </w:tc>
        <w:tc>
          <w:tcPr>
            <w:tcW w:w="120" w:type="dxa"/>
            <w:vAlign w:val="bottom"/>
            <w:shd w:val="clear" w:color="auto" w:fill="CCEEFF"/>
          </w:tcPr>
          <w:p>
            <w:pPr>
              <w:jc w:val="right"/>
              <w:ind w:right="11"/>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18"/>
              <w:spacing w:after="0" w:line="113" w:lineRule="exact"/>
              <w:rPr>
                <w:sz w:val="20"/>
                <w:szCs w:val="20"/>
                <w:color w:val="auto"/>
              </w:rPr>
            </w:pPr>
            <w:r>
              <w:rPr>
                <w:rFonts w:ascii="Arial" w:cs="Arial" w:eastAsia="Arial" w:hAnsi="Arial"/>
                <w:sz w:val="10"/>
                <w:szCs w:val="10"/>
                <w:color w:val="auto"/>
              </w:rPr>
              <w:t>(0.67)</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
              <w:spacing w:after="0" w:line="113" w:lineRule="exact"/>
              <w:rPr>
                <w:sz w:val="20"/>
                <w:szCs w:val="20"/>
                <w:color w:val="auto"/>
              </w:rPr>
            </w:pPr>
            <w:r>
              <w:rPr>
                <w:rFonts w:ascii="Arial" w:cs="Arial" w:eastAsia="Arial" w:hAnsi="Arial"/>
                <w:sz w:val="10"/>
                <w:szCs w:val="10"/>
                <w:color w:val="auto"/>
              </w:rPr>
              <w:t>(0.67)</w:t>
            </w:r>
          </w:p>
        </w:tc>
        <w:tc>
          <w:tcPr>
            <w:tcW w:w="0" w:type="dxa"/>
            <w:vAlign w:val="bottom"/>
          </w:tcPr>
          <w:p>
            <w:pPr>
              <w:spacing w:after="0"/>
              <w:rPr>
                <w:sz w:val="1"/>
                <w:szCs w:val="1"/>
                <w:color w:val="auto"/>
              </w:rPr>
            </w:pPr>
          </w:p>
        </w:tc>
      </w:tr>
      <w:tr>
        <w:trPr>
          <w:trHeight w:val="127"/>
        </w:trPr>
        <w:tc>
          <w:tcPr>
            <w:tcW w:w="3720" w:type="dxa"/>
            <w:vAlign w:val="bottom"/>
            <w:gridSpan w:val="2"/>
          </w:tcPr>
          <w:p>
            <w:pPr>
              <w:spacing w:after="0"/>
              <w:rPr>
                <w:sz w:val="20"/>
                <w:szCs w:val="20"/>
                <w:color w:val="auto"/>
              </w:rPr>
            </w:pPr>
            <w:r>
              <w:rPr>
                <w:rFonts w:ascii="Arial" w:cs="Arial" w:eastAsia="Arial" w:hAnsi="Arial"/>
                <w:sz w:val="10"/>
                <w:szCs w:val="10"/>
                <w:color w:val="auto"/>
              </w:rPr>
              <w:t>Shares used in computing net loss per share of common stock, basic and diluted</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7,775</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8,505</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9,018</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9,316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9,671</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9,510</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00" w:type="dxa"/>
            <w:vAlign w:val="bottom"/>
            <w:tcBorders>
              <w:bottom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Please see Note 2 to our consolidated financial statements for an explanation of the method used to calculate basic and diluted net loss per share of common stock.</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0"/>
                <w:szCs w:val="10"/>
                <w:b w:val="1"/>
                <w:bCs w:val="1"/>
                <w:color w:val="auto"/>
                <w:w w:val="95"/>
              </w:rPr>
              <w:t>As of</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20" w:type="dxa"/>
            <w:vAlign w:val="bottom"/>
          </w:tcPr>
          <w:p>
            <w:pPr>
              <w:spacing w:after="0"/>
              <w:rPr>
                <w:sz w:val="7"/>
                <w:szCs w:val="7"/>
                <w:color w:val="auto"/>
              </w:rPr>
            </w:pPr>
          </w:p>
        </w:tc>
        <w:tc>
          <w:tcPr>
            <w:tcW w:w="96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29,</w:t>
            </w: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center"/>
              <w:ind w:left="388"/>
              <w:spacing w:after="0"/>
              <w:rPr>
                <w:sz w:val="20"/>
                <w:szCs w:val="20"/>
                <w:color w:val="auto"/>
              </w:rPr>
            </w:pPr>
            <w:r>
              <w:rPr>
                <w:rFonts w:ascii="Arial" w:cs="Arial" w:eastAsia="Arial" w:hAnsi="Arial"/>
                <w:sz w:val="10"/>
                <w:szCs w:val="10"/>
                <w:b w:val="1"/>
                <w:bCs w:val="1"/>
                <w:color w:val="auto"/>
                <w:w w:val="92"/>
              </w:rPr>
              <w:t>(in thousands)</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w w:val="95"/>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Balance Sheet Data:</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Cash and cash equivalents and available-for-sale securities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28,874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19,659</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25,518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31,235</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Working capital</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23,689</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9,710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14,764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23,939</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38,754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29,851</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34,908</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20,150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27,750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36,493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47,338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long-term debt and convertible promissory notes</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5,261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6,111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16,800</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25,910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14,359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12,742</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814</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851</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preferred stock</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75,072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76,596</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88,966</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112,295</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162,082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162,082</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20"/>
                <w:szCs w:val="20"/>
                <w:color w:val="auto"/>
              </w:rPr>
            </w:pPr>
            <w:r>
              <w:rPr>
                <w:rFonts w:ascii="Arial" w:cs="Arial" w:eastAsia="Arial" w:hAnsi="Arial"/>
                <w:sz w:val="10"/>
                <w:szCs w:val="10"/>
                <w:color w:val="auto"/>
              </w:rPr>
              <w:t>Total stockholder’s deficit</w:t>
            </w:r>
          </w:p>
        </w:tc>
        <w:tc>
          <w:tcPr>
            <w:tcW w:w="10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(49,812)</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(65,471)</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(83,154)</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(106,172)</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(130,331)</w:t>
            </w: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color w:val="auto"/>
              </w:rPr>
              <w:t>(136,921)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enable the simultaneous performance of thousands of biochemical measurements in extremely minute volumes. We created this “integrated circuit for biology” by miniaturizing, integrating and automating sophisticated liquid handling processes on a single microfabricated device. Particularly in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to help achieve breakthroughs in the fields of genetic variation, cellular function and structural biology. We believe that the broad applicability of our IFC technology will lead to the development of IFC systems for a wide variety of additional markets and applications, including molecular diagnostics.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were founded in 1999. In the first quarter of 2003, we introduced our first product line, the Topaz system for protein crystallization based on our first generation Topaz IFC. In subsequent years, we enhanced the capability of the Topaz system by introducing IFCs with increased throughput. Prior to 2007, Topaz system products accounted for substantially all of our product revenue. In the fourth quarter of 2006, we announced the commercial availability of our BioMark system. We currently sell two types of single-use IFCs for use with the BioMark system, the Dynamic Array for gene expression and genotyping and the Digital Array for digital PCR.</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have incurred significant losses since our inception, including net losses of $16.4 million, $23.6 million, $25.5 million and $6.6 million in 2005, 2006, 2007 and the three months ended March 29, 2008. As of March 29, 2008, we had an accumulated deficit of $140.4 million. We sell our IFC systems around the world. For 2007 and the three months ended March 29, 2008, customers in North America accounted for approximately 48% and 51% of our total revenue while European customers accounted for 10% and 12% and Asian customers accounted for 42% and 31%. We distribute our systems through our direct field sales and support organizations located in North America, Europe and Asia and through distributors or sales agents in several European countries. Our manufacturing operations are located in Singapore and South San Francisco. Our facility in Singapore fabricates all of our IFCs for commercial sale and some IFCs for our own research and development purposes and assembles certain elements of our BioMark and Topaz instrumentation. Our South San Francisco facility also assembles certain elements of our BioMark and Topaz instrumentation and fabricates IFCs for our own research and development purposes.</w:t>
      </w:r>
    </w:p>
    <w:p>
      <w:pPr>
        <w:spacing w:after="0" w:line="5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Since 2002, we have received significant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agreed upon targets for increasing levels of research, development and manufacturing activity in Singapore, including the use of local service providers, the hiring of personnel in Singapore, local spending in Singapore, our receipt of new equity investment, and our achievement of agreed upon targets relating to new product development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9" w:lineRule="auto"/>
        <w:rPr>
          <w:sz w:val="20"/>
          <w:szCs w:val="20"/>
          <w:color w:val="auto"/>
        </w:rPr>
      </w:pPr>
      <w:r>
        <w:rPr>
          <w:rFonts w:ascii="Arial" w:cs="Arial" w:eastAsia="Arial" w:hAnsi="Arial"/>
          <w:sz w:val="12"/>
          <w:szCs w:val="12"/>
          <w:color w:val="auto"/>
        </w:rPr>
        <w:t>or completion of specific manufacturing process objectives. If we satisfy the grant conditions, we receive incentive grant payments equal to a portion of the qualifying expenses we incur in Singapore, relating to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 Together these agreements provide for incentive funding eligibility through 2011, subject to our compliance with the requirements of these agreements.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we have entered into collaboration and license agreements with other parties that generally provide us with up-front and periodic milestone fees or fees based on agreed upon rates for time incurred by our research staff.</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Year Presentation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During the year ended December 29, 2007, we adopted a 52 or 53 week year convention for our fiscal years and, therefore, our 2007 fiscal year ended on December 29, 2007 and the first three-month periods of 2007 and 2008 ended on March 31, 2007 and March 29, 2008. Future fiscal years will end on the last Saturday in December of each year. Prior to the adoption of this method, we reported our fiscal years on a calendar basis. The fiscal years discussed in this management’s discussion and analysis of financial condition and results of operations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Significant Judgments and Estimates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generate revenue from sales of our products and services, collaboration agreements and government grants. Our products consist of single-use IFCs, various instruments and software related to our BioMark and Topaz systems. Our services include system installation, training and customer support services. We also have entered into a number of research and development contracts and have received government grants to conduct research and development activities.</w:t>
      </w:r>
    </w:p>
    <w:p>
      <w:pPr>
        <w:spacing w:after="0" w:line="67"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 xml:space="preserve">We record revenue in accordance with the guidelines established by the Securities and Exchange Commission, or SEC,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or SAB 104. In addition, we have concluded that software included with certain of our instruments is essential to their functionality. In these instances, we apply AICPA Statement of Position 97-2, </w:t>
      </w:r>
      <w:r>
        <w:rPr>
          <w:rFonts w:ascii="Arial" w:cs="Arial" w:eastAsia="Arial" w:hAnsi="Arial"/>
          <w:sz w:val="12"/>
          <w:szCs w:val="12"/>
          <w:i w:val="1"/>
          <w:iCs w:val="1"/>
          <w:color w:val="auto"/>
        </w:rPr>
        <w:t>Software Revenue Recognition</w:t>
      </w:r>
      <w:r>
        <w:rPr>
          <w:rFonts w:ascii="Arial" w:cs="Arial" w:eastAsia="Arial" w:hAnsi="Arial"/>
          <w:sz w:val="12"/>
          <w:szCs w:val="12"/>
          <w:color w:val="auto"/>
        </w:rPr>
        <w:t xml:space="preserve">, or SOP 97-2. If the arrangement includes IFCs, we use the separation criteria in EITF Issue No. 00-21, </w:t>
      </w:r>
      <w:r>
        <w:rPr>
          <w:rFonts w:ascii="Arial" w:cs="Arial" w:eastAsia="Arial" w:hAnsi="Arial"/>
          <w:sz w:val="12"/>
          <w:szCs w:val="12"/>
          <w:i w:val="1"/>
          <w:iCs w:val="1"/>
          <w:color w:val="auto"/>
        </w:rPr>
        <w:t>Revenue Arrangements with Multiple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Deliverables, </w:t>
      </w:r>
      <w:r>
        <w:rPr>
          <w:rFonts w:ascii="Arial" w:cs="Arial" w:eastAsia="Arial" w:hAnsi="Arial"/>
          <w:sz w:val="12"/>
          <w:szCs w:val="12"/>
          <w:color w:val="auto"/>
        </w:rPr>
        <w:t>to separate revenues related to IFCs, which are non-software related deliverables, from software related deliverables. Revenue is recognized when all of the following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are met: persuasive evidence of an arrangement exists, delivery has occurred or services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recognition is deferred until the time collection becomes reasonably assured, which is generally upon receipt of payment. We also use judgment to assess whether a price is fixed or determinable by reviewing contractual terms and conditions related to payment terms.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and thereafter, no right of return existed for our products. In prior years, if an agreement included a right of return, the related revenue was deferred until the right had lapsed. Historically, we have not experienced any significant returns of our products. Also, accruals are provided for estimated warranty expenses at the time that the associated revenue is recognized. We use judgment to estimate these accruals and, if we were to experience an increase in warranty claims or if costs of servicing our products under warranty were greater than our estimates, our gross margins could be adversely affected in future periods.</w:t>
      </w:r>
    </w:p>
    <w:p>
      <w:pPr>
        <w:spacing w:after="0" w:line="7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Some of our sales contracts which include items such as our BioMark instrument systems or our Topaz readers involve the delivery or performance of multiple products and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price should be allocated among the elements, when to recognize revenue for each element, and the period over which revenue should be recognized. We use judgment to evaluate whether a delivered item has value on a stand-alone basis prior to delivery of the remaining items by determining whether we have made separate sales of such items or whether the undelivered items are essential to the functionality of the delivered items. Further, we use judgment to evaluate whether there is vendor-specific objective evidence, or VSOE, of fair value of the undelivered items, determined by reference to stand-alone sales of such items. We recognize revenue for delivered elements only when we determine that the fair values of undelivered elements are known. For a multiple element arrangement that includes both IFCs and instruments we separate these elements into separate units of accounting as we consider these elements to have standalone value to the customer. We recognize revenue for the IFCs under SAB 104 and the instruments under SAB 104 or SOP 97-2, as applicable. If the fair value of any undelivered item related to instruments and software included in a multiple element arrangement cannot be objectively determined, revenue will be deferred until all items are delivered, or until fair value can objectively be determined for any remaining undelivered items. However, if the only such undelivered element is post-contract customer support services, such as maintenance agreements, the entire revenue is recognized ratably over the service period. Recognition of revenue from these arrangements generally begins upon installation of the instruments as installation is deemed essential to the functionality of the instruments. The corresponding costs of products sold related to multiple element arrangements are also deferred and amortized over the same period.</w:t>
      </w:r>
    </w:p>
    <w:p>
      <w:pPr>
        <w:spacing w:after="0" w:line="21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deferred revenue balance increased by $1.6 million during 2007 and decreased by $0.1 million during the three months ended March 29, 2008. The increase during 2007 was primarily due to the increase in sales of our BioMark instrument systems, all of which included maintenance agreements. Although there was a slight decrease in deferred revenue during the three months ended March 29, 2008, we expect our deferred revenue balance to continue to increase until we are able to establish VSOE of the fair value of the post-contract customer support. We expect to establish VSOE for post-contract customer support as we enter into renewal agreements for maintenance with our customers upon the expiration of the initial agreements; however, we are not able to estimate when that will occur.</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Changes in judgments and estimates regarding application of these revenue recognition guidelines as well as changes in facts and circumstances including the establishment of VSOE of fair value could result in a change in the timing or amount of revenue recognized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Revenue from the sales of our products that are not part of a multiple element arrangement is recognized when no significant obligations remain undelivered and collection of the receivables is reasonably assured, which is generally upon shipment of the product and transfer of title to the customer.</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entered into collaboration research and development arrangements that generally provide us with up-front and periodic milestone fees or fees based on agreed upon rates for time incurred by our research staff. Revenue is recognized either ratably over the term of the agreement or as time is incurred on the project. Revenue from government grants is for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Prior to January 1, 2006, we accounted for our stock options granted to employees using the intrinsic value method prescribed by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or APB 25, and related interpretations as permitted by Statement of Financial Accounting Standards, or SFAS No. 123,</w:t>
      </w:r>
      <w:r>
        <w:rPr>
          <w:rFonts w:ascii="Arial" w:cs="Arial" w:eastAsia="Arial" w:hAnsi="Arial"/>
          <w:sz w:val="12"/>
          <w:szCs w:val="12"/>
          <w:i w:val="1"/>
          <w:iCs w:val="1"/>
          <w:color w:val="auto"/>
        </w:rPr>
        <w:t xml:space="preserve"> Accounting for Stock-Based Compensation</w:t>
      </w:r>
      <w:r>
        <w:rPr>
          <w:rFonts w:ascii="Arial" w:cs="Arial" w:eastAsia="Arial" w:hAnsi="Arial"/>
          <w:sz w:val="12"/>
          <w:szCs w:val="12"/>
          <w:color w:val="auto"/>
        </w:rPr>
        <w:t>, or SFAS 123, and SFAS No. 148,</w:t>
      </w:r>
      <w:r>
        <w:rPr>
          <w:rFonts w:ascii="Arial" w:cs="Arial" w:eastAsia="Arial" w:hAnsi="Arial"/>
          <w:sz w:val="12"/>
          <w:szCs w:val="12"/>
          <w:i w:val="1"/>
          <w:iCs w:val="1"/>
          <w:color w:val="auto"/>
        </w:rPr>
        <w:t xml:space="preserve"> Accounting for Stock-Based Compensation — Transaction and Disclosure</w:t>
      </w:r>
      <w:r>
        <w:rPr>
          <w:rFonts w:ascii="Arial" w:cs="Arial" w:eastAsia="Arial" w:hAnsi="Arial"/>
          <w:sz w:val="12"/>
          <w:szCs w:val="12"/>
          <w:color w:val="auto"/>
        </w:rPr>
        <w:t>, or SFAS 148. Accordingly, any compensation cost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relating to stock options was recorded on the date of the grant in stockholders’ equity as deferred compensation and was thereafter amortized to expense over the vesting period of the grant, which was generally four years. We amortized deferred stock-based compensation using the multiple option method as prescribed by FASB Interpretation No. 28, </w:t>
      </w:r>
      <w:r>
        <w:rPr>
          <w:rFonts w:ascii="Arial" w:cs="Arial" w:eastAsia="Arial" w:hAnsi="Arial"/>
          <w:sz w:val="12"/>
          <w:szCs w:val="12"/>
          <w:i w:val="1"/>
          <w:iCs w:val="1"/>
          <w:color w:val="auto"/>
        </w:rPr>
        <w:t>Accounting for Stock</w:t>
      </w:r>
      <w:r>
        <w:rPr>
          <w:rFonts w:ascii="Arial" w:cs="Arial" w:eastAsia="Arial" w:hAnsi="Arial"/>
          <w:sz w:val="12"/>
          <w:szCs w:val="12"/>
          <w:color w:val="auto"/>
        </w:rPr>
        <w:t xml:space="preserve"> </w:t>
      </w:r>
      <w:r>
        <w:rPr>
          <w:rFonts w:ascii="Arial" w:cs="Arial" w:eastAsia="Arial" w:hAnsi="Arial"/>
          <w:sz w:val="12"/>
          <w:szCs w:val="12"/>
          <w:i w:val="1"/>
          <w:iCs w:val="1"/>
          <w:color w:val="auto"/>
        </w:rPr>
        <w:t>Appreciation Rights and Other Variable Stock Option or Award Plans</w:t>
      </w:r>
      <w:r>
        <w:rPr>
          <w:rFonts w:ascii="Arial" w:cs="Arial" w:eastAsia="Arial" w:hAnsi="Arial"/>
          <w:sz w:val="12"/>
          <w:szCs w:val="12"/>
          <w:color w:val="auto"/>
        </w:rPr>
        <w:t>, or FIN 28, over the option vesting period using an accelerated amortization schedule.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fair value recognition provisions of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or SFAS 123(R), which requires companies to measure the cost of employee services received in exchange for an award of equity instruments, including stock options, based on the grant date fair value of the award. The fair value is estimated using the Black-Scholes option-pricing model. The resulting cost is recognized over the period during which an employee is required to provide service in exchange for the award, usually the vesting period.</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adopted SFAS 123(R) using the prospective-transition method as all prior grants were measured using the minimum value method for the pro forma disclosures previously required by SFAS 123. The prospective-transition method requires us to continue to apply APB 25 in future periods to equity awards outstanding at the date of our adoption of SFAS 123(R) on January 1, 2006. Under the prospective-transition method, any compensation costs that will be recognized from January 1, 2006 will include only: (a) compensation cost for all stock-based awards granted prior to, but not yet vested as of, December 31, 2005, based on the intrinsic value method in accordance with the provisions of ABP 25; and (b) compensation cost for all stock-based awards granted or modified subsequent to December 31, 2005, net of estimated forfeitures, based on the grant date fair value estimated in accordance with the provisions of SFAS 123(R). We amortize the fair value of stock-based compensation under SFAS 123(R) on a straight-line basis. In accordance with the prospective-transition method as prescribed under SFAS 123(R), results for prior periods are not restated.</w:t>
      </w:r>
    </w:p>
    <w:p>
      <w:pPr>
        <w:spacing w:after="0" w:line="7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account for stock options issued to nonemployees in accordance with the provisions of SFAS 123(R) and EITF Issue No.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Issued to Other Than Employees for Acquiring, or in Conjunction with Selling, Goods or Services, </w:t>
      </w:r>
      <w:r>
        <w:rPr>
          <w:rFonts w:ascii="Arial" w:cs="Arial" w:eastAsia="Arial" w:hAnsi="Arial"/>
          <w:sz w:val="12"/>
          <w:szCs w:val="12"/>
          <w:color w:val="auto"/>
        </w:rPr>
        <w:t>or EITF 96-18. In accordance with SFAS 123(R) and EITF 96-18, 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nonemployees are accounted for at their estimated fair value determined using the Black-Scholes option-pricing model. The fair value of the options granted to nonemployees is remeasured as they vest, and the resulting increase in value, if any, is recognized as expense during the period the related services are rendered.</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use the Black-Scholes option-pricing model to calculate the fair value of our options on the grant date. This model requires inputs such as expected term, expected volatility and risk-free interest rate. Further, the forfeiture rate also affects the amount of aggregate compensation. These inputs are subjective and generally require significant judgment.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Our historical volatility is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Given our limited history to accurately estimate the expected lives for the various employee groups, we used the ‘simplified’ method as provided by Staff Accounting Bulletin No. 107, </w:t>
      </w:r>
      <w:r>
        <w:rPr>
          <w:rFonts w:ascii="Arial" w:cs="Arial" w:eastAsia="Arial" w:hAnsi="Arial"/>
          <w:sz w:val="12"/>
          <w:szCs w:val="12"/>
          <w:i w:val="1"/>
          <w:iCs w:val="1"/>
          <w:color w:val="auto"/>
        </w:rPr>
        <w:t>Share Based Payment</w:t>
      </w:r>
      <w:r>
        <w:rPr>
          <w:rFonts w:ascii="Arial" w:cs="Arial" w:eastAsia="Arial" w:hAnsi="Arial"/>
          <w:sz w:val="12"/>
          <w:szCs w:val="12"/>
          <w:color w:val="auto"/>
        </w:rPr>
        <w:t>. The ‘simplified’ method is calculated as the average of the time-to-vesting and the contractual life of the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on January 1, 2006 upon the adoption of SFAS 123(R), the fair value of each new option awarded was estimated on the grant date for the periods below using the Black-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the following weighted-average assumptions: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8"/>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5"/>
              </w:rPr>
              <w:t>March 29, 2008</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58"/>
              <w:spacing w:after="0"/>
              <w:rPr>
                <w:sz w:val="20"/>
                <w:szCs w:val="20"/>
                <w:color w:val="auto"/>
              </w:rPr>
            </w:pPr>
            <w:r>
              <w:rPr>
                <w:rFonts w:ascii="Arial" w:cs="Arial" w:eastAsia="Arial" w:hAnsi="Arial"/>
                <w:sz w:val="13"/>
                <w:szCs w:val="13"/>
                <w:color w:val="auto"/>
                <w:w w:val="92"/>
              </w:rPr>
              <w:t>63.0%</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6"/>
              </w:rPr>
              <w:t>54.7%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5.9 years</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4.4%</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c>
          <w:tcPr>
            <w:tcW w:w="1980" w:type="dxa"/>
            <w:vAlign w:val="bottom"/>
            <w:gridSpan w:val="2"/>
          </w:tcPr>
          <w:p>
            <w:pPr>
              <w:jc w:val="center"/>
              <w:ind w:left="234"/>
              <w:spacing w:after="0"/>
              <w:rPr>
                <w:sz w:val="20"/>
                <w:szCs w:val="20"/>
                <w:color w:val="auto"/>
              </w:rPr>
            </w:pPr>
            <w:r>
              <w:rPr>
                <w:rFonts w:ascii="Arial" w:cs="Arial" w:eastAsia="Arial" w:hAnsi="Arial"/>
                <w:sz w:val="13"/>
                <w:szCs w:val="13"/>
                <w:color w:val="auto"/>
                <w:w w:val="84"/>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revenue, sales and marketing expense, research and development expense, and general and administrative expense.</w:t>
      </w:r>
    </w:p>
    <w:p>
      <w:pPr>
        <w:spacing w:after="0" w:line="7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during 2006, 2007 and the three months ended March 29, 2008 was insignificant. We will continue to use judgment in evaluating the expected term, volatility and forfeiture rate related to our own stock-based compensation on a prospective basis and incorporating these factors into the Black-Scholes option-pricing model.</w:t>
      </w:r>
    </w:p>
    <w:p>
      <w:pPr>
        <w:spacing w:after="0" w:line="7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Also required for the fair value calculation of the options is the fair value of the underlying common stock. We have historically granted stock options with exercise prices no less than the fair market value of our common stock as determined at the date of grant by our Board of Directors with input from management. The following table summarizes, by grant date, the number of stock options granted since January 1, 2007 and the associated per share exercise price, which equaled the fair value of our common stock for each of these grants.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 of</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1,613,500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February 7, 2008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723,500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Given the absence of an active market for our common stock prior to this offering, our Board of Directors determined the fair value of our common stock for our grants of stock options. Our Board of Directors determined the estimated fair value of our common stock based in part on an analysis of relevant metrics, including the following:</w:t>
      </w:r>
    </w:p>
    <w:p>
      <w:pPr>
        <w:spacing w:after="0" w:line="35"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prices of our convertible preferred stock sold to outside investors in arms-length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rights, preferences and privileges of our convertible preferred stock relative to those of our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rights of freestanding warrants and other similar instruments related to shares that are redeemable;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operating and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hiring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introduction of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fact that the option grants involve illiquid securities in a private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risks inherent in the development and expansion of our products and services;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likelihood of achieving a liquidity event, such as an initial public offering or sale of our company given prevailing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January 2007 through March 2008, our Board of Directors performed contemporaneous valuations of our common stock for each grant of stock options during this period.</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valuations were prepared using the market approach and the income approach to estimate our aggregate enterprise value at each valuation date. The market approach measures the value of a company through the analysis of recent sales of comparable companies. Consideration is given to the financial condition and operating performance of the company being valued relative to those of publicly traded companies operating in the same or similar lines of business. When choosing the comparable companies to be used for the market approach, we focused on companies in the life science industry. Some of the specific criteria used to select comparable companies within this industry include the business description, business size, projected growth, financial condition and historical earnings. The income approach measures the value of a company as the present value of its future economic benefits by applying an appropriate risk-adjusted discount rate to expected cash flows, based on forecasted revenue and costs. We prepared a financial forecast for each valuation report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 xml:space="preserve">In assessing the fair value of our common stock, our Board of Directors applied an equal weighting to the value indications presented by the income approach and market approach. In order to arrive at the estimated fair value of our common stock, the indicated enterprise value of our company calculated at each valuation date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Also, we considered the fact that our stockholders cannot freely trade our common stock in the public markets. Therefore, the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common stock at each grant date reflected a non-marketability discount.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inherent uncertainty in these estimates and if we had made different assumptions than those described above, the amount of our stock-based compensation expense, net loss and net loss per share amounts could have been significantly different.</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Board of Directors performed a contemporaneous valuation in order to determine the fair value of our common stock for the grant of options on May 8, 2007 which indicated a fair value of $1.36 per share for our common stock. Our Board of Directors performed a second contemporaneous valuation in order to update the determination of the fair value of our common stock for the grant of options on September 20, 2007 which indicated a fair value of $1.38 per share for our common stock. The increase in the fair value between the contemporaneous valuation performed for the grant of options on May 8, 2007 and the date of this contemporaneous valuation was minimal, however, it relates mostly to a slight decrease in the non-marketability discount rate and the time to a liquidity event. Our Board of Directors performed another contemporaneous valuation in order to update the determination of the fair value of our common stock for the grant of options on December 28, 2007 which indicated a fair value of $2.40 per share for our common stock. The increase in the fair value between the contemporaneous valuation performed for the grant of options on September 20, 2007 and December 28, 2007 valuation relates mostly to the decrease in the non-marketability discount rate, the risk-adjusted discount and the time to a liquidity event.</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recorded stock-based compensation of $5,000, $0.1 million, $0.7 million and $0.2 million during 2005, 2006, 2007 and the three months ended March 29, 2008. Included in these amounts was employee stock-based compensation of $0, $0.1 million, $0.5 million and $0.2 million, and nonemployee stock-based compensation of $5,000, $59,000, $0.2 million and $50,000 during 2005, 2006, 2007 and the three months ended March 29, 2008. In future periods, stock-based compensation expense is expected to increase as a result of our existing unrecognized stock-based compensation and as we issue additional stock-based awards to continue to attract and retain employees and nonemployee directors. Additionally, SFAS 123(R) requires that we recognize compensation expense only for the portion of stock options that are expected to vest. If the actual rate of forfeitures differs from that estimated by management, we may be required to record adjustments to stock-based compensation expense in future periods. As of December 29, 2007 and March 29, 2008, we had $1.7 million and $2.5 million of unrecognized stock-based compensation costs related to stock options granted under our 1999 Stock Option Plan, which is expected to be recognized over an average period of 2.9 and 2.6 years.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management judgment is required in determining our provision for income taxes, our deferred tax assets and liabilities and any valuation allowance recorded against our net deferred tax assets. We have recorded a full valuation allowance on our net deferred tax assets as of December 31, 2006, December 29, 2007 and March 29, 2008 due to uncertainties related to our ability to utilize our deferred tax assets in the foreseeable future. These deferred tax assets primarily consist of certain net operating loss carryforwards and research and development tax credits.</w:t>
      </w:r>
    </w:p>
    <w:p>
      <w:pPr>
        <w:spacing w:after="0" w:line="7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 xml:space="preserve">We adopted FASB Interpretation No. 48, </w:t>
      </w:r>
      <w:r>
        <w:rPr>
          <w:rFonts w:ascii="Arial" w:cs="Arial" w:eastAsia="Arial" w:hAnsi="Arial"/>
          <w:sz w:val="12"/>
          <w:szCs w:val="12"/>
          <w:i w:val="1"/>
          <w:iCs w:val="1"/>
          <w:color w:val="auto"/>
        </w:rPr>
        <w:t>Accounting for Uncertainties in Income Taxes — an interpretation of FASB Statement No. 109</w:t>
      </w:r>
      <w:r>
        <w:rPr>
          <w:rFonts w:ascii="Arial" w:cs="Arial" w:eastAsia="Arial" w:hAnsi="Arial"/>
          <w:sz w:val="12"/>
          <w:szCs w:val="12"/>
          <w:color w:val="auto"/>
        </w:rPr>
        <w:t>, or FIN 48, effective January 1, 2007. FIN 48 requires us to recognize the financial statement effects of a tax position when it is more likely 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record adjustments to inventory for potentially excess, obsolete or impaired goods in order to state inventory at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Warrants to Purchase Convertible Preferred Stock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freestanding warrants related to shares that are redeemable in accordance with FASB Staff Position No. 150-5, </w:t>
      </w:r>
      <w:r>
        <w:rPr>
          <w:rFonts w:ascii="Arial" w:cs="Arial" w:eastAsia="Arial" w:hAnsi="Arial"/>
          <w:sz w:val="12"/>
          <w:szCs w:val="12"/>
          <w:i w:val="1"/>
          <w:iCs w:val="1"/>
          <w:color w:val="auto"/>
        </w:rPr>
        <w:t>Issuer’s Accounting Under FASB Statement No. 150 for</w:t>
      </w:r>
      <w:r>
        <w:rPr>
          <w:rFonts w:ascii="Arial" w:cs="Arial" w:eastAsia="Arial" w:hAnsi="Arial"/>
          <w:sz w:val="12"/>
          <w:szCs w:val="12"/>
          <w:color w:val="auto"/>
        </w:rPr>
        <w:t xml:space="preserve"> </w:t>
      </w:r>
      <w:r>
        <w:rPr>
          <w:rFonts w:ascii="Arial" w:cs="Arial" w:eastAsia="Arial" w:hAnsi="Arial"/>
          <w:sz w:val="12"/>
          <w:szCs w:val="12"/>
          <w:i w:val="1"/>
          <w:iCs w:val="1"/>
          <w:color w:val="auto"/>
        </w:rPr>
        <w:t>Freestanding Warrants and Other Similar Instruments on Shares That Are Redeemable</w:t>
      </w:r>
      <w:r>
        <w:rPr>
          <w:rFonts w:ascii="Arial" w:cs="Arial" w:eastAsia="Arial" w:hAnsi="Arial"/>
          <w:sz w:val="12"/>
          <w:szCs w:val="12"/>
          <w:color w:val="auto"/>
        </w:rPr>
        <w:t>, or 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shares of our convertible preferred stock are classified as liabilities on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sheets at fair value because the warrants may conditionally obligate us to transfer assets at some point in the future. The warrants are subject to remeasurement at each balance sheet date, and any change in fair value will be recognized as a component of other income (expense), net in the consolidated statements of operations. We estimated the fair value of these warrants at the respective balance sheet dates using the Black-Scholes option-pricing model. A number of our assumptions used in the Black-Scholes option-pricing model, especially the market value and the expected volatility, are highly judgmental and could differ materially in the future.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will continue to record adjustments to the fair value of the warrants until they are exercised, expire or, upon the closing of this offering, become warrants to purchase shares of our common stock, wherein the warrants will no longer be subject to FSP 150-5. At that time, the then-current aggregate fair value of these warrants will be reclassified from current liabilities to additional paid-in capital, a component of stockholders’ equity, and we will cease to record any related periodic fair value adjustments. Upon the closing of this offering, the preferred stock warrants will be converted into common stock warrants with the same exercise prices and expiration 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revenue by source for each period presented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1,917</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Grant revenue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2,364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generate revenue from sales of our products, collaboration agreements and government grants. Our products consist of single-use IFCs, various instruments, software and service related to our BioMark and Topaz systems. We also have entered into a number of research and development contracts and have received government grants to conduct research and development activities.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Total 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total revenue increased $0.9 million, or 60%, for the three months ended March 29, 2008 compared to the three months ended March 31, 2007. Total revenue increased</w:t>
      </w:r>
    </w:p>
    <w:p>
      <w:pPr>
        <w:spacing w:after="0" w:line="27"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$0.9 million, or 14%, for 2007 as compared to 2006, and decreased by $1.3 million, or 17%, for 2006 as compared to 2005. Total revenue from our five largest customers comprised 48%, 56%, 47% and 40% of revenue in 2005, 2006, 2007 and the three months ended March 29,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we expand our business through Europe and Asia, we expect our sales from outside of North America to increase as a percentage of our revenue. The following table presents our revenue by geography based on the billing address of our customers for each period presented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5,557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3,807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3,492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672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6"/>
              </w:rPr>
              <w:t>1,278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Singapore</w:t>
            </w:r>
          </w:p>
        </w:tc>
        <w:tc>
          <w:tcPr>
            <w:tcW w:w="8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879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1,972</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463</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470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1,274</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Europe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189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735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318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289</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7,674</w:t>
            </w:r>
          </w:p>
        </w:tc>
        <w:tc>
          <w:tcPr>
            <w:tcW w:w="3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6,398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7,275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1,568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2,514</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2"/>
        </w:trPr>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derive product revenue from sales to biotechnology and pharmaceutical companies, academic institutions and life science laboratories worldwide. These sales are generally made through direct sales personnel to customers in North America, Asia and most of Europe and through distributors in parts of Europe and Asia.</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Product revenue increased $1.2 million, or 158%, for the three months ended March 29, 2008 compared to the three months ended March 31, 2007. The increase relates mostly to the increase in sales of our BioMark instrument systems and related IFC’s in the amount of $1.0 million, as we sold five BioMark instrument systems for the three months ended March 29, 2008 compared to one BioMark instrument system for the three months ended March 31, 2007. Sales of our Topaz instrument systems and related IFC’s increased $0.1 million for the three months ended March 29, 2008 compared to the three months ended March 31, 2007.</w:t>
      </w:r>
    </w:p>
    <w:p>
      <w:pPr>
        <w:spacing w:after="0" w:line="70"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Product revenue for 2007 increased by $0.5 million, or 12%, compared to 2006. Revenues from our BioMark instrument systems and related IFCs which were introduced in late 2006 increased by $1.3 million, as we sold 14 BioMark instrument systems during 2007 compared to three BioMark instrument systems during 2006. This increase, however, was mostly offset by a decrease of $1.2 million related to a decrease in the sales of our Topaz IFCs. The unit sales of our Topaz instrument systems remained constant as we sold 10 Topaz instrument systems during both 2006 and 2007. In addition, our deferred revenue balance increased from $1.8 million at December 31, 2006 to $3.4 million at December 29, 2007 as we sold more BioMark instrument systems as part of multiple element arrangements for which we did not have VSOE on post-contract support. We recognized $1.0 million of the deferred revenue balance at December 31, 2006 during 2007. We expect the current portion of our deferred revenue balance as of December 29, 2007 in the amount of $2.6 million will be recognized as revenue during 2008. Product revenue for 2006 decreased by $2.1 million, or 35%, when compared to 2005. The decrease was primarily due to a decrease in the sales of our Topaz instrument systems as we sold 10 Topaz instrument systems during 2006 compared to 16 Topaz instrument systems during 2005; however, sales of our Topaz IFCs remained relatively consistent with 2005.</w:t>
      </w:r>
    </w:p>
    <w:p>
      <w:pPr>
        <w:spacing w:after="0" w:line="4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increase in sales of our BioMark instrument systems in 2007 and the concurrent decrease in sales of our Topaz systems reflect the refocusing of our product development and sales and marketing efforts, beginning in 2005, to focus on the larger markets served by our BioMark instrument systems. Since then, we have reduced new Topaz product introductions. We will continue to manufacture and sell our Topaz instrument systems and IFCs and we expect unit sales of Topaz instrument systems and IFCs in 2008 and future periods to be consistent with or slightly lower than the 2006 and 2007 levels. We expect unit sales of our BioMark instrument systems and IFCs to increase in 2008.</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We receive payments from third parties under research and development contracts. Fixed-fee research and development contracts generally provide us with up-front and periodic milestone-based fees. Variable-fee research and development contracts generally provide us with fees based on an agreed-upon rate for time incurred by our research staff.</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Collaboration revenue decreased $0.2 million, or 70%, for the three months ended March 29, 2008 compared to the three months ended March 31, 2007. The decrease relates to the completion of one of our development agreements in the first quarter of 2007. Collaboration revenue for 2007 decreased by $0.9 million, or 67%, compared to 2006. This decrease was primarily due to the completion of one of our collaboration agreements during 2006 that accounted for $1.0 million of our 2006 collaboration revenue. Collaboration revenue for 2006 decreased by $0.2 million, or 12%, compared to 2005. The decrease was primarily due to the termination of one of our collaboration agreements in December 2005. We expect collaboration revenue to continue to decrease as we complete our current collaboration agreements, most of which are likely to terminate during 2008.</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receive payments in the form of grants from certain government entities. Government grants are agreements that generally provide incentive grant payments for specified research and development activities over a contractually defined period.</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Grant revenue decreased $0.1 million, or 11%, for the three months ended March 29, 2008 compared to the three months ended March 31, 2007. The decrease relates to the reduction in activity for the National Institutes of Health, or NIH, grant agreement that will terminate in June 2008. Grant revenue for 2007 increased by $1.3 million, or 122%, when compared to 2006, and our grant revenue for 2006 increased by $1.0 million when compared to 2005. These increases were primarily due to the addition of a grant from the NIH, which was entered into in June 2006, and grants from EDB, which were entered into in October 2005 and February 2007. We recognized revenue from the 2005 EDB grant in the amount of $0.9 million during 2006, $1.1 million during 2007 and $0.1 million for the three months ended March 29, 2008. In addition, we recognized revenue in the amount of $0.6 million during 2007 and $0.3 million during the three months ended March 29, 2008 from the 2007 EDB grant. Under our incentive grant agreements with EDB, eligible expenses incurred by us in Singapore were $4.0 million in 2006, $4.5 million in 2007 and $1.0 million in the three months ended March 29, 2008. Also, we recognized revenue from the NIH grant in the amount of $0.2 million during 2006 and $0.6 million during 2007.</w:t>
      </w:r>
    </w:p>
    <w:p>
      <w:pPr>
        <w:spacing w:after="0" w:line="7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agreements with EDB provide that grants extended to us in the past and future grants are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during the three years ended December 29, 2007 included completion of feasibility studies and prototype development, establishment of manufacturing lines, implementation of quality control improvements, manufacturing process simplification and cost improvements and manufacturing yield improvements for our Topaz and BioMark IFCs and related systems. These agreements further provide EDB with the right to demand repayment of a portion of past grants in the event that we did not meet our obligations under the applicable agreements. Based on correspondence with EDB, we believe we have satisfied the conditions applicable to our EDB grant revenue through March 29, 2008.</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Although the NIH grant is scheduled to terminate in June 2008, we expect grant revenue from the EDB research grants to increase in 2008 and remain at such levels through 2011. As a result, we expect our total grant revenue in 2008 through 2011 to be consistent with 2007 levels.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Product Revenue and Gross Margin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cost of revenue and gross margin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7"/>
                <w:szCs w:val="7"/>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4,764</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  2,773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  3,514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847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3"/>
                <w:szCs w:val="13"/>
                <w:color w:val="auto"/>
              </w:rPr>
              <w:t>Gross margin</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Cost of product revenue includes manufacturing costs incurred in the production process, including component materials, assembly labor and overhead, testing, installation, warranty, packaging and delivery costs.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addition, cost of product revenue includes royalty expenses for licensed technologies included in our products, provisions for warranties and stock-based compensation expense. Costs related to collaboration and government grant revenue are included in research and development expense.</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2"/>
          <w:szCs w:val="12"/>
          <w:color w:val="auto"/>
        </w:rPr>
        <w:t>Cost of product revenue increased $0.4 million, or 53%, for the three months ended March 29, 2008 compared to the three months ended March 31, 2007. The increase related to the increase of product revenue from both higher instrument and IFC sales. Cost of product revenue in the first three months of 2007 was adversely affected by start-up costs for our new Singapore manufacturing facility and underutilized capacity as we transitioned manufacturing from the United States to Singapore. Cost of product revenue for 2007 increased $0.7 million, or 27%, compared to 2006, primarily driven by higher instrument sales, start-up costs for our new Singapore manufacturing facility and underutilized capacity as we transitioned manufacturing from the United States to Singapore. Additionally we wrote-off obsolete raw materials in 2007 in the amount of $0.2 million, which decreased our gross margin by</w:t>
      </w:r>
    </w:p>
    <w:p>
      <w:pPr>
        <w:ind w:left="680" w:right="180"/>
        <w:spacing w:after="0" w:line="327" w:lineRule="auto"/>
        <w:rPr>
          <w:sz w:val="20"/>
          <w:szCs w:val="20"/>
          <w:color w:val="auto"/>
        </w:rPr>
      </w:pPr>
      <w:r>
        <w:rPr>
          <w:rFonts w:ascii="Arial" w:cs="Arial" w:eastAsia="Arial" w:hAnsi="Arial"/>
          <w:sz w:val="11"/>
          <w:szCs w:val="11"/>
          <w:color w:val="auto"/>
        </w:rPr>
        <w:t>5 percentage points. Cost of product revenue for 2006 decreased by $2.0 million, or 42%, when compared to 2005, primarily driven by a decrease in sales of our Topaz instruments during 2006. We expect our unit costs to decline in future periods as a result of our ongoing efforts to automate our manufacturing processes and expected increases in production volumes and yields. However, improvement in unit costs may be offset by increasing price competition, which could cause our gross margins to fluctuate from year-to-year and quarter-to-quarter.</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operating expenses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ind w:left="32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11,449</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15,589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3,473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3,280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2,758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19,404</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25,288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6,231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7,743</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180" w:firstLine="399"/>
        <w:spacing w:after="0" w:line="334" w:lineRule="auto"/>
        <w:rPr>
          <w:sz w:val="20"/>
          <w:szCs w:val="20"/>
          <w:color w:val="auto"/>
        </w:rPr>
      </w:pPr>
      <w:r>
        <w:rPr>
          <w:rFonts w:ascii="Arial" w:cs="Arial" w:eastAsia="Arial" w:hAnsi="Arial"/>
          <w:sz w:val="11"/>
          <w:szCs w:val="11"/>
          <w:color w:val="auto"/>
        </w:rPr>
        <w:t>Research and development expense is the largest component of our operating expenses and consists primarily of personnel costs, independent contractor costs, prototype expenses and other allocated facilities and information technology expenses. We have made substantial investments in research and development since our inception. Our research and development efforts have focused primarily on the tasks required to optimize our technologies and to support commercialization of the products and services derived from these technologies.</w:t>
      </w:r>
    </w:p>
    <w:p>
      <w:pPr>
        <w:spacing w:after="0" w:line="32" w:lineRule="exact"/>
        <w:rPr>
          <w:sz w:val="20"/>
          <w:szCs w:val="20"/>
          <w:color w:val="auto"/>
        </w:rPr>
      </w:pPr>
    </w:p>
    <w:p>
      <w:pPr>
        <w:ind w:left="680" w:right="140" w:firstLine="399"/>
        <w:spacing w:after="0" w:line="255" w:lineRule="auto"/>
        <w:rPr>
          <w:sz w:val="20"/>
          <w:szCs w:val="20"/>
          <w:color w:val="auto"/>
        </w:rPr>
      </w:pPr>
      <w:r>
        <w:rPr>
          <w:rFonts w:ascii="Arial" w:cs="Arial" w:eastAsia="Arial" w:hAnsi="Arial"/>
          <w:sz w:val="13"/>
          <w:szCs w:val="13"/>
          <w:color w:val="auto"/>
        </w:rPr>
        <w:t>Research and development expense decreased $0.2 million, or 6%, for the three months ended March 29, 2008 compared to the three months ended March 31, 2007. The decrease relates to a decrease of $0.3 million in supply costs and $0.2 million in license costs partially offset by a $0.4 million increase in compensation costs due to increased research and development headcount. Research and development expense decreased in 2007 by $1.2 million, or 8%, compared to 2006, primarily due to decrease contractor costs of $0.7 million and decreased research and development license costs of $0.3 million. Research and development expense for 2006 increased by $4.1 million, or 36%, compared to 2005, primarily due to increased compensation costs of $2.1 million due mostly to a significant increase in research and development headcount and $0.1 million related to the adoption of SFAS 123(R) during 2006, $0.6 million attributable to increased contractor expenses, $0.6 million in increased license costs and royalties, and $0.2 million attributable to increased equipment costs. We believe that our continued investment in research and development is essential to a long-term competitive position and expect these expenses, including stock-based compensation, to increase in future periods.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Selling, general and administrative expense increased $1.7 million, or 62%, for the three months ended March 29, 2008 compared to the three months ended March 31, 2007. The increase relates to a $0.6 million increase for accounting and consulting services, a $0.6 million increase in compensation costs due to increased head count, a $0.2 million increase in patent filings and a $0.1 million increase in supplies. Selling, general and administrative expense for 2007 increased by $3.2 million, or 33%, compared to 2006, primarily due to increased compensation costs of $1.4 million due mostly to an increase in headcount and a $0.3 million increase in stock-based compensation over 2006, an increase of $1.4 million in spending primarily for accounting and legal services, $0.3 million resulting from increased advertising and promotions, and $0.2 million attributable to increased supplies for customer demonstrations. However, this increase was partially offset by a decrease of $0.6 million due to fewer patent filings. Selling, general administrative expense for 2006 increased by $1.7 million, or 22%, compared to 2005, primarily due to increased compensation costs of $1.1 million due to an increase in headcount, an increase of $0.6 million in spending primarily for accounting and legal services, and $0.4 million due to the filing of additional patents. We expect selling, general and administrative expense, including stock-based compensation, to significantly increase in 2008 and future periods as we continue to grow our sales, technical support, marketing and administrative headcount, support increased product sales, broaden our customer base and incur additional costs to support the growth in our business.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receive interest income from our cash and cash equivalents and our available-for-sale security balances held with certain financial institutions. Conversely, we incur interest expense from our long-term debt and convertible promissory notes and the amortization of our debt discounts related to these items. The following table presents our interest income and expense for each period presented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00" w:type="dxa"/>
            <w:vAlign w:val="bottom"/>
          </w:tcPr>
          <w:p>
            <w:pPr>
              <w:spacing w:after="0"/>
              <w:rPr>
                <w:sz w:val="20"/>
                <w:szCs w:val="20"/>
                <w:color w:val="auto"/>
              </w:rPr>
            </w:pPr>
            <w:r>
              <w:rPr>
                <w:rFonts w:ascii="Arial" w:cs="Arial" w:eastAsia="Arial" w:hAnsi="Arial"/>
                <w:sz w:val="13"/>
                <w:szCs w:val="13"/>
                <w:color w:val="auto"/>
              </w:rPr>
              <w:t>Interest income</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  340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Interest expense</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(898)</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(2,261)</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(1,227)</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Interest income increased $0.1 million, or 37%, for the three months ended March 29, 2008 compared to the three months ended March 31, 2007 due to higher average cash and available-for-sale securities balances. Interest income for 2007 increased by $0.6 million compared to 2006. The increase in interest income was due to higher cash and available-for-sale securities balances during 2007 as compared to 2006. Interest income for 2006 increased by $0.2 million compared to 2005. The increase in interest income was also primarily due to higher cash and available-for-sale securities balances during 2006 as compared to 2005. We expect interest income to increase as we invest a portion of the net proceeds from this offering in available-for-sale securities.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Interest expense decreased $0.7 million, or 59%, for the three months ended March 29, 2008 compared to the three months ended March 31, 2007 due to lower average debt balance due to conversion of the $10.0 million promissory notes in March 2007. Interest expense for 2007 increased by $0.5 million compared to 2006. The increase was primarily due to higher debt balances during 2007 as compared to 2006 primarily due to the $5.0 million convertible promissory note issued in March 2007. Interest expense for 2006 increased by $1.4 million compared to 2005. The increase was primarily due to higher debt balances from the $13.0 million Loan and Security agreement that was fully drawn by December 2005. We expect interest expense to increase if we draw on the $10.0 million credit line which is available up to July 1,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Cumulative Effect of Change in Accounting Principle</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Upon adoption of FSP 150-5 on July 1, 2005, we reclassified the fair value of warrants to purchase shares of our convertible preferred stock from stockholders’ equity to liabilities and recorded a cumulative effect of a change in accounting principle in the amount of $0.6 million during 2005 in the statement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March 29, 2008, we had $29.2 million of cash and cash equivalents and $2.0 million of available-for-sale securities. As of March 29, 2008, our working capital was</w:t>
      </w:r>
    </w:p>
    <w:p>
      <w:pPr>
        <w:spacing w:after="0" w:line="27"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$29.9 million, and we had an accumulated deficit of $140.4 million. Since our inception, we have principally funded our operations through issuances of convertible preferred stock, which have provided us with aggregate net proceeds of $162.1 million. We have also received significant funding in the form of loans and convertible note purchase agreements that have provided us with aggregate net proceeds of $36.6 million, of which $20.0 million was provided by companies affiliated with EDB.</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 in October 2005.</w:t>
      </w:r>
    </w:p>
    <w:p>
      <w:pPr>
        <w:spacing w:after="0" w:line="59"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1"/>
          <w:szCs w:val="11"/>
          <w:color w:val="auto"/>
        </w:rPr>
        <w:t>The maximum amount of grant revenue available to us under our first grant agreement with EDB from March 29, 2008 through July 31, 2010 is SG$5.5 million (approximately US$4.0 using a March 29, 2008 exchange rate), and the maximum amount of grant revenue available to us under our second grant agreement with EDB from March 29, 2008 through May 31, 2011 is SG$2.6 million (approximately US$1.9 million). To maintain eligibility for incentive grant payments under these agreements, we are required to achieve development and manufacturing milestones as agreed to by the parties. In addition, to maintain eligibility for incentive grant payments under our first grant agreement, we are required to incur annual spending in Singapore of at least SG$6.5 million (approximately US$4.7 million) in 2008 and 2009 and at least SG$8.0 million (approximately US$5.8 million) in 2010. To maintain eligibility for grant payments under our second grant agreement, we are required to incur annual spending in Singapore of at least SG$6.5 million (approximately US$4.7 million) for the 12 months ending May 31, 2009 and 2010 and at least SG$9.0 million (approximately US$6.5 million) for the 12 months ending May 31, 2011. 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IFC systems and not our IFCs themselves. Our first grant agreement also requires that we employ at least 24 research scientists and engineers in Singapore by December 31, 2009, and our second grant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The requirements of the second grant agreement may only be satisfied by personnel employed in the research and development of IFC instrumentation. As of June 30, 2008, we employed</w:t>
      </w:r>
    </w:p>
    <w:p>
      <w:pPr>
        <w:spacing w:after="0" w:line="3" w:lineRule="exact"/>
        <w:rPr>
          <w:sz w:val="20"/>
          <w:szCs w:val="20"/>
          <w:color w:val="auto"/>
        </w:rPr>
      </w:pPr>
    </w:p>
    <w:p>
      <w:pPr>
        <w:ind w:left="680" w:right="200"/>
        <w:spacing w:after="0" w:line="256" w:lineRule="auto"/>
        <w:rPr>
          <w:sz w:val="20"/>
          <w:szCs w:val="20"/>
          <w:color w:val="auto"/>
        </w:rPr>
      </w:pPr>
      <w:r>
        <w:rPr>
          <w:rFonts w:ascii="Arial" w:cs="Arial" w:eastAsia="Arial" w:hAnsi="Arial"/>
          <w:sz w:val="13"/>
          <w:szCs w:val="13"/>
          <w:color w:val="auto"/>
        </w:rPr>
        <w:t>16 research scientists and engineers involved in the research and development of our IFCs and 10 research scientists and engineers involved in the research and development of related instrumentation in Singapore. 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entered into multiple convertible note purchase agreements with Biomedical Sciences Investment Fund Pte. Ltd., or BMSIF, pursuant to which we issued convertible notes and received proceeds in the amount of $20.0 million through March 29, 2008. BMSIF is wholly-owned by EDB Investments Pte. Ltd., whose parent entity is EDB. Ultimately, each of these entities is controlled by the government of Singapore. As of March 29, 2008, the outstanding principal and accrued interest balance of our convertible note purchase agreements with BMSIF was $5.2 million, net of unamortized debt discounts of $0.2 million, all of which was converted into shares of our Series E preferred stock in April 2008.</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2002, we entered into a master security agreement with a lender under which we borrowed $3.6 million to be used for purchases of capital equipment, software and tenant improvements. The outstanding principal and accrued interest balance for this loan was paid in February 2008. Upon full payment of the debt in February 2008, restricted cash in the amount of $0.5 million was released by the lender.</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March 2005, we entered into a loan and security agreement with a lender under which we borrowed $13.0 million to be used for general corporate purposes. We are currently making equal monthly payments of $0.3 million towards the loan which is to be paid off in February 2010. The loan is subject to prepayment penalties if paid off prior to 2010. As of March 29, 2008, the outstanding principal and accrued interest balance for this loan and security agreement was $7.6 million, net of unamortized debt discounts of $25,000. In February 2008, this loan and security agreement was amended to provide us with an additional credit line in the amount of $10.0 million that we can draw upon until July 1, 2008 for general corporate purposes. Amounts drawn down under this additional line of credit plus accrued interest will be repaid in installments through June 2011 and outstanding amounts will accrue interest at the rate of 11.5% per year. As of March 29, 2008, we had not drawn down any amounts on the additional line of credit.</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March 29, 2008, we were in compliance with the above covenants with the exception of the timely delivery of our audited financial statements for 2007. In this instance, we obtained a waiver from the lender and subsequently complied with the covenant. We are currently unaware of any circumstances that would prevent us from complying with these covenants in the future.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derive cash flows from operations primarily from cash collected from the sale of our products and related services, collaboration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we expect this trend to continue for the foreseeable future as our business grows and we continue to expand into new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used by operating activities was $7.8 million for the three months ended March 29, 2008. Net cash used by operating activities primarily consisted of a net loss of</w:t>
      </w:r>
    </w:p>
    <w:p>
      <w:pPr>
        <w:spacing w:after="0" w:line="27"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$6.6 million, changes in our working capital amounts in the amount of $1.8 million and foreign exchange gain in the amount of $0.3 million, which were partially offset by non-cash expense items such as depreciation and amortization of our property and equipment in the amount of $0.4 million, adjustments to the fair value of convertible preferred stock warrants in the amount of $0.3 million, and stock-based compensation in the amount of $0.2 million.</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used by operating activities was $21.8 million during 2007. Net cash used by operating activities primarily consisted of a net loss of $25.5 million, which was partially offset by non-cash expense items such as depreciation and amortization of our property and equipment in the amount of $1.6 million, amortization of debt discounts in the amount of $0.5 million, stock-based compensation in the amount of $0.7 million, and changes in our working capital accounts in the amount of $0.5 million.</w:t>
      </w:r>
    </w:p>
    <w:p>
      <w:pPr>
        <w:spacing w:after="0" w:line="67"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Net cash used by operating activities was $22.3 million during 2006. Net cash used by operating activities primarily consisted of a net loss of $23.6 million and changes in our working capital accounts in the amount of $1.2 million. The cash used by operating activities for these items was partially offset by non-cash expense items such as depreciation and amortization of our property and equipment in the amount of $1.4 million, amortization of our debt discounts in the amount of $0.1 million, stock-based compensation in the amount of $0.1 million, and the issuance of convertible preferred stock under a license agreement in the amount of $0.6 million.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Net cash used by operating activities was $14.3 million during 2005. Net cash used by operating activities primarily consisted of a net loss of $16.4 million. The cash used by operating activities was partially offset by non-cash expense items such as depreciation and amortization of our property and equipment in the amount of $1.3 million and increases in our working capital accounts in the amount of $1.4 million.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$4.7 million of cash in investing activities for the three months ended March 29, 2008 primarily from maturities of available-for-sale securities in the amount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 million, sales of available-for-sale securities in the amount of $2.3 million and a reduction of restricted cash of $0.5 million, partially offset by purchases of available-for-sale securities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amount of $1.0 million and purchases of capital equipment of $0.1 million.</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used $6.7 million of cash in investing activities during 2007, primarily for purchases of available-for-sale securities in the amount of $6.3 million and $1.0 million for capital expenditures related to purchases of equipment, including $0.5 million for our Singapore manufacturing facility, partially offset by maturities of available-for-sale securities in the amount of $0.5 million.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used $2.9 million of cash in investing activities during 2006, primarily for capital expenditures in the amount of $2.9 million related to purchases of equipment, including $1.2 million for our Singapore manufacturing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2005, investing activities provided cash of $6.8 million. This cash was generated primarily from sales and maturities of available-for-sale securities in the amount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$8.9 million, partially offset by purchases of available-for-sale securities in the amount of $0.5 million and capital expenditures in the amount of $1.7 million. Our capital expenditures during 2005 consisted of $1.0 million related to purchases of manufacturing equipment for our Singapore facility, which began operations during the year.</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Historically, we have principally funded our operations through issuances of convertible preferred stock.</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During the three months ended March 29, 2008, we used $1.8 million of cash from financing activities primarily due to repayment of long-term debt. During 2007, we generated $37.6 million of cash from financing activities primarily due to $35.9 million of net proceeds from sales of our Series E preferred stock and $5.0 million of proceeds from the issuance of convertible promissory notes, partially offset by repayments of our long-term debt in the amount of $3.5 million. During 2006, we generated approximately $31.1 million of cash from financing activities primarily due to $22.0 million of net proceeds from sales of our Series E preferred stock and $13.0 million of proceeds from the issuance of convertible promissory notes, partially offset by repayments of our long-term debt in the amount of $4.0 million. During 2005, we generated approximately $23.0 million of cash from financing activities, primarily due to $10.0 million of net proceeds from sales of our Series D preferred stock and $14.7 million of net proceeds from the issuance of long-term debt, partially offset by repayments of our long-term debt in the amount of $1.7 million.</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Capital Resources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believe our existing cash and cash equivalents, available-for-sale securities, amounts available under current credit lines and the net proceeds from this offering, will be sufficient to meet our working capital and capital expenditure needs for at least the next 18 months. However, we may need to raise substantial additional capital to expand the commercialization of our products, fund our operations, continue our research and development, defend, in litigation or otherwise, any claims that we infringe third-party patents or violate other intellectual property rights, commercialize new products and acquire companies and in-license products or intellectual property. Our future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to expand our sales force, to support the ongoing commercialization of our products, for research and product development activities, to expand our facilities and manufacturing operations, and for working capital and other general corporate purposes. As of the date of this prospectus, we cannot predict with certainty all of the particular uses for the proceeds from this offering or the amounts that we will actually spend on the uses set forth above.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our inception, we have not had any off-balance sheet arrangements as defined in Item 303(a)(4) of the Securities and Exchange Commission’s Regulation 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our contractual obligations as of December 29, 2007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Less Than</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1 Year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10,908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6,430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operating lease obligations relate to leases for our current headquarters and leases for office space for our foreign subsidiaries. Principal and interest on our convertible promissory notes are convertible into shares of our Series E preferred stock at the lender’s election, at any time, or upon our election upon the achievement of certain milestones or automatically upon the completion of this offering. Purchase obligations consist of contractual and legally binding commitments to purchase goods. We have entered into several patent license agreements in which we are obligated to pay annual license maintenance fees, non-refundable license issuance fees and royalties as a percentage of sales for the sale or sublicense of products using the licensed technology.</w:t>
      </w:r>
    </w:p>
    <w:p>
      <w:pPr>
        <w:spacing w:after="0" w:line="71"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20" w:lineRule="auto"/>
        <w:rPr>
          <w:sz w:val="20"/>
          <w:szCs w:val="20"/>
          <w:color w:val="auto"/>
        </w:rPr>
      </w:pPr>
      <w:r>
        <w:rPr>
          <w:rFonts w:ascii="Arial" w:cs="Arial" w:eastAsia="Arial" w:hAnsi="Arial"/>
          <w:sz w:val="12"/>
          <w:szCs w:val="12"/>
          <w:color w:val="auto"/>
        </w:rPr>
        <w:t>aggregate annual fees of $315,000 in 2008 and $270,000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70" w:lineRule="exact"/>
        <w:rPr>
          <w:sz w:val="20"/>
          <w:szCs w:val="20"/>
          <w:color w:val="auto"/>
        </w:rPr>
      </w:pPr>
    </w:p>
    <w:p>
      <w:pPr>
        <w:ind w:left="680" w:right="500" w:firstLine="399"/>
        <w:spacing w:after="0" w:line="258" w:lineRule="auto"/>
        <w:rPr>
          <w:sz w:val="20"/>
          <w:szCs w:val="20"/>
          <w:color w:val="auto"/>
        </w:rPr>
      </w:pPr>
      <w:r>
        <w:rPr>
          <w:rFonts w:ascii="Arial" w:cs="Arial" w:eastAsia="Arial" w:hAnsi="Arial"/>
          <w:sz w:val="13"/>
          <w:szCs w:val="13"/>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Subsequent to our year ended December 29, 2007, the remaining outstanding principal and accrued interest balance for a master security agreement in the amount of $1.1 million was paid in February 2008. The loan was originally scheduled to be repaid in monthly installments though July 2009 and, accordingly, was reflected in the table above as such. Also, the convertible promissory notes noted in the table above were converted into shares of our Series E preferred stock during April 2008 in accordance with the convertible note purchase agreements with BMSIF.</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40" w:firstLine="399"/>
        <w:spacing w:after="0" w:line="305" w:lineRule="auto"/>
        <w:rPr>
          <w:sz w:val="20"/>
          <w:szCs w:val="20"/>
          <w:color w:val="auto"/>
        </w:rPr>
      </w:pPr>
      <w:r>
        <w:rPr>
          <w:rFonts w:ascii="Arial" w:cs="Arial" w:eastAsia="Arial" w:hAnsi="Arial"/>
          <w:sz w:val="11"/>
          <w:szCs w:val="11"/>
          <w:color w:val="auto"/>
        </w:rPr>
        <w:t xml:space="preserve">In September 2006, the FASB issued SFAS No. 157, </w:t>
      </w:r>
      <w:r>
        <w:rPr>
          <w:rFonts w:ascii="Arial" w:cs="Arial" w:eastAsia="Arial" w:hAnsi="Arial"/>
          <w:sz w:val="11"/>
          <w:szCs w:val="11"/>
          <w:i w:val="1"/>
          <w:iCs w:val="1"/>
          <w:color w:val="auto"/>
        </w:rPr>
        <w:t>Fair Value Measurement</w:t>
      </w:r>
      <w:r>
        <w:rPr>
          <w:rFonts w:ascii="Arial" w:cs="Arial" w:eastAsia="Arial" w:hAnsi="Arial"/>
          <w:sz w:val="11"/>
          <w:szCs w:val="11"/>
          <w:color w:val="auto"/>
        </w:rPr>
        <w:t>, or SFAS 157, which defines and establishes a framework for measuring the fair value of assets and liabilities when required or permitted by other standards within generally accepted accounting principles in the United States but does not require any new fair value measurements.</w:t>
      </w:r>
    </w:p>
    <w:p>
      <w:pPr>
        <w:spacing w:after="0" w:line="1"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SFAS 157 also expands disclosures about fair value measurements. SFAS 157 is effective for all financial statements issued for fiscal years beginning after November 15, 2007. However, in February 2008 the FASB issued FSP No. 157-2, or FSP 157-2 which delays the effective date of SFAS 157 in accordance with the provisions in FSP 157-2 as of January 1, 2008. The adoption of SFAS 157 did not have a significant impact on our consolidated financial statements and the resulting fair values calculated in accordance with SFAS 157 were not significantly different than the fair values that would have been calculated in accordance with the previous guidance.</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or SFAS 159, including an amendment of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for the financial instruments and liabilities an entity elects to measure at fair value will be recognized in earnings. SFAS 159 also establishes additional disclosure requirements. SFAS 159 is effective for fiscal years beginning after November 15, 2007. The adoption of SFAS 159 did not have a significant impact on our consolidated financial statements.</w:t>
      </w:r>
    </w:p>
    <w:p>
      <w:pPr>
        <w:spacing w:after="0" w:line="7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or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40"/>
        <w:spacing w:after="0" w:line="296" w:lineRule="auto"/>
        <w:rPr>
          <w:sz w:val="20"/>
          <w:szCs w:val="20"/>
          <w:color w:val="auto"/>
        </w:rPr>
      </w:pPr>
      <w:r>
        <w:rPr>
          <w:rFonts w:ascii="Arial" w:cs="Arial" w:eastAsia="Arial" w:hAnsi="Arial"/>
          <w:sz w:val="12"/>
          <w:szCs w:val="12"/>
          <w:color w:val="auto"/>
        </w:rPr>
        <w:t>the activity and that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We are currently assessing the impact the adoption of EITF 07-1 will have on our consolidated financial statements.</w:t>
      </w:r>
    </w:p>
    <w:p>
      <w:pPr>
        <w:spacing w:after="0" w:line="50"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Activities</w:t>
      </w:r>
      <w:r>
        <w:rPr>
          <w:rFonts w:ascii="Arial" w:cs="Arial" w:eastAsia="Arial" w:hAnsi="Arial"/>
          <w:sz w:val="13"/>
          <w:szCs w:val="13"/>
          <w:color w:val="auto"/>
        </w:rPr>
        <w:t>, or 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We adopted EITF 07-3 as of December 30, 2007. The adoption of EITF 07-3 did not have a significant impact on our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However, the effect of a 10% adverse change in exchange rates on foreign denominated receivables and payables as of December 31, 2006, December 29, 2007 and March 29, 2008 would not have been material. To date, we have not entered into any foreign currency hedging contracts although we may do so in the future.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Rate Sensitivity</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had cash and cash equivalents of $25.0 million, $34.1 million and $29.2 million and available-for-sale securities of $0.5 million, $6.3 million and $2.0 million as of December 31, 2006, December 29, 2007 and March 29, 2008. These amounts were held primarily in cash on deposit with banks, money market funds, commercial paper, corporate notes or notes from government-sponsored agencies, which are short-term. Cash and cash equivalents and available-for-sale securities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2007 or the three months ended March 29, 2008, our interest income would not have been materially affected.</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of December 31, 2006, December 29, 2007 and March 29, 2008, the principal amount of our long-term debt outstanding was $12.8 million, $9.4 million $7.6 million and the principal amount of our convertible promissory notes outstanding was $13.1 million, $5.0 million and $5.2 million. The interest rates on our long-term debt and convertible promissory notes are largely fixed, however, a small portion of our long-term debt outstanding has interest rates that are variable and adjust periodically based on the prime rate. If overall interest rates had increased by 10% during 2007 or the three months ended March 29, 2008, our interest expense would not have been materially affected.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Controls and Procedures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January 2008, in connection with the audit of our consolidated financial statements for 2005 and 2006, we determined that we had material weaknesses relating to our financial statement close and accrual process, revenue recognition, inventory costing, cost of sales, purchases cut-off and stock-based compensation.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 These material weaknesses were as follows:</w:t>
      </w:r>
    </w:p>
    <w:p>
      <w:pPr>
        <w:spacing w:after="0" w:line="53"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did not have a sufficient number of personnel in the accounting and finance department with sufficient proficiency and technical accounting expertise;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did not have effective controls in place or designed to evaluate the accounting implications of our business transactions during 2005 and 2006 and to determine if such matters had been properly accounted for in a timely manner;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had not designed or maintained effective operating controls over the financial statement close and reporting process in order to ensure the accurate and timely preparation of our financial statements in accordance with generally accepted accounting principles.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These material weaknesses resulted in the recording of numerous audit adjustments for 2005 and 2006. We have taken steps intended to remediate these material weaknesses through:</w:t>
      </w:r>
    </w:p>
    <w:p>
      <w:pPr>
        <w:spacing w:after="0" w:line="108" w:lineRule="exact"/>
        <w:rPr>
          <w:sz w:val="20"/>
          <w:szCs w:val="20"/>
          <w:color w:val="auto"/>
        </w:rPr>
      </w:pPr>
    </w:p>
    <w:p>
      <w:pPr>
        <w:ind w:left="1280" w:right="18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hiring of additional accounting and finance personnel with technical accounting and financial reporting experience, including Vikram Jog, our new Chief Financial Officer, who joined us in February 2008;</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engagement of a consulting firm to provide further accounting expertise to complement the skills of our existing team;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engagement of an accounting firm to advise us on local and international tax planning and compliance;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hiring of an experienced finance manager for Fluidigm Singapore Pte. Ltd., who is expected to start in May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increased scheduled communication and coordination among our finance teams in the United States and our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enhanced coordination among, and training of, accounting, sales, technical support and legal personnel on transactional issues;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enhancements to our financial statement close process and financial close calendar to help enable processes and procedures to be completed on a timely basis;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installation of common accounting software and systems in our U.S. and Singapore offices.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April and May 2008, following the audit of our consolidated financial statements for 2007 and the review of our financial statements for the three months ended March 29, 2008, we reviewed our internal control over financial reporting and concluded that we had certain significant deficiencies, none of which were determined to be material weaknesses. A significant deficiency is defined as a deficiency, or combination of deficiencies, in internal control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over financial reporting that is less severe than a material weakness, yet important enough to merit attention by those responsible for oversight of a company’s financial reporting. These significant deficiencies were as follows:</w:t>
      </w:r>
    </w:p>
    <w:p>
      <w:pPr>
        <w:spacing w:after="0" w:line="59" w:lineRule="exact"/>
        <w:rPr>
          <w:sz w:val="20"/>
          <w:szCs w:val="20"/>
          <w:color w:val="auto"/>
        </w:rPr>
      </w:pPr>
    </w:p>
    <w:p>
      <w:pPr>
        <w:ind w:left="1280" w:right="6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consolidation and elimination entries relating to intercompany transfer pricing to detect and eliminate intercompany profits embedded in deferred costs of our Japanese subsidiary;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did not have effective controls in place designed to apply SFAS 123R to option grants with a variety of vesting terms and to validate stock compensation expenses calculated by our option tracking software;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the valuation of our inventory.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needed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we may be unable to report our financial results accurately. The actions we plan to take are subject to continued management review supported by confirmation and testing, as well as audit committee oversight. While we expect to remediate these significant deficiencies, we cannot assure you that we will be able to do so in a timely manner, which could impair our ability to report our financial position, results of operations or cash flows accurately and timely.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integrate a diverse set of critical liquid handling functions on a nanoliter scale. Our IFCs can meter, combine, diffuse, fold, mix, separate or pump nanoliter volumes of fluids, with precise control and reproducibility, many thousands of times — all in parallel on a single chip. This technology enables our customers to perform thousands of sophisticated biochemical measurements on samples smaller than the content of a single cell, with minute volumes of reagents, in half the area of a credit card. We achieved this “integrated circuit for biology” by miniaturizing and integrating liquid handling components on a single microfabricated device. Through innovations in material science and manufacturing, our IFC architectures are highly flexible, and can be designed to support a wide range of applications and assay types. For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18415</wp:posOffset>
            </wp:positionV>
            <wp:extent cx="3701415" cy="146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0141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Schematic of our 96.96 Dynamic Array IFC including 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enlarged section showing four of the IFC’s 9,216 test chambers.</w:t>
      </w:r>
    </w:p>
    <w:p>
      <w:pPr>
        <w:spacing w:after="0" w:line="25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Automated, high-precision and large-scale experimentation is increasingly necessary to develop and apply this knowledge. However, the most common forms of life science automation rely on cumbersome robotic systems that are slow, expensive and labor-intensive and, we believe,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fundamentally constrain the pace and productivity of life science research. In much the same way that integrated circuits overcame the limitations of early computers by placing an increasing number of transistors on a single silicon chip, our IFCs overcome many of the limitations of conventional laboratory systems by integrating an increasing number of fluidic components on a single microfabricated IFC.</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believe that much of analytical biology and chemistry can be performed more efficiently and more economically in nanoliter, or one billionth of a liter, volumes than in conventional microliter volume platforms. Moreover, we believe that these advantages can be further enhanced through high levels of integration. Our IFC systems overcome many of the limitations of conventional methods by integrating on a single device the ability to perform thousands of experiments at one time and in nanoliter volumes. Our IFCs consist of an elastomeric, or rubber-like, core bonded to a specialized hard plastic input frame. The input frame is compatible with standard laboratory workflow equipment and facilitates loading the IFC with samples and reagents. Each IFC contains an extensive network of microfluidic components, such as valves, channels, pumps, mixers and other components that deliver samples and reagents to thousands of nanoliter chambers across the IFC where individual tests can be performed. This high level of nanofluidic integration significantly reduces the time and complexity of large-scale experimentation and the volume of costly reagents and scarce patient samples required. In addition, our IFC systems enable users to address problems that would be difficult or impractical to solve using conventional life science tools. We believe that our ongoing research efforts to increase the density and degree of miniaturization of our IFCs will result in further such benefits to our customers.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Biotechnology and pharmaceutical companies, academic institutions and life science laboratories collectively spent approximately $35 billion in 2007 for analytical and life science instruments, according to Strategic Directions International, or SDI. Growth in the life science equipment and supplies industry has been driven in part by increased demand for tools that allow researchers to discover how fundamental functional elements of biology such as nucleic acids, proteins, carbohydrates and cells interact within living organisms. This research often entails analyzing or identifying numerous such elements across large sample populations. Conducting and commercializing this research requires equipment that reliably performs experimentation with precision, on a large scale and at an affordable cost. The need for equipment with these capabilities is particularly evident in the areas of genomics, proteomics and molecular diagnostics, which comprise our initial target markets.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Genomics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Genomics is the analysis of nucleic acids, including DNA and RNA, the fundamental building blocks of life. The entire DNA content of an organism is known as its genome and is commonly organized into functional units known as genes. Analysis of variations in genomes, genes and gene activity in and between organisms can provide tremendous insight into its health and functioning. The worldwide demand for genomic analysis instruments and supplies was approximately $4.9 billion in 2005, according to SDI. Of this total, SDI estimated that 56%, or about $2.7 billion, was spent on gene expression analysis, and 20%, or about $1.0 billion, was spent on genotyping. In a 2006 report, SDI projected that the markets for gene expression analysis and genotyping would grow approximately 8% per year from 2005 to 2010.</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Gene expression and genotyping today are studied through a combination of various technology platforms that characterize gene function and genetic variation. Gene expression and genotyping are commonly performed using a technique known as polymerase chain reaction, or PCR, and often with a chemistry branded as TaqMan, which is proprietary to Roche Molecular Systems, Inc. and is widely used in the industry. The PCR method is used to replicate a strand of DNA or RNA into millions of copies to facilitate detection in a sample. Real-time quantitative PCR, or real-time qPCR, is a more advanced form of PCR that makes it possible to identify the number of copies of DNA present in a sample at a certain time. According to Frost and Sullivan, the U.S. market for real-time qPCR was approximately $741 million in 2007, growing at approximately 11% per year from 2005 to 2012. Based on our estimates, we believe the global market for real-time qPCR was approximately $1.7 billion in 2007. Gene expression, genotyping and digital PCR are three powerful forms of genomic analysis.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hanging="190"/>
        <w:spacing w:after="0" w:line="257"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One of the ways genes control cellular activity is through a process known as gene expression, when a cell transcribes a section of a gene’s DNA to</w:t>
      </w:r>
      <w:r>
        <w:rPr>
          <w:rFonts w:ascii="Arial" w:cs="Arial" w:eastAsia="Arial" w:hAnsi="Arial"/>
          <w:sz w:val="13"/>
          <w:szCs w:val="13"/>
          <w:i w:val="1"/>
          <w:iCs w:val="1"/>
          <w:color w:val="auto"/>
        </w:rPr>
        <w:t xml:space="preserve"> </w:t>
      </w:r>
      <w:r>
        <w:rPr>
          <w:rFonts w:ascii="Arial" w:cs="Arial" w:eastAsia="Arial" w:hAnsi="Arial"/>
          <w:sz w:val="13"/>
          <w:szCs w:val="13"/>
          <w:color w:val="auto"/>
        </w:rPr>
        <w:t>create another nucleic acid sequence, known as messenger RNA. This messenger RNA may then be translated by the cell into a protein. Messenger RNA can be detected and quantified by performing real-time qPCR tests, or assays. Gene expression analysis typically entails determining which genes are active by measuring messenger RNA levels in a blood or tissue sample. These results can be correlated with disease activity and clinical outcomes. As multiple genes are involved in most biological processes, gene expression analysis usually requires assaying the expression levels of many genes simultaneously across many samples. We estimate that approximately 80% of the market for real-time qPCR involves gene expression analysis.</w:t>
      </w:r>
    </w:p>
    <w:p>
      <w:pPr>
        <w:spacing w:after="0" w:line="61" w:lineRule="exact"/>
        <w:rPr>
          <w:rFonts w:ascii="Arial" w:cs="Arial" w:eastAsia="Arial" w:hAnsi="Arial"/>
          <w:sz w:val="13"/>
          <w:szCs w:val="13"/>
          <w:color w:val="auto"/>
        </w:rPr>
      </w:pPr>
    </w:p>
    <w:p>
      <w:pPr>
        <w:ind w:left="1280" w:right="20" w:hanging="190"/>
        <w:spacing w:after="0" w:line="316" w:lineRule="auto"/>
        <w:tabs>
          <w:tab w:leader="none" w:pos="1280" w:val="left"/>
        </w:tabs>
        <w:numPr>
          <w:ilvl w:val="0"/>
          <w:numId w:val="39"/>
        </w:numPr>
        <w:rPr>
          <w:rFonts w:ascii="Arial" w:cs="Arial" w:eastAsia="Arial" w:hAnsi="Arial"/>
          <w:sz w:val="11"/>
          <w:szCs w:val="11"/>
          <w:color w:val="auto"/>
        </w:rPr>
      </w:pPr>
      <w:r>
        <w:rPr>
          <w:rFonts w:ascii="Arial" w:cs="Arial" w:eastAsia="Arial" w:hAnsi="Arial"/>
          <w:sz w:val="11"/>
          <w:szCs w:val="11"/>
          <w:i w:val="1"/>
          <w:iCs w:val="1"/>
          <w:color w:val="auto"/>
        </w:rPr>
        <w:t xml:space="preserve">Genotyping. </w:t>
      </w:r>
      <w:r>
        <w:rPr>
          <w:rFonts w:ascii="Arial" w:cs="Arial" w:eastAsia="Arial" w:hAnsi="Arial"/>
          <w:sz w:val="11"/>
          <w:szCs w:val="11"/>
          <w:color w:val="auto"/>
        </w:rPr>
        <w:t>Genotyping involves the analysis of variations across individual genomes. These variations often take the form of single nucleotide changes, known as single</w:t>
      </w:r>
      <w:r>
        <w:rPr>
          <w:rFonts w:ascii="Arial" w:cs="Arial" w:eastAsia="Arial" w:hAnsi="Arial"/>
          <w:sz w:val="11"/>
          <w:szCs w:val="11"/>
          <w:i w:val="1"/>
          <w:iCs w:val="1"/>
          <w:color w:val="auto"/>
        </w:rPr>
        <w:t xml:space="preserve"> </w:t>
      </w:r>
      <w:r>
        <w:rPr>
          <w:rFonts w:ascii="Arial" w:cs="Arial" w:eastAsia="Arial" w:hAnsi="Arial"/>
          <w:sz w:val="11"/>
          <w:szCs w:val="11"/>
          <w:color w:val="auto"/>
        </w:rPr>
        <w:t>nucleotide polymorphisms, or SNPs, that can determine the characteristics or health of the individual. In SNP genotyping studies, the DNA sequences of a group of individuals are analyzed to determine patterns of SNPs. Statistical analysis is then performed to determine whether a SNP or group of SNPs can be associated with a particular characteristic, such as propensity for a disease. We estimate that approximately 20% of the market for real-time qPCR involves genotyping analysis. We believe this percentage share of the real-time qPCR market is growing based on technological innovations allowing increasing amounts of genetic content to be analyzed more quickly and cost effectively.</w:t>
      </w:r>
    </w:p>
    <w:p>
      <w:pPr>
        <w:spacing w:after="0" w:line="32" w:lineRule="exact"/>
        <w:rPr>
          <w:rFonts w:ascii="Arial" w:cs="Arial" w:eastAsia="Arial" w:hAnsi="Arial"/>
          <w:sz w:val="11"/>
          <w:szCs w:val="11"/>
          <w:color w:val="auto"/>
        </w:rPr>
      </w:pPr>
    </w:p>
    <w:p>
      <w:pPr>
        <w:ind w:left="1280" w:hanging="190"/>
        <w:spacing w:after="0" w:line="312" w:lineRule="auto"/>
        <w:tabs>
          <w:tab w:leader="none" w:pos="1280" w:val="left"/>
        </w:tabs>
        <w:numPr>
          <w:ilvl w:val="0"/>
          <w:numId w:val="39"/>
        </w:numPr>
        <w:rPr>
          <w:rFonts w:ascii="Arial" w:cs="Arial" w:eastAsia="Arial" w:hAnsi="Arial"/>
          <w:sz w:val="11"/>
          <w:szCs w:val="11"/>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Digital PCR is a technique that allows researchers to detect nucleic acid sequences that are present in a patient sample in concentrations that are too low to be</w:t>
      </w:r>
      <w:r>
        <w:rPr>
          <w:rFonts w:ascii="Arial" w:cs="Arial" w:eastAsia="Arial" w:hAnsi="Arial"/>
          <w:sz w:val="11"/>
          <w:szCs w:val="11"/>
          <w:i w:val="1"/>
          <w:iCs w:val="1"/>
          <w:color w:val="auto"/>
        </w:rPr>
        <w:t xml:space="preserve"> </w:t>
      </w:r>
      <w:r>
        <w:rPr>
          <w:rFonts w:ascii="Arial" w:cs="Arial" w:eastAsia="Arial" w:hAnsi="Arial"/>
          <w:sz w:val="11"/>
          <w:szCs w:val="11"/>
          <w:color w:val="auto"/>
        </w:rPr>
        <w:t>detected by conventional methods. Digital PCR typically relies on standard PCR techniques, but increases their sensitivity by dividing a sample into hundreds or thousands of smaller samples and performing a PCR assay on each such sample. The ability to actually count the presence or absence of amplification in this assay format provides quantitative measurement capabilities known as absolute quantification. Digital PCR has the potential to enable early detection of diseases and other conditions, thereby improving prospects for effective treatment. In addition, this technique enhances the precision of single molecule assays and copy number variation. While the digital PCR market is currently nascent, we believe it has the potential to grow significantly as researchers learn how to apply this technique to a broader range of research applications and associated diseases.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Proteomics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Proteomics is the large-scale study of the function and structure of proteins. Proteins are produced by all living organisms and directly affect cellular function, the overall health of an organism and, in the case of pathogens, how the organism interacts with its host. Developing drugs to treat a disease often involves identifying molecules that are able to interfere with the activity of a particular protein in the pathway for that disease. One approach to finding such molecules is to first determine the structure of the protein and then look for molecules that bind to the structure and interfere with the activity of the protein. A technique known as protein crystallization is typically used to determine protein structures. Crystallizing a protein can be a time-consuming and labor-intensive process because different proteins will crystallize in the presence of different reagents and under different conditions. As samples of particular proteins are often scarce and expensive, researchers usually conduct only a limited number of experiments, none of which might provide a crystallized protein.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Molecular Diagnostics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Molecular diagnostic tests are used in clinical practice to diagnose, classify or monitor a disease; determine a patient’s susceptibility to a disease; or monitor a patient’s response to therapy by detecting one or more biomarkers, such as nucleic acids or proteins, in a blood, tissue or other type of patient sample. The advancement of molecular diagnostics is being driven by researchers performing large-scale experiments analyzing the prevalence of SNPs, variations in gene expression levels and patterns of protein production. SNPs, gene expression levels and proteins often directly cause or control diseases. Molecular diagnostic tests based on measuring these biomarkers have the potential to be much more accurate, discriminating and robust than conventional diagnostics. According to Frost and Sullivan, the U.S. market for molecular diagnostics was estimated at $2.0 billion in 2007, growing at a compound annual growth rate of 17% from 2005 to 2012.</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Limitations of Existing Laboratory Systems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Scientists increasingly seek to identify and measure a large number of characteristics across large populations. The most common existing methods of large-scale experimentation require a workflow that is complex, labor-intensive and expensive. In this workflow, biological samples and chemical compounds, usually in solution, are generally dispensed or pipetted into standard microwell plates, which usually consist of 96 or 384 wells each in a standardized format. The plates may then be moved to another station where reagents can be applied to the sample or compound to create a single assay in each microwell. The microwell plates may be moved again to attain ideal reaction temperatures or other conditions. The plates are then generally moved into a reader to detect the results of the experiment in each well. This process of dispensing materials and conveying the plates may include robotically performed steps but generally also requires a significant manual labor component. To accomplish these steps on a large scale typically requires the use of large laboratories equipped with many types of equipment, robotics, conveyor systems and personnel.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Conventional microwell plate workflows have a number of characteristics that inherently limit their effectiveness as tools for large scale experimentation:</w:t>
      </w:r>
    </w:p>
    <w:p>
      <w:pPr>
        <w:spacing w:after="0" w:line="96" w:lineRule="exact"/>
        <w:rPr>
          <w:sz w:val="20"/>
          <w:szCs w:val="20"/>
          <w:color w:val="auto"/>
        </w:rPr>
      </w:pPr>
    </w:p>
    <w:p>
      <w:pPr>
        <w:jc w:val="both"/>
        <w:ind w:left="1280" w:right="440" w:hanging="190"/>
        <w:spacing w:after="0" w:line="264"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Complex Workflow. </w:t>
      </w:r>
      <w:r>
        <w:rPr>
          <w:rFonts w:ascii="Arial" w:cs="Arial" w:eastAsia="Arial" w:hAnsi="Arial"/>
          <w:sz w:val="13"/>
          <w:szCs w:val="13"/>
          <w:color w:val="auto"/>
        </w:rPr>
        <w:t>Pipetting stations may have to perform hundreds of thousands of pipetting steps using hundreds of microwell plates in order to conduct a single set of</w:t>
      </w:r>
      <w:r>
        <w:rPr>
          <w:rFonts w:ascii="Arial" w:cs="Arial" w:eastAsia="Arial" w:hAnsi="Arial"/>
          <w:sz w:val="13"/>
          <w:szCs w:val="13"/>
          <w:i w:val="1"/>
          <w:iCs w:val="1"/>
          <w:color w:val="auto"/>
        </w:rPr>
        <w:t xml:space="preserve"> </w:t>
      </w:r>
      <w:r>
        <w:rPr>
          <w:rFonts w:ascii="Arial" w:cs="Arial" w:eastAsia="Arial" w:hAnsi="Arial"/>
          <w:sz w:val="13"/>
          <w:szCs w:val="13"/>
          <w:color w:val="auto"/>
        </w:rPr>
        <w:t>experiments. These microwell plates must typically be moved among several work stations to complete and measure the results of each assay. Maintaining and overseeing complex workflows involving large numbers of microwell plates requires ongoing attention from trained technicians.</w:t>
      </w:r>
    </w:p>
    <w:p>
      <w:pPr>
        <w:spacing w:after="0" w:line="57"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Limited Throughput. </w:t>
      </w:r>
      <w:r>
        <w:rPr>
          <w:rFonts w:ascii="Arial" w:cs="Arial" w:eastAsia="Arial" w:hAnsi="Arial"/>
          <w:sz w:val="13"/>
          <w:szCs w:val="13"/>
          <w:color w:val="auto"/>
        </w:rPr>
        <w:t>Due to the large number of pipetting steps, microwell plates and process steps involved in a conventional microwell workflow, these systems are often</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perform large-scale experiments in a timely and cost-effective manner.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Limited Low Volume Capabilities. </w:t>
      </w:r>
      <w:r>
        <w:rPr>
          <w:rFonts w:ascii="Arial" w:cs="Arial" w:eastAsia="Arial" w:hAnsi="Arial"/>
          <w:sz w:val="13"/>
          <w:szCs w:val="13"/>
          <w:color w:val="auto"/>
        </w:rPr>
        <w:t>Conventional systems are typically unable to dispense samples and reagents in quantities small enough to conduct certain high sensitivity, low</w:t>
      </w:r>
      <w:r>
        <w:rPr>
          <w:rFonts w:ascii="Arial" w:cs="Arial" w:eastAsia="Arial" w:hAnsi="Arial"/>
          <w:sz w:val="13"/>
          <w:szCs w:val="13"/>
          <w:i w:val="1"/>
          <w:iCs w:val="1"/>
          <w:color w:val="auto"/>
        </w:rPr>
        <w:t xml:space="preserve"> </w:t>
      </w:r>
      <w:r>
        <w:rPr>
          <w:rFonts w:ascii="Arial" w:cs="Arial" w:eastAsia="Arial" w:hAnsi="Arial"/>
          <w:sz w:val="13"/>
          <w:szCs w:val="13"/>
          <w:color w:val="auto"/>
        </w:rPr>
        <w:t>volume techniques, such as digital PCR.</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Large Sample Requirements and Significant Running Costs. </w:t>
      </w:r>
      <w:r>
        <w:rPr>
          <w:rFonts w:ascii="Arial" w:cs="Arial" w:eastAsia="Arial" w:hAnsi="Arial"/>
          <w:sz w:val="13"/>
          <w:szCs w:val="13"/>
          <w:color w:val="auto"/>
        </w:rPr>
        <w:t>Biological samples are often available in only very small quantities. As a result, the sample amount that needs to be</w:t>
      </w:r>
      <w:r>
        <w:rPr>
          <w:rFonts w:ascii="Arial" w:cs="Arial" w:eastAsia="Arial" w:hAnsi="Arial"/>
          <w:sz w:val="13"/>
          <w:szCs w:val="13"/>
          <w:i w:val="1"/>
          <w:iCs w:val="1"/>
          <w:color w:val="auto"/>
        </w:rPr>
        <w:t xml:space="preserve"> </w:t>
      </w:r>
      <w:r>
        <w:rPr>
          <w:rFonts w:ascii="Arial" w:cs="Arial" w:eastAsia="Arial" w:hAnsi="Arial"/>
          <w:sz w:val="13"/>
          <w:szCs w:val="13"/>
          <w:color w:val="auto"/>
        </w:rPr>
        <w:t>placed in each well often limits the number of experiments that can be performed. In addition, reagents can be expensive to purchase or produce, and consuming them in microliter or larger quantities results in significant and sometimes prohibitive costs.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High Capital Cost. </w:t>
      </w:r>
      <w:r>
        <w:rPr>
          <w:rFonts w:ascii="Arial" w:cs="Arial" w:eastAsia="Arial" w:hAnsi="Arial"/>
          <w:sz w:val="13"/>
          <w:szCs w:val="13"/>
          <w:color w:val="auto"/>
        </w:rPr>
        <w:t>Because of the limited throughput of conventional systems, multiple pipetting stations, plate handlers and readers may be required to meet the demands of</w:t>
      </w:r>
      <w:r>
        <w:rPr>
          <w:rFonts w:ascii="Arial" w:cs="Arial" w:eastAsia="Arial" w:hAnsi="Arial"/>
          <w:sz w:val="13"/>
          <w:szCs w:val="13"/>
          <w:i w:val="1"/>
          <w:iCs w:val="1"/>
          <w:color w:val="auto"/>
        </w:rPr>
        <w:t xml:space="preserve"> </w:t>
      </w:r>
      <w:r>
        <w:rPr>
          <w:rFonts w:ascii="Arial" w:cs="Arial" w:eastAsia="Arial" w:hAnsi="Arial"/>
          <w:sz w:val="13"/>
          <w:szCs w:val="13"/>
          <w:color w:val="auto"/>
        </w:rPr>
        <w:t>large-scale experimentation, resulting in high capital equipment costs.</w:t>
      </w:r>
    </w:p>
    <w:p>
      <w:pPr>
        <w:spacing w:after="0" w:line="59"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Other methods of large-scale experimentation, including microarrays, pre-formatted arrays, bead arrays and mass spectrometer analysis, have been developed to address some of the limitations of conventional microwell plate systems. However, each of these high throughput methods has one or more limitations that reduce its utility for large-scale experimentation.</w:t>
      </w:r>
    </w:p>
    <w:p>
      <w:pPr>
        <w:spacing w:after="0" w:line="1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it may take weeks for a customized product to be produced, and the cost may be significant. Furthermore, it is often difficult or impossible to convert existing validated assays for use with these technologies or with mass spectrometry analysis.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quality of the data produced by microarrays, pre-formatted arrays and mass spectrometer analysis is insufficient for certain research activities. For genotyping studies, data quality is typically measured by a call rate, which is the percentage of time that a method provides a reading with respect to a particular SNP. Both pre-formatted arrays and mass spectrometer analysis generally have call rates lower than conventional microwell plate systems. For gene expression studies, it is often important to measure expression levels over a broad dynamic range to capture all or most of the variation typically found among subjects. None of microarrays, pre-formatted arrays,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bead arrays or mass spectrometer analysis routinely measure gene expression levels over as broad a dynamic range as conventional microwell plates.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workflow for bead arrays and mass spectrometer analysis is complex, time consuming and expensive. For example, standard protocols often require multiple complex operations to be performed over several days by skilled technicians.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These methods can also be very expensive for certain types of large-scale experimentation. For example, a single microarray or bead array is capable of analyzing thousands of genes from a single sample and these devices have been successfully used for surveying the genome to discover basic patterns of gene expression and genotyping. These surveys or “association studies” are commonly performed on tens or hundreds of samples and are intended to identify a subset of genes for further study.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 only for very large-scale studies.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number of companies have attempted to develop more universal “lab-on-a-chip” solutions which could perform large numbers of complex biochemical operations on a single device. These chips typically incorporate a variety of micron-level features, such as channels and wells, but lack robust methods of fluid control such as valves. As a result, the products have been unable to support the complex fluidic manipulation required by large-scale experimentation.</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limitations of existing technologies become even more acute when clinicians attempt to translate scientific research into molecular diagnostics. Given the commercial nature of their operations, clinical laboratories need systems that can test large numbers of patient samples at low cost and with minimal labor requirements. Moreover, many of the most promising research studies rely on measuring each sample across tens or even hundreds of SNPs, gene expression levels or protein concentrations to diagnose or classify a disease. We believe that using standard microwell plate technology to make multiple measurements on a large number of samples is often too complex and expensive for most clinical laboratories. As a result, the molecular diagnostic tests adopted by clinical laboratories have generally been relatively simple or have required specialized machines to perform. Diagnostic approaches that require measuring large numbers of SNPs, gene expression levels or protein concentrations are generally not available or are available only from a diagnostic laboratory that specializes in the particular test.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achieve and exploit breakthroughs in genomics, proteomics and molecular diagnostics, research and clinical laboratories need robust systems that deliver increased throughput and simpler workflows with decreased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IFC systems are designed to overcome many of the limitations of conventional methods by empowering researchers and clinicians to rapidly perform a large number of experiments at one time and in nanoliter volumes, significantly increasing throughput, reducing costs associated with reagents and patient samples and reducing the time and number of steps involved. Our IFCs deliver these advantages through integration of sophisticated nanoliter fluid handling in an easy-to-use format. We believe the advantages of our IFC systems can be applied to a wide variety of applications across many fields using standard chemistries.</w:t>
      </w:r>
    </w:p>
    <w:p>
      <w:pPr>
        <w:spacing w:after="0" w:line="7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For each application, we provide a complete IFC system consisting of specially designed single-use IFCs, instrumentation, software and support services. Our IFC systems are designed to be easily incorporated into our customers’ laboratory environments and analysis workflow. For example, our IFCs are the same size and shape as standard 384 microwell plates, which facilitate the loading and handling of our IFCs by standard laboratory equipment. Each IFC includes an elastomeric, or rubber-like, core that contains an extensive network of microfluidic components, such as valves, channels, pumps, mixers and other components that deliver samples and reagents to thousands of nanoliter volume chambers where individual assays can be performed. In much the same way that semiconductor technology has enabled tremendous computational power to be placed onto a single silicon chip, the integration of large numbers of miniaturized components on our IFCs enables sophisticated fluid handling at high throughput and low cost.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BioMark 48.48 Dynamic Array IFC allows users to individually assay 48 samples against 48 primer-probe sets, generating 2,304 separate real-time qPCR reactions on a single device. In May 2008, we launched our 96.96 Dynamic Array IFC, which is configured to run 96 samples against 96 primer-probe sets, generating 9,216 separate reactions.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compares the performance of one conventional 384 microwell plate to that of one of our 48.48 Dynamic Array IFCs and one of our 96.96 Dynamic Array IFCs for a genotyping study involving 1,000 samples and 96 SNPs: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384 Microwell</w:t>
            </w:r>
          </w:p>
        </w:tc>
        <w:tc>
          <w:tcPr>
            <w:tcW w:w="2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48.48</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96.96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2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Plate (5 µl/well)</w:t>
            </w:r>
          </w:p>
        </w:tc>
        <w:tc>
          <w:tcPr>
            <w:tcW w:w="22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Runs for Study</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250</w:t>
            </w:r>
          </w:p>
        </w:tc>
        <w:tc>
          <w:tcPr>
            <w:tcW w:w="150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42</w:t>
            </w:r>
          </w:p>
        </w:tc>
        <w:tc>
          <w:tcPr>
            <w:tcW w:w="148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reaction volume</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480 ml</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20 ml</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10 ml</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Pipetting Steps</w:t>
            </w:r>
          </w:p>
        </w:tc>
        <w:tc>
          <w:tcPr>
            <w:tcW w:w="13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192,000</w:t>
            </w:r>
          </w:p>
        </w:tc>
        <w:tc>
          <w:tcPr>
            <w:tcW w:w="150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4,032</w:t>
            </w:r>
          </w:p>
        </w:tc>
        <w:tc>
          <w:tcPr>
            <w:tcW w:w="148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advantages of our IFC systems over existing microwell-based systems include:</w:t>
      </w:r>
    </w:p>
    <w:p>
      <w:pPr>
        <w:spacing w:after="0" w:line="96" w:lineRule="exact"/>
        <w:rPr>
          <w:sz w:val="20"/>
          <w:szCs w:val="20"/>
          <w:color w:val="auto"/>
        </w:rPr>
      </w:pPr>
    </w:p>
    <w:p>
      <w:pPr>
        <w:ind w:left="1280" w:right="18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pipetting steps than 384 microwell plates for the same experiment, which reduces the time,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potential for error.</w:t>
      </w:r>
    </w:p>
    <w:p>
      <w:pPr>
        <w:spacing w:after="0" w:line="4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Improved Throughput. </w:t>
      </w:r>
      <w:r>
        <w:rPr>
          <w:rFonts w:ascii="Arial" w:cs="Arial" w:eastAsia="Arial" w:hAnsi="Arial"/>
          <w:sz w:val="12"/>
          <w:szCs w:val="12"/>
          <w:color w:val="auto"/>
        </w:rPr>
        <w:t>A single IFC based on our 96.96 format can conduct 9,216 real-time qPCR or other assays, or 24 times more assays than a single 384 microwell plate.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throughput reduces the time and cost associated with complex experiments and expands the number and range of experiments that may be conducted.</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Nanoliter Precision. </w:t>
      </w:r>
      <w:r>
        <w:rPr>
          <w:rFonts w:ascii="Arial" w:cs="Arial" w:eastAsia="Arial" w:hAnsi="Arial"/>
          <w:sz w:val="13"/>
          <w:szCs w:val="13"/>
          <w:color w:val="auto"/>
        </w:rPr>
        <w:t>Our IFC systems allow users to dispense samples and reagents in microliter volumes which are automatically combined and mixed in nanoliter and sub-nanoliter volumes. In addition to cost and workflow benefits, this capability makes it practical for users to conduct certain high sensitivity, low volume techniques, such as digital PCR and single cell analysis.</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Reduced Sample and Reagent Requirements. </w:t>
      </w:r>
      <w:r>
        <w:rPr>
          <w:rFonts w:ascii="Arial" w:cs="Arial" w:eastAsia="Arial" w:hAnsi="Arial"/>
          <w:sz w:val="13"/>
          <w:szCs w:val="13"/>
          <w:color w:val="auto"/>
        </w:rPr>
        <w:t>Obtaining patient samples for assays can also be costly, and in many cases the amount of those samples is finite. Our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require between 0.5% and 1.0% of the amount of sample and reagent per reaction as conventional systems, allowing scarce samples and costly reagents to be conserved or tested more extensively.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A single BioMark system has the same throughput as the combined throughput of multiple conventional systems. As a result, for high volume users, the</w:t>
      </w:r>
      <w:r>
        <w:rPr>
          <w:rFonts w:ascii="Arial" w:cs="Arial" w:eastAsia="Arial" w:hAnsi="Arial"/>
          <w:sz w:val="13"/>
          <w:szCs w:val="13"/>
          <w:i w:val="1"/>
          <w:iCs w:val="1"/>
          <w:color w:val="auto"/>
        </w:rPr>
        <w:t xml:space="preserve"> </w:t>
      </w:r>
      <w:r>
        <w:rPr>
          <w:rFonts w:ascii="Arial" w:cs="Arial" w:eastAsia="Arial" w:hAnsi="Arial"/>
          <w:sz w:val="13"/>
          <w:szCs w:val="13"/>
          <w:color w:val="auto"/>
        </w:rPr>
        <w:t>cost of purchasing one BioMark system can be much lower than the cost of purchasing the number of competing systems and associated robotic equipment required to provide the same throughput, even though our BioMark system may cost more on a per unit basis.</w:t>
      </w:r>
    </w:p>
    <w:p>
      <w:pPr>
        <w:spacing w:after="0" w:line="57"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Compatibility with Existing Infrastructure. </w:t>
      </w:r>
      <w:r>
        <w:rPr>
          <w:rFonts w:ascii="Arial" w:cs="Arial" w:eastAsia="Arial" w:hAnsi="Arial"/>
          <w:sz w:val="13"/>
          <w:szCs w:val="13"/>
          <w:color w:val="auto"/>
        </w:rPr>
        <w:t>Our IFCs incorporate plastic input frames that are the same size as standard microwell plates and are designed to work with the most</w:t>
      </w:r>
      <w:r>
        <w:rPr>
          <w:rFonts w:ascii="Arial" w:cs="Arial" w:eastAsia="Arial" w:hAnsi="Arial"/>
          <w:sz w:val="13"/>
          <w:szCs w:val="13"/>
          <w:i w:val="1"/>
          <w:iCs w:val="1"/>
          <w:color w:val="auto"/>
        </w:rPr>
        <w:t xml:space="preserve"> </w:t>
      </w:r>
      <w:r>
        <w:rPr>
          <w:rFonts w:ascii="Arial" w:cs="Arial" w:eastAsia="Arial" w:hAnsi="Arial"/>
          <w:sz w:val="13"/>
          <w:szCs w:val="13"/>
          <w:color w:val="auto"/>
        </w:rPr>
        <w:t>commonly used laboratory systems, including existing robotic pipetting systems, bar code readers, plate handling systems and other equipment. Our IFCs are also designed to work with standard real-time qPCR techniques and TaqMan chemistries. As a result, we believe users are able to quickly introduce our systems into their laboratories and achieve results equal to or better than they were obtaining with conventional systems.</w:t>
      </w:r>
    </w:p>
    <w:p>
      <w:pPr>
        <w:spacing w:after="0" w:line="7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Our IFC systems also have significant advantages over other high-throughput approaches. For example, our BioMark system can detect gene expression levels over a much broader dynamic range than microarrays, pre-formatted arrays, bead arrays or mass spectrometry analysis. For genotyping, our BioMark system has a call rate equal to or better than conventional microwell-based systems. Also, our IFC systems provide researchers with needed flexibility in assay selection and study design. Unlike microarrays, bead arrays and pre-formatted arrays, our IFCs are not limited to detecting certain predetermined genetic markers. Instead, users can perform experiments with our IFCs using assays from their existing libraries, purchased from a wide variety of commercial sources or developed in their own laboratories. Finally, the efficient workflow of our IFC systems enables users to complete an IFC run in less than three hours.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Other high throughput approaches have advantages over conventional microwell plate systems that are similar to the advantages of our IFC systems. For example, microarrays, pre-formatted arrays, bead arrays and mass spectrometry analysis all reduce complexity and increase throughput as compared to conventional approaches when used for large scale experimentation, and, in many instances, are more cost-effective than conventional approaches. In addition, pre-formatted arrays significantly reduce sample and reagent consumption as compared to microwell plates. Also, microarrays and bead arrays have call rates for genotyping that are comparable to those obtained with our systems or with microwell plate systems. Because these systems are designed to detect thousands of genetic markers, they are often chosen by researchers to perform very large-scale association or survey studies over conventional microwell plate systems or our systems.</w:t>
      </w:r>
    </w:p>
    <w:p>
      <w:pPr>
        <w:spacing w:after="0" w:line="72"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Our IFC systems address the needs of researchers and clinicians who perform large-scale experimentation in the areas of genomics, proteomics and molecular diagnostics. In particular, for validation studies or projects of a similar scale, our IFC systems substantially reduce cost, simplify workflow and increase throughput as compared to conventional microwell plate systems. Nevertheless, researchers and clinicians may be slow to adopt our IFC systems as they are based on technology that, compared to conventional technology, is new and not yet well-established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systems and the price of our IFCs is higher than conventional systems and standard</w:t>
      </w:r>
    </w:p>
    <w:p>
      <w:pPr>
        <w:spacing w:after="0" w:line="1"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384 microwell plates.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Applications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IFC technology has the potential to be applied to a vast range of research and commercial applications. We have commercialized IFC systems for life science research applications such as gene expression analysis, genotyping, digital PCR and protein crystallization. We believe that these applications are relevant to markets beyond life science research, such as the development of molecular diagnostics, and that IFC systems can be developed for numerous other life science applications. We and our academic collaborators have developed non-commercial IFCs for a wide variety of applications in the areas of genomics, proteomics, cellular biology and synthetic chemistry. As illustrated by the examples below, researchers have been able to utilize the advantages of our IFC systems in their laboratories to achieve significant research successes.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Current Commercial Applications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Researchers may conduct gene expression studies to measure the activity of tens or hundreds of genes across hundreds or thousands of individuals.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these validation studies, it is often important to know the expression level of a gene, not merely whether the gene is “on” or “off,” as often either high or low activity level is associated with a particular characteristic or disease state. Our IFC systems have been used to deliver high throughput and precise measurements in gene expression analysis applications. For example, researchers at Myriad Genetics have identified panels of genes that could be used to predict cancer progression or select treatment options. However, the cost and complexity of high-throughput real-time qPCR using conventional microwell plates significantly limited researchers’ ability to perform the appropriate assays. In response, Myriad Genetics adopted our BioMark system which, together with our Dynamic Array IFCs, has allowed them to significantly reduce their pipetting workload, and therefore pursue research projects that may have been prohibitively cumbersome without our system.</w:t>
      </w:r>
    </w:p>
    <w:p>
      <w:pPr>
        <w:spacing w:after="0" w:line="73"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Genotyping. </w:t>
      </w:r>
      <w:r>
        <w:rPr>
          <w:rFonts w:ascii="Arial" w:cs="Arial" w:eastAsia="Arial" w:hAnsi="Arial"/>
          <w:sz w:val="12"/>
          <w:szCs w:val="12"/>
          <w:color w:val="auto"/>
        </w:rPr>
        <w:t>Researchers performing genotyping studies may begin by surveying the genomes of relatively few individuals looking for tens of thousands or even hundreds of</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 of SNPs. Analysis of these studies will often reveal that a relatively small number of SNPs appear to be correlated with the characteristic of interest. In order to validate this analysis, researchers may conduct additional studies involving hundreds or even thousands of individuals focused on tens or hundreds of SNPs. For example, the National Cancer Institute’s Core Genotyping Facility, or the CGF, collaborates with researchers at other government research centers and academic institutions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with the goal of developing screens to identify individuals susceptible to particular forms of cancer and guiding the development of targeted therapeutics. One of the CGF’s primary responsibilities in these collaborations is conducting the large-scale experiments necessary to accurately interrogate hundreds of SNPs on many patient samples. In a typical association study, the CGF runs 30 to 300 assays on 1,000 to 10,000 patient samples. Such large-scale studies are difficult and expensive to perform with conventional microwell plate technology. Using our BioMark system, the CGF continues to perform the same assays previously developed in its existing library of over 5,000 assays.</w:t>
      </w:r>
    </w:p>
    <w:p>
      <w:pPr>
        <w:spacing w:after="0" w:line="53"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Genotyping analysis is also used in situations where research has already identified particular genetic profiles of interest and there is a need to test a group of subjects to determine which profile they fit. For example, the Alaska Department of Fish and Game uses our BioMark system to perform genotyping analysis to determine the region of origin of salmon caught in commercial or sport fisheries. By analyzing a large number of salmon, the department can gain an understanding of the effects that fisheries have on populations of salmon and thereby manage the resource more effectively. The department has developed panels for three species which range from 40 to 60 SNPs, and its throughput approaches 100,000 samples per year.</w:t>
      </w:r>
    </w:p>
    <w:p>
      <w:pPr>
        <w:spacing w:after="0" w:line="39"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The widespread use of genetic testing in high-risk pregnancies has created strong interest in rapid and accurate molecular diagnostics for certain common chromosomal</w:t>
      </w:r>
      <w:r>
        <w:rPr>
          <w:rFonts w:ascii="Arial" w:cs="Arial" w:eastAsia="Arial" w:hAnsi="Arial"/>
          <w:sz w:val="11"/>
          <w:szCs w:val="11"/>
          <w:i w:val="1"/>
          <w:iCs w:val="1"/>
          <w:color w:val="auto"/>
        </w:rPr>
        <w:t xml:space="preserve"> </w:t>
      </w:r>
      <w:r>
        <w:rPr>
          <w:rFonts w:ascii="Arial" w:cs="Arial" w:eastAsia="Arial" w:hAnsi="Arial"/>
          <w:sz w:val="11"/>
          <w:szCs w:val="11"/>
          <w:color w:val="auto"/>
        </w:rPr>
        <w:t>abnormalities. However, conventional methods have limitations related to speed, precision and the risks associated with sampling a significant amount of material from the fetus during an invasive procedure such as amniocentesis or chorionic villi sampling. Digital PCR has been identified as a technique for highly sensitive and precise nucleic acid measurement, but performing it with conventional laboratory equipment is so cumbersome that it has not been widely adopted. In an article published by Analytical Chemistry in August 2007, researchers at the laboratory of Professor Stephen Quake, our co-founder, at Stanford University demonstrated that digital PCR can be used for accurate measurement of trisomy 21, or Down syndrome. Using our Digital Array IFC and DNA from human cell lines, Dr. Quake’s laboratory was able to precisely measure the number of copies of a DNA sequence from this chromosome and at the same time measure the number of copies of a DNA sequence from another chromosome whose copy number does not vary. For trisomy 21, the ratio of these markers is significantly higher than normal. Similar work in pre-natal genetic testing is being pursued using our IFCs by other customers at leading academic institutions. We believe that with further clinical validation and development, such research could be developed into a diagnostic test that would require significantly less material from the fetus and provide results much more rapidly than current methods. We also believe that digital PCR will enable such diagnostics to ultimately be used in a non-invasive fashion, thus further reducing risk to the fetus.</w:t>
      </w:r>
    </w:p>
    <w:p>
      <w:pPr>
        <w:spacing w:after="0" w:line="48"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Cancer researchers have identified a particular mutation in chronic myeloid leukemia cells that render those cells resistant to the drug Gleevec. Gleevec is typically used as the initial treatment for this type of leukemia and is often able to put the disease into remission for months or years. However, a significant proportion of these leukemia patients eventually develop mutated leukemia cells that are resistant to Gleevec. These mutated cells are initially very scarce and undetectable using conventional systems, but they eventually multiply and cause the patient to become symptomatic again. Researchers at the Fred Hutchinson Cancer Research Center have used our Digital Array IFC in their laboratory to test patient samples and have been able to detect these mutated cells earlier than with conventional techniques. With additional validation and demonstration of clinical relevance, we believe a test based on digital PCR could be a useful tool for monitoring patients who are diagnosed with chronic myeloid leukemia.</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In order to determine how a particular protein interacts with other components of a disease pathway, researchers often attempt to determine its structure using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protein crystallization. Because most proteins will crystallize only under very precise conditions that are specific to the particular protein, protein crystallization involves performing numerous assays to determine the conditions under which the protein crystallizes. As described in the April 2006 issue of the journal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and supporting online material, researchers at the Wilson lab of Scripps Research Institute in La Jolla, California used our Topaz system to understand how the H5N1 avian flu virus can infect humans. Researchers at the Wilson lab had prepared a small sample of the protein that the virus uses to attach itself to cells in the respiratory tract. With the Topaz system, they were able to quickly screen a few microliters of the sample across a wide variety of different conditions and determine the optimum conditions for protein crystallization. Using this information, they were able to grow larger crystals using standard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crystallization techniques. Subsequent analysis of the structure of the crystallized protein revealed why the current form of the avian H5N1 virus has not yet acquired the ability to readily infect humans compared to other flu viruses.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Future Applications</w:t>
      </w:r>
    </w:p>
    <w:p>
      <w:pPr>
        <w:spacing w:after="0" w:line="96" w:lineRule="exact"/>
        <w:rPr>
          <w:sz w:val="20"/>
          <w:szCs w:val="20"/>
          <w:color w:val="auto"/>
        </w:rPr>
      </w:pPr>
    </w:p>
    <w:p>
      <w:pPr>
        <w:ind w:left="680" w:right="120" w:firstLine="399"/>
        <w:spacing w:after="0" w:line="300" w:lineRule="auto"/>
        <w:rPr>
          <w:sz w:val="20"/>
          <w:szCs w:val="20"/>
          <w:color w:val="auto"/>
        </w:rPr>
      </w:pPr>
      <w:r>
        <w:rPr>
          <w:rFonts w:ascii="Arial" w:cs="Arial" w:eastAsia="Arial" w:hAnsi="Arial"/>
          <w:sz w:val="11"/>
          <w:szCs w:val="11"/>
          <w:i w:val="1"/>
          <w:iCs w:val="1"/>
          <w:color w:val="auto"/>
        </w:rPr>
        <w:t xml:space="preserve">Molecular Diagnostics. </w:t>
      </w:r>
      <w:r>
        <w:rPr>
          <w:rFonts w:ascii="Arial" w:cs="Arial" w:eastAsia="Arial" w:hAnsi="Arial"/>
          <w:sz w:val="11"/>
          <w:szCs w:val="11"/>
          <w:color w:val="auto"/>
        </w:rPr>
        <w:t>Life science research is revealing an increasing number of diseases and conditions that can be diagnosed, evaluated and monitored by measuring panels of</w:t>
      </w:r>
      <w:r>
        <w:rPr>
          <w:rFonts w:ascii="Arial" w:cs="Arial" w:eastAsia="Arial" w:hAnsi="Arial"/>
          <w:sz w:val="11"/>
          <w:szCs w:val="11"/>
          <w:i w:val="1"/>
          <w:iCs w:val="1"/>
          <w:color w:val="auto"/>
        </w:rPr>
        <w:t xml:space="preserve"> </w:t>
      </w:r>
      <w:r>
        <w:rPr>
          <w:rFonts w:ascii="Arial" w:cs="Arial" w:eastAsia="Arial" w:hAnsi="Arial"/>
          <w:sz w:val="11"/>
          <w:szCs w:val="11"/>
          <w:color w:val="auto"/>
        </w:rPr>
        <w:t>gene expression levels, SNPs, proteins or other biomarkers. Validating these research findings and translating them into clinically available tests often requires life science automation systems that are able to efficiently measure multiple biomarkers in a large number of patient samples. Our existing IFC systems are able to measure certain nucleic acid biomarkers that are commonly used in these tests, and we expect that we will be able to develop IFC systems to measure other relevant biomarkers. As described above, researchers have used our IFC systems to detect clinically relevant biomarkers, such as drug resistant leukemia cells and fetal chromosomal abnormalities. We believe that the high throughput, flexibility and simplified workflow of our IFC systems could make them an attractive solution for validating and commercializing a wide range of molecular diagnostic tests being developed by researchers. In addition, we believe that our IFC systems’ ability to measure gene expression levels across a broad range and to detect nucleic acid sequences present in very low concentrations will support the development and commercialization of molecular diagnostic tests that would not be practical with conventional systems. Our IFC systems have not been cleared or approved by the</w:t>
      </w:r>
    </w:p>
    <w:p>
      <w:pPr>
        <w:spacing w:after="0" w:line="1"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U.S. Food and Drug Administration, or FDA, for use in any molecular diagnostic tests and we cannot currently market them for the purpose of performing molecular diagnostic tests. We do not have any current plans to develop products that are regulated by the FDA.</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Other Applications. </w:t>
      </w:r>
      <w:r>
        <w:rPr>
          <w:rFonts w:ascii="Arial" w:cs="Arial" w:eastAsia="Arial" w:hAnsi="Arial"/>
          <w:sz w:val="13"/>
          <w:szCs w:val="13"/>
          <w:color w:val="auto"/>
        </w:rPr>
        <w:t>We believe that the inherent design flexibility of our core technology allows us to build IFC systems that can provide significant benefits in a wide range of fields</w:t>
      </w:r>
      <w:r>
        <w:rPr>
          <w:rFonts w:ascii="Arial" w:cs="Arial" w:eastAsia="Arial" w:hAnsi="Arial"/>
          <w:sz w:val="13"/>
          <w:szCs w:val="13"/>
          <w:i w:val="1"/>
          <w:iCs w:val="1"/>
          <w:color w:val="auto"/>
        </w:rPr>
        <w:t xml:space="preserve"> </w:t>
      </w:r>
      <w:r>
        <w:rPr>
          <w:rFonts w:ascii="Arial" w:cs="Arial" w:eastAsia="Arial" w:hAnsi="Arial"/>
          <w:sz w:val="13"/>
          <w:szCs w:val="13"/>
          <w:color w:val="auto"/>
        </w:rPr>
        <w:t>and industries. For example, the architecture of our Dynamic Array is flexible and supports the development of IFCs that create matrixed combinations of a variable number of samples versus a variable number of reagents. In addition, our IFC technology utilizes a variety of microfluidic components, such as pumps, mixers and separation columns, that allow the implementation of sophisticated biochemical processes on our IFCs. While we have not commenced commercial development of IFC systems for these fields, we have developed IFCs for internal research purposes in such diverse fields as:</w:t>
      </w:r>
    </w:p>
    <w:p>
      <w:pPr>
        <w:spacing w:after="0" w:line="71"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immunoassays, which can measure levels of protein expression and other molecules in a highly-parallel, multiplexed format;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high-throughput drug screening, including the analysis of molecules that inhibit protein-protein and protein-nucleic acid interactions;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chemical synthesis, including production of radio-labeled sugars which in combination with advanced medical imaging can help diagnose and monitor cancer;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pharmacogenomics, an emerging field that analyzes how variations in human genomes affect the performance and toxicity of therapeutic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systems biology, an effort to understand the collective behavior of genes as they collaborate in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synthetic biology, an emerging field aimed at engineering biological systems to build novel biological functions, systems and perhaps organisms;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cellular assays, including stem cells and regenerative medicine, where our IFCs have been used to isolate, cultivate and analyze single cells.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intend to become a global leader in providing automated bio-analytical research and molecular diagnostic systems. Our business strategy consists of the following elements:</w:t>
      </w:r>
    </w:p>
    <w:p>
      <w:pPr>
        <w:spacing w:after="0" w:line="108" w:lineRule="exact"/>
        <w:rPr>
          <w:sz w:val="20"/>
          <w:szCs w:val="20"/>
          <w:color w:val="auto"/>
        </w:rPr>
      </w:pPr>
    </w:p>
    <w:p>
      <w:pPr>
        <w:ind w:left="1080" w:right="580" w:firstLine="383"/>
        <w:spacing w:after="0" w:line="276" w:lineRule="auto"/>
        <w:rPr>
          <w:sz w:val="20"/>
          <w:szCs w:val="20"/>
          <w:color w:val="auto"/>
        </w:rPr>
      </w:pPr>
      <w:r>
        <w:rPr>
          <w:rFonts w:ascii="Arial" w:cs="Arial" w:eastAsia="Arial" w:hAnsi="Arial"/>
          <w:sz w:val="13"/>
          <w:szCs w:val="13"/>
          <w:i w:val="1"/>
          <w:iCs w:val="1"/>
          <w:color w:val="auto"/>
        </w:rPr>
        <w:t xml:space="preserve">Establish our IFC Technology as the Leading Solution for a Broad Range of Life Science Applications. </w:t>
      </w:r>
      <w:r>
        <w:rPr>
          <w:rFonts w:ascii="Arial" w:cs="Arial" w:eastAsia="Arial" w:hAnsi="Arial"/>
          <w:sz w:val="13"/>
          <w:szCs w:val="13"/>
          <w:color w:val="auto"/>
        </w:rPr>
        <w:t>Our initial sales and marketing efforts have been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establishing our IFC systems as leading solutions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0"/>
        <w:spacing w:after="0" w:line="320" w:lineRule="auto"/>
        <w:rPr>
          <w:sz w:val="20"/>
          <w:szCs w:val="20"/>
          <w:color w:val="auto"/>
        </w:rPr>
      </w:pPr>
      <w:r>
        <w:rPr>
          <w:rFonts w:ascii="Arial" w:cs="Arial" w:eastAsia="Arial" w:hAnsi="Arial"/>
          <w:sz w:val="12"/>
          <w:szCs w:val="12"/>
          <w:color w:val="auto"/>
        </w:rPr>
        <w:t>for high throughput life science research applications. We intend to leverage the market awareness and acceptance created by our initial product offerings to market new products and applications to life science researchers and to sell new and existing applications to customers in other markets, such as molecular diagnostics and applied genomics.</w:t>
      </w:r>
    </w:p>
    <w:p>
      <w:pPr>
        <w:spacing w:after="0" w:line="35" w:lineRule="exact"/>
        <w:rPr>
          <w:sz w:val="20"/>
          <w:szCs w:val="20"/>
          <w:color w:val="auto"/>
        </w:rPr>
      </w:pPr>
    </w:p>
    <w:p>
      <w:pPr>
        <w:ind w:left="1080" w:right="280" w:firstLine="383"/>
        <w:spacing w:after="0" w:line="260" w:lineRule="auto"/>
        <w:rPr>
          <w:sz w:val="20"/>
          <w:szCs w:val="20"/>
          <w:color w:val="auto"/>
        </w:rPr>
      </w:pPr>
      <w:r>
        <w:rPr>
          <w:rFonts w:ascii="Arial" w:cs="Arial" w:eastAsia="Arial" w:hAnsi="Arial"/>
          <w:sz w:val="13"/>
          <w:szCs w:val="13"/>
          <w:i w:val="1"/>
          <w:iCs w:val="1"/>
          <w:color w:val="auto"/>
        </w:rPr>
        <w:t xml:space="preserve">Continue to Increase the Throughput and Efficiency of Our IFCs. </w:t>
      </w:r>
      <w:r>
        <w:rPr>
          <w:rFonts w:ascii="Arial" w:cs="Arial" w:eastAsia="Arial" w:hAnsi="Arial"/>
          <w:sz w:val="13"/>
          <w:szCs w:val="13"/>
          <w:color w:val="auto"/>
        </w:rPr>
        <w:t>A primary focus of our research and development efforts is the development of IFCs with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 density and, therefore, the ability to conduct an increased number of experiments on a single IFC. Increasing density provides value to our customers by increasing throughput, enhancing efficiency, reducing labor costs and reducing reagent and sample volumes. We expect that these increased capacity IFCs will allow us to deliver additional capabilities and cost savings, and further improve our competitive position.</w:t>
      </w:r>
    </w:p>
    <w:p>
      <w:pPr>
        <w:spacing w:after="0" w:line="70"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Expand Recurring IFC Revenue Stream Through Product Innovation and System Sales. </w:t>
      </w:r>
      <w:r>
        <w:rPr>
          <w:rFonts w:ascii="Arial" w:cs="Arial" w:eastAsia="Arial" w:hAnsi="Arial"/>
          <w:sz w:val="13"/>
          <w:szCs w:val="13"/>
          <w:color w:val="auto"/>
        </w:rPr>
        <w:t>We intend to drive revenue growth by increasing the number of installed IFC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improving the cost per test of our IFCs and developing IFCs and systems for additional applications.</w:t>
      </w:r>
    </w:p>
    <w:p>
      <w:pPr>
        <w:spacing w:after="0" w:line="59" w:lineRule="exact"/>
        <w:rPr>
          <w:sz w:val="20"/>
          <w:szCs w:val="20"/>
          <w:color w:val="auto"/>
        </w:rPr>
      </w:pPr>
    </w:p>
    <w:p>
      <w:pPr>
        <w:jc w:val="both"/>
        <w:ind w:left="1080" w:right="160" w:firstLine="383"/>
        <w:spacing w:after="0" w:line="334" w:lineRule="auto"/>
        <w:rPr>
          <w:sz w:val="20"/>
          <w:szCs w:val="20"/>
          <w:color w:val="auto"/>
        </w:rPr>
      </w:pPr>
      <w:r>
        <w:rPr>
          <w:rFonts w:ascii="Arial" w:cs="Arial" w:eastAsia="Arial" w:hAnsi="Arial"/>
          <w:sz w:val="11"/>
          <w:szCs w:val="11"/>
          <w:i w:val="1"/>
          <w:iCs w:val="1"/>
          <w:color w:val="auto"/>
        </w:rPr>
        <w:t xml:space="preserve">Provide Superior Customer Service. </w:t>
      </w:r>
      <w:r>
        <w:rPr>
          <w:rFonts w:ascii="Arial" w:cs="Arial" w:eastAsia="Arial" w:hAnsi="Arial"/>
          <w:sz w:val="11"/>
          <w:szCs w:val="11"/>
          <w:color w:val="auto"/>
        </w:rPr>
        <w:t>We have a global sales force and support organization that offers technical solutions and customer support through direct relationships</w:t>
      </w:r>
      <w:r>
        <w:rPr>
          <w:rFonts w:ascii="Arial" w:cs="Arial" w:eastAsia="Arial" w:hAnsi="Arial"/>
          <w:sz w:val="11"/>
          <w:szCs w:val="11"/>
          <w:i w:val="1"/>
          <w:iCs w:val="1"/>
          <w:color w:val="auto"/>
        </w:rPr>
        <w:t xml:space="preserve"> </w:t>
      </w:r>
      <w:r>
        <w:rPr>
          <w:rFonts w:ascii="Arial" w:cs="Arial" w:eastAsia="Arial" w:hAnsi="Arial"/>
          <w:sz w:val="11"/>
          <w:szCs w:val="11"/>
          <w:color w:val="auto"/>
        </w:rPr>
        <w:t>with our current and potential customers. Through the direct connection with our customers, we are able to better understand their needs and apprise them of new product offerings and technological advances in our current IFC systems, related instrumentation and software, while maintaining a consistent marketing message and high level of customer service.</w:t>
      </w:r>
    </w:p>
    <w:p>
      <w:pPr>
        <w:spacing w:after="0" w:line="32"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Enhance IFC Manufacturing Efficiency. </w:t>
      </w:r>
      <w:r>
        <w:rPr>
          <w:rFonts w:ascii="Arial" w:cs="Arial" w:eastAsia="Arial" w:hAnsi="Arial"/>
          <w:sz w:val="13"/>
          <w:szCs w:val="13"/>
          <w:color w:val="auto"/>
        </w:rPr>
        <w:t>We intend to enhance our manufacturing efficiency through improvements in our existing processes, development of new IFC designs</w:t>
      </w:r>
      <w:r>
        <w:rPr>
          <w:rFonts w:ascii="Arial" w:cs="Arial" w:eastAsia="Arial" w:hAnsi="Arial"/>
          <w:sz w:val="13"/>
          <w:szCs w:val="13"/>
          <w:i w:val="1"/>
          <w:iCs w:val="1"/>
          <w:color w:val="auto"/>
        </w:rPr>
        <w:t xml:space="preserve"> </w:t>
      </w:r>
      <w:r>
        <w:rPr>
          <w:rFonts w:ascii="Arial" w:cs="Arial" w:eastAsia="Arial" w:hAnsi="Arial"/>
          <w:sz w:val="13"/>
          <w:szCs w:val="13"/>
          <w:color w:val="auto"/>
        </w:rPr>
        <w:t>and implementation of new manufacturing methods in order to improve our manufacturing yields and reduce our manufacturing costs. We believe that these improvements will enable us to deliver additional value to our customers and to maintain or enhance our advantages over competing systems.</w:t>
      </w:r>
    </w:p>
    <w:p>
      <w:pPr>
        <w:spacing w:after="0" w:line="67"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Continue to Develop our Technology and Intellectual Property Position. </w:t>
      </w:r>
      <w:r>
        <w:rPr>
          <w:rFonts w:ascii="Arial" w:cs="Arial" w:eastAsia="Arial" w:hAnsi="Arial"/>
          <w:sz w:val="13"/>
          <w:szCs w:val="13"/>
          <w:color w:val="auto"/>
        </w:rPr>
        <w:t>Our products are based on a set of related proprietary technologies that we have either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currently market two IFC systems, the BioMark system for real-time qPCR and the Topaz system for protein crystallization. Each system consists of single-use IFCs, loaders that control the IFCs, readers that detect reactions on the IFCs and software for analyzing, annotating and archiving the data produced by the readers.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BioMark System for Real-Time qPCR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BioMark system allows users to perform gene expression analysis, genotyping and digital PCR using standard TaqMan chemistry.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Dynamic Array IFCs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BioMark 48.48 Dynamic Array IFC is based on matrix architecture that allows users to individually assay 48 samples against 48 primer-probe sets, generating 2,304 real-time qPCR reactions on a single device. One version of this IFC is optimized to perform gene expression analysis and another is optimized for genotyping, each assay in volumes of 10 nanoliters or less.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commercially introduced our Dynamic Arrays in the fourth quarter of 2006 and, as of March 29, 2008, 23 customers have purchased Dynamic Array IFCs for use in applications, such as SNP association follow-up studies and single stem-cell gene expression profiling. In May 2008, we launched our 96.96 Dynamic Array IFC, which is configured to run 96 samples against 96 primer-probe sets, generating 9,216 reactions.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Digital Array IFCs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BioMark 12.765 Digital Array IFC is based on partitioning architecture that allows users to divide 12 separate samples into 765 smaller samples and perform a real-time qPCR assay against each sample in less than 10 nanoliter volumes. This IFC can be used for digital PCR and to precisely quantify the amount of a particular nucleic acid sequence present in a sample. We have been selling Digital Array IFCs since March 2007 and, as of March 29, 2008, 14 customers have purchased Digital Array IFCs for use in applications, such as characterizing unculturable bacteria and cancer detection.</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Instrumentation and Software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NanoFlex IFC Controller for the BioMark system fully automates the setup of IFCs for real-time qPCR-based experiments and includes software for implementing and tracking experiments. The instrumentation for our BioMark system controls the real-time qPCR process and detects the fluorescent signals generated using a white light source, emission and excitation filters, precision lenses, a licensed thermal cycler and a digital camera. We also offer various software packages that provide data analysis following data collection. Our analysis software shows data as color-coded maps of every position on the IFC, as amplification curves and as numeric tabular data.</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Topaz System for Protein Crystallization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Topaz system allows users to screen protein samples against a set of reagents in order to determine the optimum conditions for crystallizing a protein. The Topaz system includes IFCs similar to our Dynamic Array architecture that have been optimized for highly efficient protein crystallization screening.</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Screening IFCs and Reagents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1.96, 4.96 and 8.96 Screening IFCs for our Topaz system allow users to test 96 different reagents or reagent concentrations against one, four or eight different protein samples. We estimate that our screening IFCs require only 1% the amount of sample used in standard microwell plate technologies, which is important because protein samples are often extremely scarce or difficult to prepare. The 4.96 and 8.96 IFCs provide greater fluid handling efficiency by enabling the parallel processing of different samples containing a particular protein or different constructs of the same protein on a single IFC. This parallel processing saves pipetting steps and allows the user to determine the best sample or construct to use when scaling up production of a protein to generate diffraction-quality crystals.</w:t>
      </w:r>
    </w:p>
    <w:p>
      <w:pPr>
        <w:spacing w:after="0" w:line="71"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We also re-sell third party reagents that we have tested with our Topaz system. Though our customers may purchase or make their own reagents for use with our system, we recommend that they use reagents that we have validated.</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commercially introduced our Topaz systems in the first quarter of 2003 and, as of March 29, 2008, 75 customers have purchased Topaz IFCs for use in applications such as functional studies and structure-based drug design.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Instrumentation and Software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NanoFlex IFC controller for the Topaz system fully automates the setup of diffusion-based protein crystallization experiments and includes software for tracking experiments.</w:t>
      </w:r>
    </w:p>
    <w:p>
      <w:pPr>
        <w:spacing w:after="0" w:line="108"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Topaz AutoInspeX II workstation automates the scanning of Topaz IFCs and the identification of reaction chambers where crystallization has occurred. The AutoInspeX II incorporates high-end optical performance and a full suite of software for analyzing and archiving crystallization results. The sophisticated instrumentation and software included in our Topaz system enables users to automatically image and accurately score crystals as small as 10 microns by 20 microns.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We distribute our systems through our direct field sales and support organizations located in North America, Europe and Asia and through distributors or sales agents in several European countries. Our global sales force is able to apprise our current and potential customers of new product offerings and technological advances in our current IFC systems, related instrumentation and software to help drive revenue growth. As our primary point of contact in the marketplace, our sales force ensures a consistent marketing message and high level of customer service, while enhancing our understanding of customer needs. As of December 29, 2007, we had 24 people employed in sales, sales support and marketing, including 9 sales representatives.</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sales and marketing efforts are targeted at laboratory directors and principal investigators at leading companies and institutions who need reliable, high throughput life science automation solutions to conduct large-scale experimentation. We seek to increase awareness of our products among our target customers through participation in tradeshows and academic conferences including sponsoring scientific lectures by prominent users of our systems. Because our systems are relatively new and require a capital investment, the sales process typically involves numerous interactions and demonstrations with multiple people within an organization. In addition, potential customers will often wish to conduct in-depth evaluations of the system including running identical sets of samples and reagents on both our system and competing systems. As a result of these factors and the budget cycles of our customers, our sales cycle, the time from initial contact with a customer to our receipt of a purchase order, can often be 12 months or longer.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have sold our BioMark and Topaz systems to a wide variety of biotechnology and pharmaceutical companies and to academic, governmental and clinical research institutions. As of March 29, 2008, 75 of our Topaz systems have been installed at customer sites and 20 of our BioMark systems have been installed at customer sites. The following is a list of our representative customers in each of the listed markets.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200" w:type="dxa"/>
            <w:vAlign w:val="bottom"/>
          </w:tcPr>
          <w:p>
            <w:pPr>
              <w:ind w:left="1780"/>
              <w:spacing w:after="0"/>
              <w:rPr>
                <w:sz w:val="20"/>
                <w:szCs w:val="20"/>
                <w:color w:val="auto"/>
              </w:rPr>
            </w:pPr>
            <w:r>
              <w:rPr>
                <w:rFonts w:ascii="Arial" w:cs="Arial" w:eastAsia="Arial" w:hAnsi="Arial"/>
                <w:sz w:val="10"/>
                <w:szCs w:val="10"/>
                <w:b w:val="1"/>
                <w:bCs w:val="1"/>
                <w:color w:val="auto"/>
              </w:rPr>
              <w:t>Customer</w:t>
            </w:r>
          </w:p>
        </w:tc>
        <w:tc>
          <w:tcPr>
            <w:tcW w:w="2460" w:type="dxa"/>
            <w:vAlign w:val="bottom"/>
          </w:tcPr>
          <w:p>
            <w:pPr>
              <w:ind w:left="1540"/>
              <w:spacing w:after="0"/>
              <w:rPr>
                <w:sz w:val="20"/>
                <w:szCs w:val="20"/>
                <w:color w:val="auto"/>
              </w:rPr>
            </w:pPr>
            <w:r>
              <w:rPr>
                <w:rFonts w:ascii="Arial" w:cs="Arial" w:eastAsia="Arial" w:hAnsi="Arial"/>
                <w:sz w:val="10"/>
                <w:szCs w:val="10"/>
                <w:b w:val="1"/>
                <w:bCs w:val="1"/>
                <w:color w:val="auto"/>
              </w:rPr>
              <w:t>Market</w:t>
            </w:r>
          </w:p>
        </w:tc>
        <w:tc>
          <w:tcPr>
            <w:tcW w:w="420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pplication</w:t>
            </w:r>
          </w:p>
        </w:tc>
      </w:tr>
      <w:tr>
        <w:trPr>
          <w:trHeight w:val="197"/>
        </w:trPr>
        <w:tc>
          <w:tcPr>
            <w:tcW w:w="3200" w:type="dxa"/>
            <w:vAlign w:val="bottom"/>
          </w:tcPr>
          <w:p>
            <w:pPr>
              <w:spacing w:after="0"/>
              <w:rPr>
                <w:sz w:val="20"/>
                <w:szCs w:val="20"/>
                <w:color w:val="auto"/>
              </w:rPr>
            </w:pPr>
            <w:r>
              <w:rPr>
                <w:rFonts w:ascii="Arial" w:cs="Arial" w:eastAsia="Arial" w:hAnsi="Arial"/>
                <w:sz w:val="13"/>
                <w:szCs w:val="13"/>
                <w:color w:val="auto"/>
              </w:rPr>
              <w:t>MedImmune</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0"/>
              </w:rPr>
              <w:t>Pharmaceutical drug development — real-time qPCR for gene expression</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profiling in research and clinical trials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Myriad Genetics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Cancer and diagnostics research — real-time qPCR for differential gene</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expression in cancer studies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Merck &amp; Co.</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rPr>
              <w:t>Gene expression profiling for pharmaceutical drug development</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Alaska Department of Fish and Game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9"/>
              </w:rPr>
              <w:t>Government wild-life resource management — SNP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identification of salmon species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National Cancer Institute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Academic basic research; clinical diagnostics research —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cancer research</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Chinese University of Hong Kong</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5"/>
              </w:rPr>
              <w:t>Digital PCR</w:t>
            </w:r>
          </w:p>
        </w:tc>
        <w:tc>
          <w:tcPr>
            <w:tcW w:w="4200" w:type="dxa"/>
            <w:vAlign w:val="bottom"/>
          </w:tcPr>
          <w:p>
            <w:pPr>
              <w:ind w:left="340"/>
              <w:spacing w:after="0"/>
              <w:rPr>
                <w:sz w:val="20"/>
                <w:szCs w:val="20"/>
                <w:color w:val="auto"/>
              </w:rPr>
            </w:pPr>
            <w:r>
              <w:rPr>
                <w:rFonts w:ascii="Arial" w:cs="Arial" w:eastAsia="Arial" w:hAnsi="Arial"/>
                <w:sz w:val="13"/>
                <w:szCs w:val="13"/>
                <w:color w:val="auto"/>
                <w:w w:val="91"/>
              </w:rPr>
              <w:t>Academic basic research; clinical diagnostics research — digital PCR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early cancer detection</w:t>
            </w:r>
          </w:p>
        </w:tc>
      </w:tr>
      <w:tr>
        <w:trPr>
          <w:trHeight w:val="165"/>
        </w:trPr>
        <w:tc>
          <w:tcPr>
            <w:tcW w:w="3200" w:type="dxa"/>
            <w:vAlign w:val="bottom"/>
          </w:tcPr>
          <w:p>
            <w:pPr>
              <w:spacing w:after="0"/>
              <w:rPr>
                <w:sz w:val="20"/>
                <w:szCs w:val="20"/>
                <w:color w:val="auto"/>
              </w:rPr>
            </w:pPr>
            <w:r>
              <w:rPr>
                <w:rFonts w:ascii="Arial" w:cs="Arial" w:eastAsia="Arial" w:hAnsi="Arial"/>
                <w:sz w:val="13"/>
                <w:szCs w:val="13"/>
                <w:color w:val="auto"/>
              </w:rPr>
              <w:t>Vertex Pharmaceuticals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4"/>
              </w:rPr>
              <w:t>Protein crystallization</w:t>
            </w:r>
          </w:p>
        </w:tc>
        <w:tc>
          <w:tcPr>
            <w:tcW w:w="4200" w:type="dxa"/>
            <w:vAlign w:val="bottom"/>
          </w:tcPr>
          <w:p>
            <w:pPr>
              <w:ind w:left="340"/>
              <w:spacing w:after="0"/>
              <w:rPr>
                <w:sz w:val="20"/>
                <w:szCs w:val="20"/>
                <w:color w:val="auto"/>
              </w:rPr>
            </w:pPr>
            <w:r>
              <w:rPr>
                <w:rFonts w:ascii="Arial" w:cs="Arial" w:eastAsia="Arial" w:hAnsi="Arial"/>
                <w:sz w:val="13"/>
                <w:szCs w:val="13"/>
                <w:color w:val="auto"/>
              </w:rPr>
              <w:t>Pharmaceutical drug discovery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-1228090</wp:posOffset>
            </wp:positionV>
            <wp:extent cx="2476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-1228090</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Revenue Concentration. </w:t>
      </w:r>
      <w:r>
        <w:rPr>
          <w:rFonts w:ascii="Arial" w:cs="Arial" w:eastAsia="Arial" w:hAnsi="Arial"/>
          <w:sz w:val="13"/>
          <w:szCs w:val="13"/>
          <w:color w:val="auto"/>
        </w:rPr>
        <w:t>We receive a substantial portion of our revenue from a limited number of customers and grantors. For the year ended December 29, 2007, the Singapore</w:t>
      </w:r>
      <w:r>
        <w:rPr>
          <w:rFonts w:ascii="Arial" w:cs="Arial" w:eastAsia="Arial" w:hAnsi="Arial"/>
          <w:sz w:val="13"/>
          <w:szCs w:val="13"/>
          <w:i w:val="1"/>
          <w:iCs w:val="1"/>
          <w:color w:val="auto"/>
        </w:rPr>
        <w:t xml:space="preserve"> </w:t>
      </w:r>
      <w:r>
        <w:rPr>
          <w:rFonts w:ascii="Arial" w:cs="Arial" w:eastAsia="Arial" w:hAnsi="Arial"/>
          <w:sz w:val="13"/>
          <w:szCs w:val="13"/>
          <w:color w:val="auto"/>
        </w:rPr>
        <w:t>Economic Development Board, or EDB, accounted for 24% of our total revenue. For the year ended December 31, 2006, CTI Molecular Imaging accounted for 16% of our total revenue, Kikotech Co., Ltd. accounted for 14% of our total revenue and EDB accounted for 14% of our total revenue. For the year ended December 31, 2005, Kikotech accounted for 16% of our total revenue and a collaboration agreement accounted for 14% of our total revenue. We anticipate that we will continue to be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dependent on a limited number of customers and grantors for a significant portion of our revenue in the near future. The loss of any of these customers could have a material adverse effect on our results of operations and cash flows.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and additional applications using established laboratory techniques. For example, companies such as Affymetrix, Applied Biosystems, BioTrove, Illumina, Roche Diagnostics and Sequenom have products for gene expression and/or genotyping that compete in certain segments of the market in which we sell our BioMark system. In addition, a number of other companies and academic groups are in the process of developing novel technologies for genetic analysis, many of which have also received grants from the National Human Genome Research Institute, a branch of the National Institutes of Health.</w:t>
      </w:r>
    </w:p>
    <w:p>
      <w:pPr>
        <w:spacing w:after="0" w:line="7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high-throughput life science platforms industry is highly competitive and expected to grow more competitive with the increasing knowledge gained from molecular biology experimentation. Many of our competitors are either publicly-traded or are divisions of publicly-traded companies and enjoy several competitive advantages over us, including:</w:t>
      </w:r>
    </w:p>
    <w:p>
      <w:pPr>
        <w:spacing w:after="0" w:line="35"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significantly greater name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greater financial and human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broader product lines and product packages;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larger sales forces;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larger and more geographically dispersed customer support 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substantial intellectual property portfolios;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established customer bases and relationships; and</w:t>
      </w:r>
    </w:p>
    <w:p>
      <w:pPr>
        <w:spacing w:after="0" w:line="86" w:lineRule="exact"/>
        <w:rPr>
          <w:rFonts w:ascii="Arial" w:cs="Arial" w:eastAsia="Arial" w:hAnsi="Arial"/>
          <w:sz w:val="13"/>
          <w:szCs w:val="13"/>
          <w:color w:val="auto"/>
        </w:rPr>
      </w:pPr>
    </w:p>
    <w:p>
      <w:pPr>
        <w:ind w:left="1080" w:right="5220" w:firstLine="10"/>
        <w:spacing w:after="0" w:line="466"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greater experience in research and development, manufacturing and marketing. We believe that the principal competitive factors in our markets include:</w:t>
      </w: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cost of capital equipment and supplies;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accuracy and reproducibility of results;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compatibility with existing laboratory processes.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order to successfully compete with existing products and future technologies, we will need to demonstrate to potential customers that the cost savings and performance of our technologies and products, as well as our customer support capabilities, are superior to those of our competitors.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are based on a tiered set of related proprietary technologies that we have either developed internally or licensed from third parties.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Multi-Layer Soft Lithography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IFCs are manufactured using a technology known as multi-layer soft lithography, or MSL. With MSL, we are able to use standard semiconductor manufacturing techniques, along with certain proprietary processes, to create complex integrated microfluidic devices.</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Using MSL technology, we are able to create valves, chambers, channels and other fluidic components on our IFCs at high density. We combine these components in complex arrangements that allow nanoliter quantities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fluids to be precisely directed to specific positions within the IFC. Unlike most prior microfluidic technologies, our IFCs do not rely on electricity, magnetism or similar approaches to control fluid movement. Rather, our IFCs control fluid flow with valves. The most important components on our IFCs are our NanoFlex valves, which are created by the intersection of two channels. When the valve is open, fluid is able to flow through the lower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IFC cores allow our NanoFlex valves to form a reliable seal and cycle through millions of openings and closings.</w:t>
      </w:r>
    </w:p>
    <w:p>
      <w:pPr>
        <w:spacing w:after="0" w:line="5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elastomer we currently use for our commercial products is a form of silicone rubber known as polydimethylsiloxane, or PDMS, but we have researched other materials with different properties for specific purposes. PDMS is transparent, which allows fluid movement to be easily monitored with a variety of existing optical technologies, such as bright field or phase contrast microscopy. In addition,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PDMS also supports an environment that is favorable to maintaining cell cultures.</w:t>
      </w:r>
    </w:p>
    <w:p>
      <w:pPr>
        <w:spacing w:after="0" w:line="71"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We have developed commercial manufacturing processes to fabricate valves, channels and chambers with dimensions in the 10 to 100 micron range, at high density and with high reliability.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IFCs with nanoliter volume features.</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Integrated Fluidic Circuits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IFCs incorporate several different types of technology that together enable us to use MSL to rapidly design and deploy new microfluidic applications.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Microfluidic Components. </w:t>
      </w:r>
      <w:r>
        <w:rPr>
          <w:rFonts w:ascii="Arial" w:cs="Arial" w:eastAsia="Arial" w:hAnsi="Arial"/>
          <w:sz w:val="12"/>
          <w:szCs w:val="12"/>
          <w:color w:val="auto"/>
        </w:rPr>
        <w:t>The first level of our IFC technology is a library of components that perform basic microfluidic functions. We have proven designs for numerous elements,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a typical overall circuit size of three centimeters by three centimeters. As a result, we are routinely able to develop IFCs that perform thousands of reactions per square centimeter.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Architectures. </w:t>
      </w:r>
      <w:r>
        <w:rPr>
          <w:rFonts w:ascii="Arial" w:cs="Arial" w:eastAsia="Arial" w:hAnsi="Arial"/>
          <w:sz w:val="12"/>
          <w:szCs w:val="12"/>
          <w:color w:val="auto"/>
        </w:rPr>
        <w:t>The second level of our IFC technology comprises the architectures we have designed to exploit our ability to conduct thousands of reactions on a single IFC.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of these is the Dynamic Array,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has to be pipetted only once per IFC rather than once per reaction, as is the case with plate-based technologies. For example, a single 48.48 Dynamic Array IFC can perform a total of 2,304 unique reactions between 48 samples and 48 reagents with only 96 pipetting steps. With conventional microwell plate-based technologies, the same experiment would require about 4,608 pipetting steps and at least six conventional microwell plates. Our Digital Array architecture provides similar benefits with respect to pipetting steps and fluid handling. The Digital Array architecture allows a sample to be split into hundreds or thousands of smaller samples. Separate reactions can then be conducted on each of the smaller samples.</w:t>
      </w:r>
    </w:p>
    <w:p>
      <w:pPr>
        <w:spacing w:after="0" w:line="5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Interface and Handling Frames. </w:t>
      </w:r>
      <w:r>
        <w:rPr>
          <w:rFonts w:ascii="Arial" w:cs="Arial" w:eastAsia="Arial" w:hAnsi="Arial"/>
          <w:sz w:val="13"/>
          <w:szCs w:val="13"/>
          <w:color w:val="auto"/>
        </w:rPr>
        <w:t>The third level of our IFC technology involves the interaction of our IFCs with the actual laboratory environment. The elastomeric blocks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center of our IFCs sit in specially designed frames that are able to deliver samples and reagents to the block. These frames are the same size as standard 384 microwell plates and have sample and reagent input ports laid out in a standard 384 microwell plate format. As a result, our IFCs can be loaded with standard laboratory pipetting robots and can be used with standard plate handling equipment.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Technological Advances. </w:t>
      </w:r>
      <w:r>
        <w:rPr>
          <w:rFonts w:ascii="Arial" w:cs="Arial" w:eastAsia="Arial" w:hAnsi="Arial"/>
          <w:sz w:val="12"/>
          <w:szCs w:val="12"/>
          <w:color w:val="auto"/>
        </w:rPr>
        <w:t>In the second quarter of 2002, we sold the first prototype of our 1.48 IFC for our Topaz system, which featured 22 valves capable of 2.5 assays per square</w:t>
      </w:r>
      <w:r>
        <w:rPr>
          <w:rFonts w:ascii="Arial" w:cs="Arial" w:eastAsia="Arial" w:hAnsi="Arial"/>
          <w:sz w:val="12"/>
          <w:szCs w:val="12"/>
          <w:i w:val="1"/>
          <w:iCs w:val="1"/>
          <w:color w:val="auto"/>
        </w:rPr>
        <w:t xml:space="preserve"> </w:t>
      </w:r>
      <w:r>
        <w:rPr>
          <w:rFonts w:ascii="Arial" w:cs="Arial" w:eastAsia="Arial" w:hAnsi="Arial"/>
          <w:sz w:val="12"/>
          <w:szCs w:val="12"/>
          <w:color w:val="auto"/>
        </w:rPr>
        <w:t>centimeter. In the second quarter of 2006, we introduced our 12.765 Digital Array IFC, with over 1,000 valves capable of more than 1,000 assays per square centimeter, a 46-fold increase in valve density and a 400-fold increase in assay capability. The chart below illustrates the timing of a number of our technological advances. We introduced our 96.96 Dynamic Array IFC in May 2008, which again increased the number of valves and assays per square centimeter relative to the 48.48 Dynamic Array. In the semiconductor industry, Moore’s Law describes the principle that the shrinking of features has allowed for a doubling of transistors on a chip approximately every 18 months. Based on manufacturing processes borrowed from those in the semiconductor industry, Fluidigm has similarly achieved significant gains in the density and productivity of our IFCs.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93345</wp:posOffset>
            </wp:positionV>
            <wp:extent cx="3183255" cy="1809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832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Software and Instrumentation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developed instrumentation technology to load samples and reagents on to the IFC and to control and monitor reactions within our IFCs. Our NanoFlex controller consists of commercial pneumatic components and both custom and commercial electronics. It uses precise control of multiple pressures to independently move fluid through up to four IFCs simultaneously and can be configured for use with either our BioMark or Topaz systems. Our Topaz Auto-InspeX II workstation consists of a commercial microscope, illumination source, stage and camera system in a single package. Our BioMark system consists of a commercial thermal cycler packaged with a sophisticated fluorescence detection system. All of these instruments are designed to be easily introduced into standard automated lab environments.</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developed specialized software packages to manage and analyze the unusually large amounts of data produced by our systems. Our BioMark gene expression analysis software automatically identifies individual real-time qPCR reactions from fluorescent images and generates amplification threshold crossing values allowing researchers to readily perform complete normalized comparative gene expression analysis across large numbers of samples and assays. Similarly, the BioMark genotyping analysis software automatically clusters fluorescent intensities from individual genotype reactions and makes genotype calls across individual and multiple IFC runs. Our Topaz system software incorporates sophisticated image processing and analysis functionality that enables the automatic detection and classification of protein crystals. Most of our software development uses Microsoft.NET tools to facilitate interaction with typical laboratory information management systems.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Our manufacturing operations are located in Singapore and South San Francisco. Our Singapore facility fabricates all of our IFCs for commercial sale. IFCs for research and development purposes are fabricated at both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locations. We manufacture instrument systems at both locations, with certain instruments assembled in Singapore and others in South San Francisco.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Singapore facility commenced operations in October 2005 and established full process capability for its first product, the Topaz Screening IFC, in June 2006 and for its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Dynamic Array, the 48.48 Dynamic Array in October 2006. Our Singapore facility has been producing components for our Topaz system since October 2006 and components for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BioMark system since December 2007.</w:t>
      </w:r>
    </w:p>
    <w:p>
      <w:pPr>
        <w:spacing w:after="0" w:line="8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established our manufacturing facility in Singapore to take advantage of the skilled workforce, supplier and partner network, lower operating costs and government support available there. Our IFC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for IFC fabrication. We have made significant improvements in yields through process improvements at our Singapore facility and IFC production increased three-fold in 2007 compared to 2006.</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manufacturing operations in Singapore have been supported by grants from the Singapore Economic Development Board, or EDB, which provide incentive grant payments for research, development and manufacturing activity in Singapore. Our arrangements with EDB require us to maintain a significant and increasing manufacturing and research and development presence in Singapore.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South San Francisco facility began producing Topaz systems in 2002. In 2005, our South San Francisco facility began assembling instrumentation for our BioMark system.</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expect that our existing manufacturing capacity for instrumentation and IFCs is sufficient to meet our needs for at least the next two years. However, we are considering developing additional capacity in order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thermal cycler customized to our specifications, a specialized polymer from which our IFC cores are fabricated, the plastic carrier that holds the IFC core in certain of our products and the specialized high resolution camera lenses used in the reader for our BioMark system. We are neither a major customer of our suppliers, nor do we have long term supply contracts with most of these suppliers. These suppliers may therefore give other customers’ needs higher priority than ours, and we may not be able to obtain adequate supply in a timely manner or on commercially reasonable terms.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have entered into a supply agreement with Eppendorf AG to provide to us a thermal cycler customized to our specifications. Pursuant to this agreement, we have agreed to purchase from Eppendorf at least a specified minimum number of units each year in exchange for volume discounts. We have also agreed, during the term of the agreement, not to manufacture or sell a product, in stand-alone form, or compete in any way directly or indirectly with the customized thermal cycler provided by Eppedorf in stand-alone form. Eppendorf has agreed to refrain from providing a similarly customized unit to any person or entity until two years after the agreement has terminated. Either party may terminate the agreement with good reason, which includes a failure to timely deliver conforming units, subject to a cure period. Eppendorf may terminate the agreement if we purchase fewer than 75% of the specified minimum units for each of two consecutive years. After April 1, 2010, either party may terminate the supply agreement upon six months prior written notice.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Product and Application Development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largest component of our current research and development effort is in the areas of new product and new application development. In particular, we are focused on extending and supporting the BioMark and Topaz product lines by developing new DNA-based applications, improving the introduction of these products into existing workflows of our customers and increasing the functionality of the products. For example, the addition of multi-color analysis allows Digital Array users to analyze as many as 36,720 real-time qPCR assays in parallel on a single Digital Array.</w:t>
      </w:r>
    </w:p>
    <w:p>
      <w:pPr>
        <w:spacing w:after="0" w:line="70"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We are also developing new product lines that leverage our investment in our Dynamic Array and Digital Array architectures. As an example, we have demonstrated Dynamic Array formats that can implement over 1,000 immunoassays in parallel. We also invest in extending the reach of existing chip designs through new chemistries. From time to time, we collaborate with other life science companies, universities and government labs on the development of prototype IFCs for particular purposes. For example, there have been a variety of publications by independent researchers demonstrating the use of MSL for applications such as immunoassays based on surface-plasma resonance, cell culturing and complementary DNA library synthesis from single cells.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Process Development</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second component of our research and development effort is process development. We frequently develop new manufacturing processes and test methods to support new IFC designs, drive down manufacturing cost and increase manufacturing throughput. We also invest in manufacturing automation, process changes and design modifications in order to improve yield and lower costs on existing IFCs.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Technology Development</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have active research and development efforts to increase the density of components on our IFCs and to lower the materials cost of our current production methods. We are evaluating new materials that can increase the functionality of existing products and that would allow our IFCs to be used for a wider variety of biological and chemical reactions. Over the longer term, we are seeking ways to transfer functionality from instrumentation to IFCs to support development of field-based and point-of-care applications.</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research and development expenses were $11.4 million, $15.6 million, $14.4 million and $3.3 million in 2005, 2006, 2007 and the three months ended March 29, 2008. As of December 29, 2007, 68 of our employees were engaged in research and development activities.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59"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Stephen Quake, Ph.D. </w:t>
      </w:r>
      <w:r>
        <w:rPr>
          <w:rFonts w:ascii="Arial" w:cs="Arial" w:eastAsia="Arial" w:hAnsi="Arial"/>
          <w:sz w:val="13"/>
          <w:szCs w:val="13"/>
          <w:color w:val="auto"/>
        </w:rPr>
        <w:t>is a co-founder of Fluidigm and the chair of our scientific advisory board. He is a co-chair of the bioengineering department at Stanford University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investigator of the Howard Hughes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20"/>
        <w:spacing w:after="0" w:line="276" w:lineRule="auto"/>
        <w:rPr>
          <w:sz w:val="20"/>
          <w:szCs w:val="20"/>
          <w:color w:val="auto"/>
        </w:rPr>
      </w:pPr>
      <w:r>
        <w:rPr>
          <w:rFonts w:ascii="Arial" w:cs="Arial" w:eastAsia="Arial" w:hAnsi="Arial"/>
          <w:sz w:val="13"/>
          <w:szCs w:val="13"/>
          <w:color w:val="auto"/>
        </w:rPr>
        <w:t>Medical Institute. Dr. Quake received a B.S. in Physics and a M.S. in Mathematics from Stanford University and a Ph.D. in Physics from Oxford University. Dr. Quake has been a member of our scientific advisory board since June 1999.</w:t>
      </w:r>
    </w:p>
    <w:p>
      <w:pPr>
        <w:spacing w:after="0" w:line="59"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 xml:space="preserve">Frances H. Arnold, Ph.D. </w:t>
      </w:r>
      <w:r>
        <w:rPr>
          <w:rFonts w:ascii="Arial" w:cs="Arial" w:eastAsia="Arial" w:hAnsi="Arial"/>
          <w:sz w:val="13"/>
          <w:szCs w:val="13"/>
          <w:color w:val="auto"/>
        </w:rPr>
        <w:t>is the Dick and Barbara Dickinson Professor of chemical engineering and biochemistry at the California Institute of Technology. She is a member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70" w:lineRule="exact"/>
        <w:rPr>
          <w:sz w:val="20"/>
          <w:szCs w:val="20"/>
          <w:color w:val="auto"/>
        </w:rPr>
      </w:pPr>
    </w:p>
    <w:p>
      <w:pPr>
        <w:jc w:val="both"/>
        <w:ind w:left="1080" w:right="160" w:firstLine="383"/>
        <w:spacing w:after="0" w:line="264" w:lineRule="auto"/>
        <w:rPr>
          <w:sz w:val="20"/>
          <w:szCs w:val="20"/>
          <w:color w:val="auto"/>
        </w:rPr>
      </w:pPr>
      <w:r>
        <w:rPr>
          <w:rFonts w:ascii="Arial" w:cs="Arial" w:eastAsia="Arial" w:hAnsi="Arial"/>
          <w:sz w:val="13"/>
          <w:szCs w:val="13"/>
          <w:i w:val="1"/>
          <w:iCs w:val="1"/>
          <w:color w:val="auto"/>
        </w:rPr>
        <w:t xml:space="preserve">James M. Berger, Ph.D. </w:t>
      </w:r>
      <w:r>
        <w:rPr>
          <w:rFonts w:ascii="Arial" w:cs="Arial" w:eastAsia="Arial" w:hAnsi="Arial"/>
          <w:sz w:val="13"/>
          <w:szCs w:val="13"/>
          <w:color w:val="auto"/>
        </w:rPr>
        <w:t>is a Professor of Biochemistry and Molecular Biology at the University of California, Berkeley and a member of the Physical Biosciences Division,</w:t>
      </w:r>
      <w:r>
        <w:rPr>
          <w:rFonts w:ascii="Arial" w:cs="Arial" w:eastAsia="Arial" w:hAnsi="Arial"/>
          <w:sz w:val="13"/>
          <w:szCs w:val="13"/>
          <w:i w:val="1"/>
          <w:iCs w:val="1"/>
          <w:color w:val="auto"/>
        </w:rPr>
        <w:t xml:space="preserve"> </w:t>
      </w:r>
      <w:r>
        <w:rPr>
          <w:rFonts w:ascii="Arial" w:cs="Arial" w:eastAsia="Arial" w:hAnsi="Arial"/>
          <w:sz w:val="13"/>
          <w:szCs w:val="13"/>
          <w:color w:val="auto"/>
        </w:rPr>
        <w:t>Lawrence Berkeley National Laboratory. Dr. Berger received a B.S. in Biochemistry from the University of Utah and a Ph.D. in Biochemistry from Harvard University. Dr. Berger has been a member of our scientific advisory board since June 2002.</w:t>
      </w:r>
    </w:p>
    <w:p>
      <w:pPr>
        <w:spacing w:after="0" w:line="67"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Carl Hansen, Ph.D. </w:t>
      </w:r>
      <w:r>
        <w:rPr>
          <w:rFonts w:ascii="Arial" w:cs="Arial" w:eastAsia="Arial" w:hAnsi="Arial"/>
          <w:sz w:val="13"/>
          <w:szCs w:val="13"/>
          <w:color w:val="auto"/>
        </w:rPr>
        <w:t>is an Assistant Professor in the Department of Physics and Astronomy at the University of British Columbia. Dr. Hansen received a Ph.D. and M.S. in</w:t>
      </w:r>
      <w:r>
        <w:rPr>
          <w:rFonts w:ascii="Arial" w:cs="Arial" w:eastAsia="Arial" w:hAnsi="Arial"/>
          <w:sz w:val="13"/>
          <w:szCs w:val="13"/>
          <w:i w:val="1"/>
          <w:iCs w:val="1"/>
          <w:color w:val="auto"/>
        </w:rPr>
        <w:t xml:space="preserve"> </w:t>
      </w:r>
      <w:r>
        <w:rPr>
          <w:rFonts w:ascii="Arial" w:cs="Arial" w:eastAsia="Arial" w:hAnsi="Arial"/>
          <w:sz w:val="13"/>
          <w:szCs w:val="13"/>
          <w:color w:val="auto"/>
        </w:rPr>
        <w:t>Applied Physics from the California Institute of Technology and a B.S. in Engineering Physics/Electrical Engineering/Honors Math from the University of British Columbia. Dr. Hansen has been a member of our Scientific Advisory Board since May 2008.</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Frank McCormick, Ph.D. </w:t>
      </w:r>
      <w:r>
        <w:rPr>
          <w:rFonts w:ascii="Arial" w:cs="Arial" w:eastAsia="Arial" w:hAnsi="Arial"/>
          <w:sz w:val="13"/>
          <w:szCs w:val="13"/>
          <w:color w:val="auto"/>
        </w:rPr>
        <w:t>is the David A. Wood Distinguished Professor of Tumor Biology and the E. Dixon Heise Distinguished Professor in Oncology at the University of</w:t>
      </w:r>
      <w:r>
        <w:rPr>
          <w:rFonts w:ascii="Arial" w:cs="Arial" w:eastAsia="Arial" w:hAnsi="Arial"/>
          <w:sz w:val="13"/>
          <w:szCs w:val="13"/>
          <w:i w:val="1"/>
          <w:iCs w:val="1"/>
          <w:color w:val="auto"/>
        </w:rPr>
        <w:t xml:space="preserve"> </w:t>
      </w:r>
      <w:r>
        <w:rPr>
          <w:rFonts w:ascii="Arial" w:cs="Arial" w:eastAsia="Arial" w:hAnsi="Arial"/>
          <w:sz w:val="13"/>
          <w:szCs w:val="13"/>
          <w:color w:val="auto"/>
        </w:rPr>
        <w:t>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70" w:lineRule="exact"/>
        <w:rPr>
          <w:sz w:val="20"/>
          <w:szCs w:val="20"/>
          <w:color w:val="auto"/>
        </w:rPr>
      </w:pPr>
    </w:p>
    <w:p>
      <w:pPr>
        <w:jc w:val="both"/>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Howard M. Shapiro, M.D. </w:t>
      </w:r>
      <w:r>
        <w:rPr>
          <w:rFonts w:ascii="Arial" w:cs="Arial" w:eastAsia="Arial" w:hAnsi="Arial"/>
          <w:sz w:val="13"/>
          <w:szCs w:val="13"/>
          <w:color w:val="auto"/>
        </w:rPr>
        <w:t>is a lecturer on Pathology at Harvard Medical School, a visiting scientist at the Rosenstiel Basic Medical Sciences Research Center at Brandeis</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67" w:lineRule="exact"/>
        <w:rPr>
          <w:sz w:val="20"/>
          <w:szCs w:val="20"/>
          <w:color w:val="auto"/>
        </w:rPr>
      </w:pPr>
    </w:p>
    <w:p>
      <w:pPr>
        <w:ind w:left="1080" w:right="160" w:firstLine="383"/>
        <w:spacing w:after="0" w:line="296" w:lineRule="auto"/>
        <w:rPr>
          <w:sz w:val="20"/>
          <w:szCs w:val="20"/>
          <w:color w:val="auto"/>
        </w:rPr>
      </w:pPr>
      <w:r>
        <w:rPr>
          <w:rFonts w:ascii="Arial" w:cs="Arial" w:eastAsia="Arial" w:hAnsi="Arial"/>
          <w:sz w:val="12"/>
          <w:szCs w:val="12"/>
          <w:i w:val="1"/>
          <w:iCs w:val="1"/>
          <w:color w:val="auto"/>
        </w:rPr>
        <w:t xml:space="preserve">Richard N. Zare, Ph.D. </w:t>
      </w:r>
      <w:r>
        <w:rPr>
          <w:rFonts w:ascii="Arial" w:cs="Arial" w:eastAsia="Arial" w:hAnsi="Arial"/>
          <w:sz w:val="12"/>
          <w:szCs w:val="12"/>
          <w:color w:val="auto"/>
        </w:rPr>
        <w:t>is the Marguerite Blake Wilbur Professor of Natural Science and chair of the chemistry department at Stanford University. He is a member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Strategy and Position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Fluidigm’s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w:t>
      </w:r>
    </w:p>
    <w:p>
      <w:pPr>
        <w:spacing w:after="0" w:line="70"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in addition to an annual license fee, we agreed to pay to Caltech royalties based on sales revenues of licensed products on a country-by-country basis.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The license agreement will terminate as to each country and licensed product upon expiration of the last-to-expire patent covering licensed products in each country. As of June 30, 2008, we licensed 38 issued U.S. patents and 42 pending U.S. patent applications, as well as corresponding international patent filings, from Caltech. The early termination of our license agreement with Caltech could preclude us from manufacturing or selling any of our IFCs and IFC systems, which would have a material adverse effect on our business.</w:t>
      </w:r>
    </w:p>
    <w:p>
      <w:pPr>
        <w:spacing w:after="0" w:line="5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also have co-exclusive licenses to patents and patent applications owned by Harvard University, a non-exclusive, field-limited license to patents and patent applications controlled by Gyros AB and additional patent licenses from other academic institutions and companies.</w:t>
      </w:r>
    </w:p>
    <w:p>
      <w:pPr>
        <w:spacing w:after="0" w:line="59" w:lineRule="exact"/>
        <w:rPr>
          <w:sz w:val="20"/>
          <w:szCs w:val="20"/>
          <w:color w:val="auto"/>
        </w:rPr>
      </w:pPr>
    </w:p>
    <w:p>
      <w:pPr>
        <w:jc w:val="both"/>
        <w:ind w:left="680" w:firstLine="399"/>
        <w:spacing w:after="0" w:line="301" w:lineRule="auto"/>
        <w:rPr>
          <w:sz w:val="20"/>
          <w:szCs w:val="20"/>
          <w:color w:val="auto"/>
        </w:rPr>
      </w:pPr>
      <w:r>
        <w:rPr>
          <w:rFonts w:ascii="Arial" w:cs="Arial" w:eastAsia="Arial" w:hAnsi="Arial"/>
          <w:sz w:val="11"/>
          <w:szCs w:val="11"/>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we grant a sublicense under other Harvard University patent rights licensed to us which are dominated by the patent rights to be sublicensed and such sublicense is necessary to practice the other Harvard University patent rights. We have issued shares of our common stock to Harvard and, in addition to an annual license fee, we agreed to pay to Harvard royalties based on sales revenues of licensed products on a country-by-country basis.</w:t>
      </w:r>
    </w:p>
    <w:p>
      <w:pPr>
        <w:spacing w:after="0" w:line="2" w:lineRule="exact"/>
        <w:rPr>
          <w:sz w:val="20"/>
          <w:szCs w:val="20"/>
          <w:color w:val="auto"/>
        </w:rPr>
      </w:pPr>
    </w:p>
    <w:p>
      <w:pPr>
        <w:jc w:val="both"/>
        <w:ind w:left="680" w:right="80"/>
        <w:spacing w:after="0" w:line="284" w:lineRule="auto"/>
        <w:rPr>
          <w:sz w:val="20"/>
          <w:szCs w:val="20"/>
          <w:color w:val="auto"/>
        </w:rPr>
      </w:pPr>
      <w:r>
        <w:rPr>
          <w:rFonts w:ascii="Arial" w:cs="Arial" w:eastAsia="Arial" w:hAnsi="Arial"/>
          <w:sz w:val="12"/>
          <w:szCs w:val="12"/>
          <w:color w:val="auto"/>
        </w:rPr>
        <w:t>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 As of June 30, 2008, we licensed five issued U.S. patents and four pending U.S. patent applications, as well as corresponding international patent filings, from Harvard. The early termination of our license agreements with Harvard could preclude us from manufacturing or selling any of our IFCs and IFC systems, which would have a material adverse effect on our business.</w:t>
      </w:r>
    </w:p>
    <w:p>
      <w:pPr>
        <w:spacing w:after="0" w:line="5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 As of June 30, 2008, we licensed one issued U.S. patent as well as corresponding international patent filings from Gyros. The early termination of our license agreement with Gyros AB could preclude us from manufacturing or selling any of our IFCs and IFC systems, which would have a material adverse effect on our business.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license agreement with The UAB Research Foundation grants us an exclusive worldwide license, including the right to sublicense, under certain intellectual property rights. Such license grant is subject to prior existing license grants, plus the reservation of rights to UAB for internal research, academic and educational purposes and/or for performance of services for other institutions and to fulfill obligations to the U.S. government. We prosecute and maintain the patent rights licensed under this agreement. The license agreement will terminate at the expiration of the last-to-expire of the licensed patents. As of June 30, 2008, we licensed four issued U.S. patents and six pending U.S. patent applications, as well as corresponding international patent filings, from UAB. The early termination of our license agreement with UAB could preclude us from manufacturing or selling any of our Topaz IFCs and Topaz IFC systems, which would have a material adverse effect on our business.</w:t>
      </w:r>
    </w:p>
    <w:p>
      <w:pPr>
        <w:spacing w:after="0" w:line="7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IFCs.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of June 30, 2008, we own or have licensed 81 issued U.S. patents and 62 issued international patents. There are 240 pending patent applications, including 116 in the United States, 118 international applications and 6 applications filed under the Patent Cooperation Treaty. The issued patents we have licensed from Caltech expire between 2017 and 2024, and the issued patents owned by us expire between 2018 and 2025.</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patent positions of companies like ours are generally uncertain and involve complex legal and factual questions. Our patents may not enable us to obtain or keep any competitive advantage. Our pending U.S. and foreign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82" w:lineRule="auto"/>
        <w:rPr>
          <w:sz w:val="20"/>
          <w:szCs w:val="20"/>
          <w:color w:val="auto"/>
        </w:rPr>
      </w:pPr>
      <w:r>
        <w:rPr>
          <w:rFonts w:ascii="Arial" w:cs="Arial" w:eastAsia="Arial" w:hAnsi="Arial"/>
          <w:sz w:val="12"/>
          <w:szCs w:val="12"/>
          <w:color w:val="auto"/>
        </w:rPr>
        <w:t>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Federal Food, Drug and Cosmetic Act, or FFDCA, defines medical devices to mean, among other things, “an instrument, apparatus . . . in vitro reagent, or other similar or related article . . . intended for use in the diagnosis of disease or other conditions . . ..” This broad definition includes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they do not fit the definition of a medical device under the FFDCA and thus are not subject to regulation by the U.S. Food and Drug Administration, or FDA.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they would be considered medical devices and FDA clearance or approval would be required.</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Unless an exemption applies, each medical device we wish to commercially distribute in the United States would require either prior 510(k) clearance or prior pre-market approval from the FDA.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FDA, we may be required to cease marketing while we obtain premarket clearance or approval from FDA. There would be no assurance that we could ever obtain such clearance or approval.</w:t>
      </w:r>
    </w:p>
    <w:p>
      <w:pPr>
        <w:spacing w:after="0" w:line="53"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Changes to a device which have received PMA approval typically require a new PMA or PMA supplement. Changes to a device that receives 510(k) clearance, that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If the FDA disagreed with our determination not to seek a new 510(k) clearance,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72"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addition, 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67"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Quality System Regulations,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medical device reporting, or MDR,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correction and removal regulations,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post-market surveillance regulations, which include restrictions on marketing and promotion.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would need to continue to invest significant time and other resources to ensure ongoing compliance with FDA quality system regulations and other post-market regulatory requirements.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9"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fines, injunctions and civil penalties;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recall or seizure 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operating restrictions, partial suspension or total shutdown of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delays in clearance or approval, or failure to obtain approval or clearance of future product candidates or product modifications;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restrictions on labeling and promotion;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warning letters, fines, or injunctions;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withdrawal of previously granted clearances or approvals;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International sales of medical devices are subject to foreign government regulations, which vary substantially from country to country. The primary regulatory environment in Europe is that of the European Union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40"/>
        <w:spacing w:after="0" w:line="276" w:lineRule="auto"/>
        <w:rPr>
          <w:sz w:val="20"/>
          <w:szCs w:val="20"/>
          <w:color w:val="auto"/>
        </w:rPr>
      </w:pPr>
      <w:r>
        <w:rPr>
          <w:rFonts w:ascii="Arial" w:cs="Arial" w:eastAsia="Arial" w:hAnsi="Arial"/>
          <w:sz w:val="13"/>
          <w:szCs w:val="13"/>
          <w:color w:val="auto"/>
        </w:rPr>
        <w:t>directive will be entitled to bear the CE conformity marking, indicating that the device conforms to the essential requirements of the applicable directives and, accordingly, can be commercially distributed throughout Europe.</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29, 2007, we had 131 employees, of which 68 work in research and development, 18 work in general and administrative, 21 work in manufacturing and 24 work in sales and marketing. None of our employees are represented by a labor union or are the subject of a collective bargaining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Environmental Matters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approximately 35,000 square feet of office and laboratory space at our headquarters in South San Francisco, California under leases and subleases that expire in March 2011, and 13,000 square feet of manufacturing and office space at our facility in Singapore under a lease that expires in September 2008. In addition, we lease office space in Tokyo and Osaka, Japan. We are in negotiations to extend and expand our lease relating to our Singapore facility and we believe that our existing office, laboratory and manufacturing space, together with additional space and facilities available on commercially reasonable terms, will be sufficient to meet our needs for at least the next two years.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June 4, 2008 we received a letter from Applied Biosystems, Inc., one of our competitors, asserting that our BioMark System for gene expression analysis infringes upon</w:t>
      </w:r>
    </w:p>
    <w:p>
      <w:pPr>
        <w:spacing w:after="0" w:line="27" w:lineRule="exact"/>
        <w:rPr>
          <w:sz w:val="20"/>
          <w:szCs w:val="20"/>
          <w:color w:val="auto"/>
        </w:rPr>
      </w:pPr>
    </w:p>
    <w:p>
      <w:pPr>
        <w:ind w:left="680" w:right="40"/>
        <w:spacing w:after="0" w:line="255" w:lineRule="auto"/>
        <w:rPr>
          <w:sz w:val="20"/>
          <w:szCs w:val="20"/>
          <w:color w:val="auto"/>
        </w:rPr>
      </w:pPr>
      <w:r>
        <w:rPr>
          <w:rFonts w:ascii="Arial" w:cs="Arial" w:eastAsia="Arial" w:hAnsi="Arial"/>
          <w:sz w:val="13"/>
          <w:szCs w:val="13"/>
          <w:color w:val="auto"/>
        </w:rPr>
        <w:t>U.S. Patent No. 6,814,934, or the ’934 patent, and its foreign counterparts in Europe and Canada, owned by Applied Biosystems’ parent company, Applera Corporation. In response to this letter, on June 9, 2008, we filed suit against Applied Biosystems and Applera in the United States District Court for the Southern District of New York seeking declaratory judgments of non-infringement and invalidity of the ’934 patent. A response from Applied Biosystems and Applera is due July 30, 2008. The Court has yet to set a schedule for this litigation. Applied Biosystems has recently announced that it expects to be acquired by Invitrogen Corporation. This may make it more difficult for us to predict the direction of discussions and litigation among the parties. The ’934 patent is scheduled to expire in May 2011.</w:t>
      </w:r>
    </w:p>
    <w:p>
      <w:pPr>
        <w:spacing w:after="0" w:line="7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Patent infringement suits can be expensive, lengthy and disruptive to business operations. We could incur substantial costs and divert the attention of our management and technical personnel in prosecuting our claims. There can be no assurance that we will prevail in our suit against Applied Biosystems and Applera or in our defense of any claims against us by Applied Biosystems or Applera. Applied Biosystems and Applera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the asserted patent or patents. In addition, we may incur significant costs and expenses as a result of our requirement to defend and indemnify some of our suppliers, distributors, customers and other partners as a result of such claims. In the event that Applied Biosystems is successful in its claim of infringement against us, we may be required to obtain one or more licenses to the asserted patent, which we may not be able to obtain at a reasonable cost, if at all. In addition, we could encounter delays in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product introductions while we attempt to develop alternative methods or products to avoid infringing the asserted patent or patents. This lawsuit or the failure to obtain any required licenses on favorable terms could prevent us from commercializing our BioMark products for gene expression, and the risk of a prohibition on the sale of any of our products could adversely affect our ability to grow and gain market acceptance for our products.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engaged in any other material legal proceedings.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and directors, and their ages and positions as of March 29, 2008,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700" w:type="dxa"/>
            <w:vAlign w:val="bottom"/>
          </w:tcPr>
          <w:p>
            <w:pPr>
              <w:jc w:val="right"/>
              <w:ind w:right="16"/>
              <w:spacing w:after="0"/>
              <w:rPr>
                <w:sz w:val="20"/>
                <w:szCs w:val="20"/>
                <w:color w:val="auto"/>
              </w:rPr>
            </w:pPr>
            <w:r>
              <w:rPr>
                <w:rFonts w:ascii="Arial" w:cs="Arial" w:eastAsia="Arial" w:hAnsi="Arial"/>
                <w:sz w:val="10"/>
                <w:szCs w:val="10"/>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160" w:type="dxa"/>
            <w:vAlign w:val="bottom"/>
          </w:tcPr>
          <w:p>
            <w:pPr>
              <w:spacing w:after="0"/>
              <w:rPr>
                <w:sz w:val="4"/>
                <w:szCs w:val="4"/>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Vikram Jog</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516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Research and Development</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William M. Smith</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5160" w:type="dxa"/>
            <w:vAlign w:val="bottom"/>
          </w:tcPr>
          <w:p>
            <w:pPr>
              <w:ind w:left="80"/>
              <w:spacing w:after="0"/>
              <w:rPr>
                <w:sz w:val="20"/>
                <w:szCs w:val="20"/>
                <w:color w:val="auto"/>
              </w:rPr>
            </w:pPr>
            <w:r>
              <w:rPr>
                <w:rFonts w:ascii="Arial" w:cs="Arial" w:eastAsia="Arial" w:hAnsi="Arial"/>
                <w:sz w:val="13"/>
                <w:szCs w:val="13"/>
                <w:color w:val="auto"/>
              </w:rPr>
              <w:t>Vice President, Legal Affairs and General Counsel, Secretary</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Mai Chan (Grace) Yow</w:t>
            </w:r>
          </w:p>
        </w:tc>
        <w:tc>
          <w:tcPr>
            <w:tcW w:w="17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49</w:t>
            </w:r>
          </w:p>
        </w:tc>
        <w:tc>
          <w:tcPr>
            <w:tcW w:w="516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95"/>
              </w:rPr>
              <w:t>Vice President, Worldwide Manufacturing and Managing Director of Fluidigm Singapore Pte.</w:t>
            </w:r>
          </w:p>
        </w:tc>
      </w:tr>
      <w:tr>
        <w:trPr>
          <w:trHeight w:val="166"/>
        </w:trPr>
        <w:tc>
          <w:tcPr>
            <w:tcW w:w="3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Ltd.</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(2),(3)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68</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Michael W. Hunkapiller, Ph.D</w:t>
            </w:r>
            <w:r>
              <w:rPr>
                <w:rFonts w:ascii="Arial" w:cs="Arial" w:eastAsia="Arial" w:hAnsi="Arial"/>
                <w:sz w:val="11"/>
                <w:szCs w:val="11"/>
                <w:color w:val="auto"/>
              </w:rPr>
              <w:t>(2)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Elaine V. Jones, Ph.D.</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John A. Young</w:t>
            </w:r>
            <w:r>
              <w:rPr>
                <w:rFonts w:ascii="Arial" w:cs="Arial" w:eastAsia="Arial" w:hAnsi="Arial"/>
                <w:sz w:val="11"/>
                <w:szCs w:val="11"/>
                <w:color w:val="auto"/>
              </w:rPr>
              <w:t>(3)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75</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-1134110</wp:posOffset>
            </wp:positionV>
            <wp:extent cx="2476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hanging="213"/>
        <w:spacing w:after="0"/>
        <w:tabs>
          <w:tab w:leader="none" w:pos="900" w:val="left"/>
        </w:tabs>
        <w:numPr>
          <w:ilvl w:val="0"/>
          <w:numId w:val="46"/>
        </w:numPr>
        <w:rPr>
          <w:rFonts w:ascii="Arial" w:cs="Arial" w:eastAsia="Arial" w:hAnsi="Arial"/>
          <w:sz w:val="10"/>
          <w:szCs w:val="10"/>
          <w:color w:val="auto"/>
        </w:rPr>
      </w:pPr>
      <w:r>
        <w:rPr>
          <w:rFonts w:ascii="Arial" w:cs="Arial" w:eastAsia="Arial" w:hAnsi="Arial"/>
          <w:sz w:val="10"/>
          <w:szCs w:val="10"/>
          <w:color w:val="auto"/>
        </w:rPr>
        <w:t>Member of the Audit Committee</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46"/>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900" w:hanging="213"/>
        <w:spacing w:after="0"/>
        <w:tabs>
          <w:tab w:leader="none" w:pos="900" w:val="left"/>
        </w:tabs>
        <w:numPr>
          <w:ilvl w:val="0"/>
          <w:numId w:val="46"/>
        </w:numPr>
        <w:rPr>
          <w:rFonts w:ascii="Arial" w:cs="Arial" w:eastAsia="Arial" w:hAnsi="Arial"/>
          <w:sz w:val="10"/>
          <w:szCs w:val="10"/>
          <w:color w:val="auto"/>
        </w:rPr>
      </w:pPr>
      <w:r>
        <w:rPr>
          <w:rFonts w:ascii="Arial" w:cs="Arial" w:eastAsia="Arial" w:hAnsi="Arial"/>
          <w:sz w:val="10"/>
          <w:szCs w:val="10"/>
          <w:color w:val="auto"/>
        </w:rPr>
        <w:t>Member of the Nominating and Governance Committee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Gajus V. Worthington </w:t>
      </w:r>
      <w:r>
        <w:rPr>
          <w:rFonts w:ascii="Arial" w:cs="Arial" w:eastAsia="Arial" w:hAnsi="Arial"/>
          <w:sz w:val="13"/>
          <w:szCs w:val="13"/>
          <w:color w:val="auto"/>
        </w:rPr>
        <w:t>is a Co-Founder of Fluidigm and has served as our President and Chief Executive Officer and a Director since our inception in June 1999. From May 1994 to</w:t>
      </w:r>
      <w:r>
        <w:rPr>
          <w:rFonts w:ascii="Arial" w:cs="Arial" w:eastAsia="Arial" w:hAnsi="Arial"/>
          <w:sz w:val="13"/>
          <w:szCs w:val="13"/>
          <w:i w:val="1"/>
          <w:iCs w:val="1"/>
          <w:color w:val="auto"/>
        </w:rPr>
        <w:t xml:space="preserve"> </w:t>
      </w:r>
      <w:r>
        <w:rPr>
          <w:rFonts w:ascii="Arial" w:cs="Arial" w:eastAsia="Arial" w:hAnsi="Arial"/>
          <w:sz w:val="13"/>
          <w:szCs w:val="13"/>
          <w:color w:val="auto"/>
        </w:rPr>
        <w:t>April 1999, Mr. Worthington held various staff and management positions at Actel Corporation, a public semiconductor corporation. Mr. Worthington received a B.S. in Physics and an M.S. in Electrical Engineering from Stanford University.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Vikram Jog </w:t>
      </w:r>
      <w:r>
        <w:rPr>
          <w:rFonts w:ascii="Arial" w:cs="Arial" w:eastAsia="Arial" w:hAnsi="Arial"/>
          <w:sz w:val="13"/>
          <w:szCs w:val="13"/>
          <w:color w:val="auto"/>
        </w:rPr>
        <w:t>has served as our Chief Financial Officer since February 2008. From April 2005 to February 2008, Mr. Jog served as Chief Financial Officer for XDx, Inc., a molecular</w:t>
      </w:r>
      <w:r>
        <w:rPr>
          <w:rFonts w:ascii="Arial" w:cs="Arial" w:eastAsia="Arial" w:hAnsi="Arial"/>
          <w:sz w:val="13"/>
          <w:szCs w:val="13"/>
          <w:i w:val="1"/>
          <w:iCs w:val="1"/>
          <w:color w:val="auto"/>
        </w:rPr>
        <w:t xml:space="preserve"> </w:t>
      </w:r>
      <w:r>
        <w:rPr>
          <w:rFonts w:ascii="Arial" w:cs="Arial" w:eastAsia="Arial" w:hAnsi="Arial"/>
          <w:sz w:val="13"/>
          <w:szCs w:val="13"/>
          <w:color w:val="auto"/>
        </w:rPr>
        <w:t>diagnostics company. From March 2003 to April 2005, Mr. Jog was a Vice President of Applera Corporation, a life science company,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Robert C. Jones </w:t>
      </w:r>
      <w:r>
        <w:rPr>
          <w:rFonts w:ascii="Arial" w:cs="Arial" w:eastAsia="Arial" w:hAnsi="Arial"/>
          <w:sz w:val="13"/>
          <w:szCs w:val="13"/>
          <w:color w:val="auto"/>
        </w:rPr>
        <w:t>has served as our Executive Vice President, Research and Development since August 2005. From August 1984 to July 2005, Mr. Jones held various managerial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positions at Applied Biosystems, a laboratory equipment and supplies manufacturer that is a division of Applera Corporation, including: Senior Vice President Research and Development from April 2001 to August 2005, Vice President and General Manager Informatics Division from 1998 to 2001, and Vice President PCR Business Unit from 1994 to 1998. Mr. Jones received a BSEE and an MSEE in Computer Engineering from the University of Washington.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William M. Smith </w:t>
      </w:r>
      <w:r>
        <w:rPr>
          <w:rFonts w:ascii="Arial" w:cs="Arial" w:eastAsia="Arial" w:hAnsi="Arial"/>
          <w:sz w:val="13"/>
          <w:szCs w:val="13"/>
          <w:color w:val="auto"/>
        </w:rPr>
        <w:t>has served as our Vice President, Legal Affairs and General Counsel as well as our Secretary since May 2000 and served as a Director from May 2000 to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2008. Mr. Smith served as a partner at the law firm of Townsend and Townsend and Crew, LLP from 1985 through April 2008. Mr. Smith received a J.D. and an M.P.A. from the University of Southern California and a B.A. in Biology from the University of California, San Diego.</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Mai Chan (Grace) Yow </w:t>
      </w:r>
      <w:r>
        <w:rPr>
          <w:rFonts w:ascii="Arial" w:cs="Arial" w:eastAsia="Arial" w:hAnsi="Arial"/>
          <w:sz w:val="13"/>
          <w:szCs w:val="13"/>
          <w:color w:val="auto"/>
        </w:rPr>
        <w:t>has served as our Vice President, Worldwide Manufacturing, and Managing Director, Fluidigm Singapore Pte. Ltd., our Singapore subsidiary, since March</w:t>
      </w:r>
      <w:r>
        <w:rPr>
          <w:rFonts w:ascii="Arial" w:cs="Arial" w:eastAsia="Arial" w:hAnsi="Arial"/>
          <w:sz w:val="13"/>
          <w:szCs w:val="13"/>
          <w:i w:val="1"/>
          <w:iCs w:val="1"/>
          <w:color w:val="auto"/>
        </w:rPr>
        <w:t xml:space="preserve"> </w:t>
      </w:r>
      <w:r>
        <w:rPr>
          <w:rFonts w:ascii="Arial" w:cs="Arial" w:eastAsia="Arial" w:hAnsi="Arial"/>
          <w:sz w:val="13"/>
          <w:szCs w:val="13"/>
          <w:color w:val="auto"/>
        </w:rPr>
        <w:t>2006. From June 2005 to March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Samuel Colella </w:t>
      </w:r>
      <w:r>
        <w:rPr>
          <w:rFonts w:ascii="Arial" w:cs="Arial" w:eastAsia="Arial" w:hAnsi="Arial"/>
          <w:sz w:val="12"/>
          <w:szCs w:val="12"/>
          <w:color w:val="auto"/>
        </w:rPr>
        <w:t>has served as a member of our Board of Directors since July 2000. Mr. Colella is a managing director of Versant Ventures, a healthcare venture capital firm he co-founded in 1999, and has been a general partner of Institutional Venture Partners since 1984. Mr. Colella is a member of the Board of Directors of Alexza Pharmaceuticals, Inc., Genomic Health, Inc. and Jazz Pharmaceuticals, Inc. Mr. Colella received a B.S. in business and engineering from the University of Pittsburgh and an M.B.A. from Stanford University.</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Michael Hunkapiller, Ph.D. </w:t>
      </w:r>
      <w:r>
        <w:rPr>
          <w:rFonts w:ascii="Arial" w:cs="Arial" w:eastAsia="Arial" w:hAnsi="Arial"/>
          <w:sz w:val="13"/>
          <w:szCs w:val="13"/>
          <w:color w:val="auto"/>
        </w:rPr>
        <w:t>has served as a member of our Board of Directors since August 2005. He has been a Partner at Alloy Ventures, a venture capital firm, since February</w:t>
      </w:r>
      <w:r>
        <w:rPr>
          <w:rFonts w:ascii="Arial" w:cs="Arial" w:eastAsia="Arial" w:hAnsi="Arial"/>
          <w:sz w:val="13"/>
          <w:szCs w:val="13"/>
          <w:i w:val="1"/>
          <w:iCs w:val="1"/>
          <w:color w:val="auto"/>
        </w:rPr>
        <w:t xml:space="preserve"> </w:t>
      </w:r>
      <w:r>
        <w:rPr>
          <w:rFonts w:ascii="Arial" w:cs="Arial" w:eastAsia="Arial" w:hAnsi="Arial"/>
          <w:sz w:val="13"/>
          <w:szCs w:val="13"/>
          <w:color w:val="auto"/>
        </w:rPr>
        <w:t>2004. From July 1983 to August 2004, he served in various managerial and research and development positions at Applied Biosystems, most recently as President, from March 1997 to August 2004. He received a B.S. in Chemistry from Oklahoma Baptist University and a Ph.D. in Chemical Biology from Caltech.</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Elaine V. Jones, Ph.D. </w:t>
      </w:r>
      <w:r>
        <w:rPr>
          <w:rFonts w:ascii="Arial" w:cs="Arial" w:eastAsia="Arial" w:hAnsi="Arial"/>
          <w:sz w:val="12"/>
          <w:szCs w:val="12"/>
          <w:color w:val="auto"/>
        </w:rPr>
        <w:t>has been a member of our Board of Directors since October 2001. Since August 2003, she has been a general partner of EuclidSR Associates, L.P., which is the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of EuclidSR Partners, L.P., a venture capital fund that focuses on life sciences and information technology companies, and also a general partner of EuclidSR Biotechnology Associates, L.P., which is the general partner of Euclid Biotechnology Partners, L.P., a venture capital fund that focuses on the life sciences. Dr. Jones was an investment manager from June 1999 to September 2001, and was a Vice President from September 2001 to August 2003, for S.R. One, Limited, a venture capital subsidiary of SmithKline Beecham. Dr. Jones received a B.S. in Biology from Juniata College and received a Ph.D. in Microbiology from the University of Pittsburgh.</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Kenneth J. Nussbacher </w:t>
      </w:r>
      <w:r>
        <w:rPr>
          <w:rFonts w:ascii="Arial" w:cs="Arial" w:eastAsia="Arial" w:hAnsi="Arial"/>
          <w:sz w:val="12"/>
          <w:szCs w:val="12"/>
          <w:color w:val="auto"/>
        </w:rPr>
        <w:t>has been a member of our Board of Directors since July 2003. Since 2000, Mr. Nussbacher has served as an Affymetrix Fellow, a non-executive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He received a B.S. from Cooper Union and a J.D. from Duke University. Mr. Nussbacher is also a member of the Board of Directors of Xenoport, a biopharmaceutical company.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Gajus V. Worthington </w:t>
      </w:r>
      <w:r>
        <w:rPr>
          <w:rFonts w:ascii="Arial" w:cs="Arial" w:eastAsia="Arial" w:hAnsi="Arial"/>
          <w:sz w:val="12"/>
          <w:szCs w:val="12"/>
          <w:color w:val="auto"/>
        </w:rPr>
        <w:t>is a Co-Founder of Fluidigm Corporation and has served as our President and Chief Executive Officer and a Director since our inception in June 1999.</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John A. Young </w:t>
      </w:r>
      <w:r>
        <w:rPr>
          <w:rFonts w:ascii="Arial" w:cs="Arial" w:eastAsia="Arial" w:hAnsi="Arial"/>
          <w:sz w:val="13"/>
          <w:szCs w:val="13"/>
          <w:color w:val="auto"/>
        </w:rPr>
        <w:t>has been a member of our Board of Directors since March 2001. Mr. Young retired as President and Chief Executive Officer of Hewlett-Packard Company, a</w:t>
      </w:r>
      <w:r>
        <w:rPr>
          <w:rFonts w:ascii="Arial" w:cs="Arial" w:eastAsia="Arial" w:hAnsi="Arial"/>
          <w:sz w:val="13"/>
          <w:szCs w:val="13"/>
          <w:i w:val="1"/>
          <w:iCs w:val="1"/>
          <w:color w:val="auto"/>
        </w:rPr>
        <w:t xml:space="preserve"> </w:t>
      </w:r>
      <w:r>
        <w:rPr>
          <w:rFonts w:ascii="Arial" w:cs="Arial" w:eastAsia="Arial" w:hAnsi="Arial"/>
          <w:sz w:val="13"/>
          <w:szCs w:val="13"/>
          <w:color w:val="auto"/>
        </w:rPr>
        <w:t>diversified electronics manufacturer, in October 1992, where he had served as President and Chief Executive Officer since 1978. Mr. Young received a B.S. in Electrical Engineering from Oregon State University and an M.B.A. from Stanford University. Mr. Young serves as a director of Affymetrix, Inc., Vermillion, Inc., a molecular diagnostics company, Perlegen Sciences, Inc., a drug development company, and Nanosys, Inc., a nanotechnology company.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is currently composed of six members, five of whom are independent within the meaning of the independent director guidelines of the NASDAQ Stock Market LLC.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Meeting of Stockholders to be held during the years 2009 for the Class I directors, 2010 for the Class II directors and 2011 for the Class III directors.</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Class I directors will be Elaine Jones and Michael Hunkapiller.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Class II directors will be Samuel Colella and Kenneth Nussbacher.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Class III directors will be John Young and Gajus Worthington.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provide that the number of our directors, which is currently six members,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division of our Board of Directors into three classes with staggered three-year terms may delay or prevent a change of our management or a change of control. See “Description of Capital Stock — Anti-Takeover Effects of Delaware Law and Our Certificate of Incorporation and Bylaws” for a discussion of other anti-takeover provisions found in our certificate of incorporation.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has an audit committee, a compensation committee and a nominating and governance committee, each of which has the composition and the responsibilities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oversees our corporate accounting and financial reporting process and assists the Board in monitoring our financial systems and our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compliance. Our audit committee will also:</w:t>
      </w:r>
    </w:p>
    <w:p>
      <w:pPr>
        <w:spacing w:after="0" w:line="59"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oversee the work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approve the hiring, discharging and compensation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approve engagements of the independent auditors to render any audit or permissible non-audit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review the qualifications and independence of the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monitor the rotation of partners of the independent auditors on our engagement team as required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review our financial statements and review our critical accounting policies and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review the adequacy and effectiveness of our internal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review and discuss with management and the independent auditors the results of our annual audit, our quarterly financial statements, and our publicly filed reports.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members of our audit committee are Elaine Jones and Kenneth Nussbacher. Mr. Nussbacher is our acting audit committee chairman. We are currently conducting a search for an additional audit committee member who we expect to serve as chairman and as financial expert under the rules of the Securities and Exchange Commission, or SEC, implementing Section 407 of the Sarbanes Oxley Act of 2002. We expect that, prior to the completion of this offering, that the composition of our audit committee will meet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oversees our corporate compensation programs. The compensation committee will also:</w:t>
      </w:r>
    </w:p>
    <w:p>
      <w:pPr>
        <w:spacing w:after="0" w:line="96"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review and recommend policy relating to compensation and benefits of our officers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review and approve corporate goals and objectives relevant to compensation of our Chief Executive Officer and other senior officers;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evaluate the performance of our officers in light of established goals and objectives;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recommend compensation of our officers based on its evaluations;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administer the issuance of stock options and other awards under our stock plans.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members of our compensation committee are Samuel Colella, Michael Hunkapiller and Kenneth Nussbacher.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 and SEC rules and regulations.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oversees and assists our Board of Directors in reviewing and recommending nominees for</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as directors. The nominating and governance committee will also:</w:t>
      </w:r>
    </w:p>
    <w:p>
      <w:pPr>
        <w:spacing w:after="0" w:line="59"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evaluate and make recommendations regarding the organization and governance of the Board and its committees;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assess the performance of members of the Board and make recommendations regarding committee and chair assignments;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recommend desired qualifications for Board membership and conduct searches for potential Board members;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review and make recommendations with regard to our corporate governance guidelines.</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The members of our nominating and governance committee are Elaine Jones, John Young and Samuel Colella. Ms. Jones is the chairman of our nominating and governance committee. Our Board of Directors has determined that each member of our compensation committee is independent within the meaning of the independent director guidelines of the NASDAQ Stock Market LLC.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may from time to time establish other committees.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sets forth information concerning compensation paid or accrued for services rendered to us by members of our Board of Directors for the fiscal year ended December 29, 2007. The table excludes Mr. Worthington and Mr. Smith, who are Named Executive Officers and did not receive any compensation from us in their roles as directors in the fiscal year ended December 29,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Fees Earned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10"/>
                <w:szCs w:val="10"/>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Non-Equity</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or Paid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Cash ($)</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 Edward Torres</w:t>
            </w:r>
            <w:r>
              <w:rPr>
                <w:rFonts w:ascii="Arial" w:cs="Arial" w:eastAsia="Arial" w:hAnsi="Arial"/>
                <w:sz w:val="11"/>
                <w:szCs w:val="11"/>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Kenneth J. Nussbacher</w:t>
            </w:r>
            <w:r>
              <w:rPr>
                <w:rFonts w:ascii="Arial" w:cs="Arial" w:eastAsia="Arial" w:hAnsi="Arial"/>
                <w:sz w:val="11"/>
                <w:szCs w:val="11"/>
                <w:color w:val="auto"/>
              </w:rPr>
              <w:t>(2)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72,885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112,885</w:t>
            </w: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right="240" w:hanging="213"/>
        <w:spacing w:after="0" w:line="242"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Amounts represent the aggregate compensation expense recognized by us for financial statement reporting purposes in fiscal 2007 related to grants of stock options in 2007, calculated in accordance with Financial Accounting Standards Board Statement of Financial Accounting Standards No. 123 (Revised 2004) (“SFAS No. 123(R)”) without regard to estimated forfeitures. See Note 2 of Notes to Consolidated Financial Statements for a discussion of valuation assumptions made in determining the grant date fair value and compensation expense of our stock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900" w:right="60" w:hanging="213"/>
        <w:spacing w:after="0" w:line="234"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For his service as a director, Mr. Nussbacher was granted an option to purchase 100,000 shares of common stock on December 28, 2007 at an exercise price of $2.40, with a grant date fair value of $143,151, computed in accordance with SFAS 123(R). Mr. Nussbacher was paid fees of $40,000 for services rendered pursuant to a consulting agreement with us. This consulting agreement was terminated on April 14, 2008.</w:t>
      </w:r>
    </w:p>
    <w:p>
      <w:pPr>
        <w:ind w:left="900" w:hanging="213"/>
        <w:spacing w:after="0"/>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Resigned from the Board of Directors on or prior to April 2008.</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number of shares subject to stock options outstanding at December 29, 2007 for each director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180" w:type="dxa"/>
            <w:vAlign w:val="bottom"/>
          </w:tcPr>
          <w:p>
            <w:pPr>
              <w:jc w:val="right"/>
              <w:ind w:right="717"/>
              <w:spacing w:after="0"/>
              <w:rPr>
                <w:sz w:val="20"/>
                <w:szCs w:val="20"/>
                <w:color w:val="auto"/>
              </w:rPr>
            </w:pPr>
            <w:r>
              <w:rPr>
                <w:rFonts w:ascii="Arial" w:cs="Arial" w:eastAsia="Arial" w:hAnsi="Arial"/>
                <w:sz w:val="10"/>
                <w:szCs w:val="10"/>
                <w:b w:val="1"/>
                <w:bCs w:val="1"/>
                <w:color w:val="auto"/>
              </w:rPr>
              <w:t>Aggregate Number of Stock Options</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3180" w:type="dxa"/>
            <w:vAlign w:val="bottom"/>
          </w:tcPr>
          <w:p>
            <w:pPr>
              <w:jc w:val="right"/>
              <w:ind w:right="617"/>
              <w:spacing w:after="0"/>
              <w:rPr>
                <w:sz w:val="20"/>
                <w:szCs w:val="20"/>
                <w:color w:val="auto"/>
              </w:rPr>
            </w:pPr>
            <w:r>
              <w:rPr>
                <w:rFonts w:ascii="Arial" w:cs="Arial" w:eastAsia="Arial" w:hAnsi="Arial"/>
                <w:sz w:val="10"/>
                <w:szCs w:val="10"/>
                <w:b w:val="1"/>
                <w:bCs w:val="1"/>
                <w:color w:val="auto"/>
              </w:rPr>
              <w:t>Outstanding as of December 29, 2007 (#)</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Kenneth J. Nussbacher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Edward Torres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directors do not currently receive any cash compensation for their services as members of our Board of Directors or any committee of our Board of Directors.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Upon consummation of our initial public offering, non-employee directors will receive an annual retainer of $20,000. The chairman of the audit committee will be paid an additional annual retainer of $15,000. The chairman of the compensation committee will be paid an additional annual retainer of $10,000. The chairman of the nominating and governance committee will be paid an additional annual retainer of $5,000.</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outside director equity compensation policy was adopted by our Board of Directors on January 29, 2008 and will become effective immediately upon the completion of this offering. The policy is intended to formalize the granting of equity compensation to our non-employee directors under the 2008 Equity Incentive Plan. Non-employee directors may receive all types of awards under the 2008 Equity Incentive Plan, except for incentive stock options, including discretionary awards not covered by the policy. The policy provides for automatic and nondiscretionary grants of nonstatutory stock options subject to the terms and conditions of the policy and the 2008 Equity Incentive Plan.</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Under the policy, each non-employee director, who first becomes a non-employee director following the effective date of the first registration statement filed by us and declared effective with respect to any class of our securities, will be automatically granted a stock option to purchase 40,000 shares of our common stock on the date such person first becomes a non-employee director. A director who is an employee and who ceases to be an employee, but who remains a director will not receive such an initial award.</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each non-employee director will be automatically granted an annual stock option to purchase 10,000 shares of our common stock on the date of each annual meeting beginning on the date of the first annual meeting that is held at least six months after such non-employee director received his or her initial award. In connection with the closing of this initial public offering, each non-employee director serving on our Board at the time of this offering will be automatically granted an option to purchase 10,000 shares of our common stock at the price per share at which such common stock is sold in this offering.</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exercise price of all stock options granted pursuant to the policy will be equal to the fair market value of our common stock on the date of grant. The term of all stock options will be 10 years. Subject to the adjustment provisions of the 2008 Equity Incentive Plan, initial awards will vest as to 25% of the shares subject to such awards each anniversary of the date of grant, provided such non-employee director continues to serve as a director through each such date. Subject to the adjustment provisions of the 2008 Equity Incentive Plan, the annual awards, including such awards granted in connection with this offering, will vest monthly over a twelve month period following the date of grant, provided such non-employee director continues to serve as a director through such date.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administrator of the 2008 Equity Incentive Plan in its discretion may change or otherwise revise the terms of awards granted under the outside director equity compensation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the event of a “change in control,” as defined in our 2008 Equity Incentive Plan, with respect to awards granted under the 2008 Equity Incentive Plan to non-employee directors,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completion of this offering, we expect to adopt a code of business conduct and ethics that is applicable to all of our employees, officers and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254"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seek to have a compensation program that supports a team ethic among our management, fairly rewards executives for corporate performance and provides incentives for executives to meet or exceed our short and long term goals. The primary components of our compensation program are base salary, an annual incentive bonus plan, option awards and change of control arrangements. In addition, we provide our executive officers a variety of benefits that are available generally to all salaried employees. The compensation committee of our Board of Directors is responsible for evaluating the compensation of our executive officers and making recommendations to the Board of Directors. The independent members of the Board of Directors have final approval authority with respect to executive compensation.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Objectives and Principles of Our Executive Compensation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primary goal of our executive compensation program is to ensure that we hire and retain talented and experienced executives that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on individual departmental objectives. Our compensation philosophy is team oriented and our success dependent on what our management team can accomplish together. Therefore, we seek to provide the executive officers listed in the Summary Compensation table below, or our “named executive officers,” with comparable levels of base salary, bonuses and equity awards that are based largely on overall company performance.</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our fiscal year 2007, our named executive officers were Gajus Worthington, President and Chief Executive Officer, Richard DeLateur, our former Chief Financial Officer, Michael Lucero, our former Executive Vice President, Sales and Marketing, William Smith, Vice President, Legal Affairs and General Counsel, Robert Jones, our Executive Vice President, Research and Development, Grace Yow, Vice President, Worldwide Manufacturing and Managing Director, Fluidigm Singapore. Mr. DeLateur resigned as our Chief Financial Officer effective February 29, 2008 and Mr. Lucero resigned as our Executive Vice President, Sales and Marketing on March 14, 2008.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compensation level of Mr. Worthington, our Chief Executive Officer, is marginally higher than our other executive officers, his compensation has historically been based on our team-based compensation philosophy rather than on CEO compensation levels reported in market surveys of other companies in the life science industry.</w:t>
      </w:r>
    </w:p>
    <w:p>
      <w:pPr>
        <w:spacing w:after="0" w:line="59" w:lineRule="exact"/>
        <w:rPr>
          <w:sz w:val="20"/>
          <w:szCs w:val="20"/>
          <w:color w:val="auto"/>
        </w:rPr>
      </w:pPr>
    </w:p>
    <w:p>
      <w:pPr>
        <w:ind w:left="680" w:right="200" w:firstLine="399"/>
        <w:spacing w:after="0" w:line="257" w:lineRule="auto"/>
        <w:rPr>
          <w:sz w:val="20"/>
          <w:szCs w:val="20"/>
          <w:color w:val="auto"/>
        </w:rPr>
      </w:pPr>
      <w:r>
        <w:rPr>
          <w:rFonts w:ascii="Arial" w:cs="Arial" w:eastAsia="Arial" w:hAnsi="Arial"/>
          <w:sz w:val="13"/>
          <w:szCs w:val="13"/>
          <w:color w:val="auto"/>
        </w:rPr>
        <w:t>We 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and, to a lesser extent, on achieving individual performance objectives. Long term elements have historically been limited to stock options with multi-year vesting designed to retain executives and align their long term interests with those of our stockholders.</w:t>
      </w:r>
    </w:p>
    <w:p>
      <w:pPr>
        <w:spacing w:after="0" w:line="7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believe that hiring and retaining well performing executives is important to our ongoing success. While we review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5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the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 Directors has focused significantly on the affordability of our compensation arrangements. As a result, when weighting forms of compensation, the Board of Directors and the compensation committee have historically placed greater emphasis on non-cash equity incentive compensation together with base salary. In 2006, the Board of Directors determined that our business was of sufficient maturity to permit us to establish a cash bonus plan.</w:t>
      </w:r>
    </w:p>
    <w:p>
      <w:pPr>
        <w:spacing w:after="0" w:line="7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a publicly held company, we expect to periodically engage the services of a compensation consultant to assist us in further aligning our compensation philosophy with our corporate objectives. In particular, in order to attract and retain key executives, we may be required to modify individual executive compensation levels to remain competitive in the market for such positions.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Compensation Process and Compensation Committee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For 2007 and January 2008, the compensation committee consisted of Messrs. Colella and Nussbacher and Ms. Jones. Since January 29, 2008, the compensation committee has consisted of Messrs. Colella, Nussbacher and Hunkapiller, each of whom is an independent director under the rules of the NASDAQ Stock Market LLC and a “non-employee director” for purposes of Rule 16b-3 under the Securities Exchange Act of 1934, as amended.</w:t>
      </w:r>
    </w:p>
    <w:p>
      <w:pPr>
        <w:spacing w:after="0" w:line="67"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compensation committee makes recommendations to the Board regarding compensation structure, goals and individual compensation levels, which recommendations are considered for approval by the independent members of the Board. The compensation committee makes its compensation recommendations based on input from Mr. Worthington, our Chief Executive Officer, the judgment of its members based on their tenure and experience in our industry, and, starting with compensation levels for 2007, the advice of Compensia, Inc., an independent compensation consultant hired by the compensation committee in April 2007. The compensation committee has the responsibility of formulating, evaluating and recommending to the Board of Directors the compensation of our executive officers. Historically, our annual compensation review process has been initiated by Mr. Worthington who performs a review of the performance of each executive officer in the prior year and formulates proposals regarding the elements of compensation, corporate and individual goals and compensation levels for our executive officers, other than himself. Mr. Worthington’s proposals for compensation structure, goals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and individual compensation levels are typically based on discussions with and directions from members of the compensation committee. Mr. Worthington does not prepare proposals or advise the compensation committee on his own compensation.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Compensation levels and mix for Mr. Worthington, our Chief Executive Officer, are recommended by the compensation committee based on the committee’s assessment of our overall corporate performance and Mr. Worthington’s contribution to that performance. Mr. Worthington does not participate in compensation committee or Board deliberations regarding his own compensation. As with other members of our executive team, the compensation committee determines Mr. Worthington’s compensation based on our achievement of corporate objectives and compensation levels of other members of our executive team, rather than attempting to tie Mr. Worthington’s compensation to a specific percentile of CEO compensation reported in market compensation surveys.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Subject to any limitations or guidelines that may be adopted by the Board of Directors in the future, the compensation committee does have the authority to approve the grant of stock options or stock purchase rights to individuals eligible for such grants, including officers and directors. The compensation committee met three times during 2007 and we expect that it will meet at least quarterly during 2008.</w:t>
      </w:r>
    </w:p>
    <w:p>
      <w:pPr>
        <w:spacing w:after="0" w:line="6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compensation committee has the authority under its charter to engage the services of outside advisors, experts and others for assistance. In April 2007, the compensation committee engaged Compensia, Inc., an outside consulting firm, to advise it on developing a principles based executive compensation strategy to help transition us from a privately held to a publicly held company and on matters relating to our equity compensation plans as a whole. Compensia reviewed our proposed 2007 compensation philosophy and compensation levels and provided advice regarding the suitability of our executive compensation structure for a company at our stage of development and the impact the structure was likely to have on executive performance and our ability to attract executive talent. Compensia did not prepare a formal report or recommend specific compensation levels. In 2008, we expect the compensation committee will engage an outside consulting firm to review more broadly our compensation practices and provide specific recommendations on executive compensation levels.</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setting compensation levels for our executive officers for 2007, but before making its recommendations to the Board, the compensation committee reviewed the 2006 Radford Biotechnology Survey by Aon Consulting and the 2006 Executive Compensation Survey for pre-IPO life science companies by Top Five Data Services, Inc. to confirm that the proposed mix and levels of compensation for our executive officers was not outside of the ranges reported for senior executive officers in general. The compensation committee did not benchmark or tie compensation levels for our executive officers to any particular compensation level provided by the companies included in these surveys.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Corporate and Individual Performance Goals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2007 Corporate Goals. </w:t>
      </w:r>
      <w:r>
        <w:rPr>
          <w:rFonts w:ascii="Arial" w:cs="Arial" w:eastAsia="Arial" w:hAnsi="Arial"/>
          <w:sz w:val="13"/>
          <w:szCs w:val="13"/>
          <w:color w:val="auto"/>
        </w:rPr>
        <w:t>Our corporate and individual performance goals for each year are formulated by the Board of Directors with input from the compensation committee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Executive Officer. For 2007, two corporate goals were established. The first related to our selling a certain number of IFC systems and reaching certain revenue targets, whether through system sales or collaboration agreements. The second goal related to our equity fund raising activity. The compensation committee believed attaining these goals would take a high level of executive performance and that such goals would be very challenging given the initial lack of market awareness of our products in 2007. The committee did not assign weights to these goals, except to treat them as equally important.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2007 Individual Goals. </w:t>
      </w:r>
      <w:r>
        <w:rPr>
          <w:rFonts w:ascii="Arial" w:cs="Arial" w:eastAsia="Arial" w:hAnsi="Arial"/>
          <w:sz w:val="13"/>
          <w:szCs w:val="13"/>
          <w:color w:val="auto"/>
        </w:rPr>
        <w:t>Individual goals for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980" w:type="dxa"/>
            <w:vAlign w:val="bottom"/>
          </w:tcPr>
          <w:p>
            <w:pPr>
              <w:ind w:left="200"/>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007 Individual Goals</w:t>
            </w:r>
          </w:p>
        </w:tc>
      </w:tr>
      <w:tr>
        <w:trPr>
          <w:trHeight w:val="49"/>
        </w:trPr>
        <w:tc>
          <w:tcPr>
            <w:tcW w:w="50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w w:val="91"/>
              </w:rPr>
              <w:t>Achieving target levels of sales of our IFC systems and achieving target revenues, whether</w:t>
            </w:r>
          </w:p>
        </w:tc>
      </w:tr>
      <w:tr>
        <w:trPr>
          <w:trHeight w:val="165"/>
        </w:trPr>
        <w:tc>
          <w:tcPr>
            <w:tcW w:w="5000" w:type="dxa"/>
            <w:vAlign w:val="bottom"/>
            <w:shd w:val="clear" w:color="auto" w:fill="CCEEFF"/>
          </w:tcPr>
          <w:p>
            <w:pPr>
              <w:spacing w:after="0"/>
              <w:rPr>
                <w:sz w:val="14"/>
                <w:szCs w:val="14"/>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through system sales or collaboration agreements.</w:t>
            </w:r>
          </w:p>
        </w:tc>
      </w:tr>
      <w:tr>
        <w:trPr>
          <w:trHeight w:val="159"/>
        </w:trPr>
        <w:tc>
          <w:tcPr>
            <w:tcW w:w="5000" w:type="dxa"/>
            <w:vAlign w:val="bottom"/>
            <w:shd w:val="clear" w:color="auto" w:fill="CCEEFF"/>
          </w:tcPr>
          <w:p>
            <w:pPr>
              <w:spacing w:after="0"/>
              <w:rPr>
                <w:sz w:val="13"/>
                <w:szCs w:val="13"/>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Raising target levels of equity financing.</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Richard DeLateur, former Chief Financial Officer</w:t>
            </w:r>
          </w:p>
        </w:tc>
        <w:tc>
          <w:tcPr>
            <w:tcW w:w="4980" w:type="dxa"/>
            <w:vAlign w:val="bottom"/>
          </w:tcPr>
          <w:p>
            <w:pPr>
              <w:ind w:left="200"/>
              <w:spacing w:after="0"/>
              <w:rPr>
                <w:sz w:val="20"/>
                <w:szCs w:val="20"/>
                <w:color w:val="auto"/>
              </w:rPr>
            </w:pPr>
            <w:r>
              <w:rPr>
                <w:rFonts w:ascii="Arial" w:cs="Arial" w:eastAsia="Arial" w:hAnsi="Arial"/>
                <w:sz w:val="13"/>
                <w:szCs w:val="13"/>
                <w:color w:val="auto"/>
                <w:w w:val="92"/>
              </w:rPr>
              <w:t>Preparing our finance organization for an initial public offering and public company status.</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Michael Lucero, former Executive Vice President,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Launching our BioMark product and developing a</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strategy for new market penetration.</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William Smith, Vice President, Legal Affairs and</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Maintaining and advancing our intellectual property</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General Counsel</w:t>
            </w:r>
          </w:p>
        </w:tc>
        <w:tc>
          <w:tcPr>
            <w:tcW w:w="4980" w:type="dxa"/>
            <w:vAlign w:val="bottom"/>
          </w:tcPr>
          <w:p>
            <w:pPr>
              <w:ind w:left="200"/>
              <w:spacing w:after="0"/>
              <w:rPr>
                <w:sz w:val="20"/>
                <w:szCs w:val="20"/>
                <w:color w:val="auto"/>
              </w:rPr>
            </w:pPr>
            <w:r>
              <w:rPr>
                <w:rFonts w:ascii="Arial" w:cs="Arial" w:eastAsia="Arial" w:hAnsi="Arial"/>
                <w:sz w:val="13"/>
                <w:szCs w:val="13"/>
                <w:color w:val="auto"/>
              </w:rPr>
              <w:t>position with respect to existing and new products.</w:t>
            </w: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Robert Jones, Executive Vice President, Research</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Deliver commercial genotyping applications, digital</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Development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array applications and finish feasibility phase of additional products.</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Mai Chan (Grace) Yow, Vice President, Worldwide</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Achieving specified IFC manufacturing yields and</w:t>
            </w: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980" w:type="dxa"/>
            <w:vAlign w:val="bottom"/>
          </w:tcPr>
          <w:p>
            <w:pPr>
              <w:ind w:left="200"/>
              <w:spacing w:after="0"/>
              <w:rPr>
                <w:sz w:val="20"/>
                <w:szCs w:val="20"/>
                <w:color w:val="auto"/>
              </w:rPr>
            </w:pPr>
            <w:r>
              <w:rPr>
                <w:rFonts w:ascii="Arial" w:cs="Arial" w:eastAsia="Arial" w:hAnsi="Arial"/>
                <w:sz w:val="13"/>
                <w:szCs w:val="13"/>
                <w:color w:val="auto"/>
              </w:rPr>
              <w:t>output levels.</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Fluidigm Singapore</w:t>
            </w:r>
          </w:p>
        </w:tc>
        <w:tc>
          <w:tcPr>
            <w:tcW w:w="4980" w:type="dxa"/>
            <w:vAlign w:val="bottom"/>
          </w:tcPr>
          <w:p>
            <w:pPr>
              <w:spacing w:after="0"/>
              <w:rPr>
                <w:sz w:val="14"/>
                <w:szCs w:val="14"/>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2008 Corporate Goals. </w:t>
      </w:r>
      <w:r>
        <w:rPr>
          <w:rFonts w:ascii="Arial" w:cs="Arial" w:eastAsia="Arial" w:hAnsi="Arial"/>
          <w:sz w:val="12"/>
          <w:szCs w:val="12"/>
          <w:color w:val="auto"/>
        </w:rPr>
        <w:t>For 2008, the Board, with the participation of the compensation committee and members of management, reassessed our corporate goals in light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maturation of our business and commercialization of our products. Following this reassessment, the Board approved corporate goals that include achieving specified levels of product sales and product gross margins, completing an initial public offering and keeping expenses and cash outlays within the budget approved by the Board of Directors. The Board believes that the goals are attainable with a very high level of executive performance. The target sales level represents significant growth from 2007 levels and will be achieved only if we are able to increase market awareness of our products and expand our customer base. The targeted gross margin will require significant contributions from both our manufacturing and research and development groups. Given the uncertainty in global financial markets, our ability to complete an initial public offering was also uncertain at the time these corporate goals were established. Achieving our overall corporate goals while staying within our proposed budget will require strong fiscal discipline.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2008 Individual Goals. </w:t>
      </w:r>
      <w:r>
        <w:rPr>
          <w:rFonts w:ascii="Arial" w:cs="Arial" w:eastAsia="Arial" w:hAnsi="Arial"/>
          <w:sz w:val="13"/>
          <w:szCs w:val="13"/>
          <w:color w:val="auto"/>
        </w:rPr>
        <w:t>The goals for our individual executives in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2008 Individual Goals</w:t>
            </w:r>
          </w:p>
        </w:tc>
      </w:tr>
      <w:tr>
        <w:trPr>
          <w:trHeight w:val="29"/>
        </w:trPr>
        <w:tc>
          <w:tcPr>
            <w:tcW w:w="52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Achieving specified levels of product sales and product gross margins, completing an</w:t>
            </w:r>
          </w:p>
        </w:tc>
      </w:tr>
      <w:tr>
        <w:trPr>
          <w:trHeight w:val="157"/>
        </w:trPr>
        <w:tc>
          <w:tcPr>
            <w:tcW w:w="5200" w:type="dxa"/>
            <w:vAlign w:val="bottom"/>
            <w:shd w:val="clear" w:color="auto" w:fill="CCEEFF"/>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w w:val="93"/>
              </w:rPr>
              <w:t>initial public offering and keeping expenses and cash outlays within the budget approved</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by the Board of Directors.</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Vikram Jog, Chief Financial Officer</w:t>
            </w:r>
          </w:p>
        </w:tc>
        <w:tc>
          <w:tcPr>
            <w:tcW w:w="4780" w:type="dxa"/>
            <w:vAlign w:val="bottom"/>
          </w:tcPr>
          <w:p>
            <w:pPr>
              <w:spacing w:after="0" w:line="149" w:lineRule="exact"/>
              <w:rPr>
                <w:sz w:val="20"/>
                <w:szCs w:val="20"/>
                <w:color w:val="auto"/>
              </w:rPr>
            </w:pPr>
            <w:r>
              <w:rPr>
                <w:rFonts w:ascii="Arial" w:cs="Arial" w:eastAsia="Arial" w:hAnsi="Arial"/>
                <w:sz w:val="13"/>
                <w:szCs w:val="13"/>
                <w:color w:val="auto"/>
                <w:w w:val="99"/>
              </w:rPr>
              <w:t>Ensuring accurate revenue recognition during each quarter, closing our books in an</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5"/>
              </w:rPr>
              <w:t>accurate and timely manner, completing our 2005, 2006 and 2007 audits and ensuring</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8"/>
              </w:rPr>
              <w:t>compliance with applicable financial and disclosure regulations of the Securities and</w:t>
            </w:r>
          </w:p>
        </w:tc>
      </w:tr>
      <w:tr>
        <w:trPr>
          <w:trHeight w:val="165"/>
        </w:trPr>
        <w:tc>
          <w:tcPr>
            <w:tcW w:w="5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Exchange Commission.</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William Smith, Vice President, Legal Affairs and</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Maintaining our intellectual property position and</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supporting our initial public offering.</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Robert Jones, Executive Vice President, Research</w:t>
            </w:r>
          </w:p>
        </w:tc>
        <w:tc>
          <w:tcPr>
            <w:tcW w:w="4780" w:type="dxa"/>
            <w:vAlign w:val="bottom"/>
          </w:tcPr>
          <w:p>
            <w:pPr>
              <w:spacing w:after="0" w:line="149" w:lineRule="exact"/>
              <w:rPr>
                <w:sz w:val="20"/>
                <w:szCs w:val="20"/>
                <w:color w:val="auto"/>
              </w:rPr>
            </w:pPr>
            <w:r>
              <w:rPr>
                <w:rFonts w:ascii="Arial" w:cs="Arial" w:eastAsia="Arial" w:hAnsi="Arial"/>
                <w:sz w:val="13"/>
                <w:szCs w:val="13"/>
                <w:color w:val="auto"/>
              </w:rPr>
              <w:t>Completing market-ready 96.96 BioMark IFC, loaders</w:t>
            </w: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and Development</w:t>
            </w:r>
          </w:p>
        </w:tc>
        <w:tc>
          <w:tcPr>
            <w:tcW w:w="4780" w:type="dxa"/>
            <w:vAlign w:val="bottom"/>
          </w:tcPr>
          <w:p>
            <w:pPr>
              <w:spacing w:after="0"/>
              <w:rPr>
                <w:sz w:val="20"/>
                <w:szCs w:val="20"/>
                <w:color w:val="auto"/>
              </w:rPr>
            </w:pPr>
            <w:r>
              <w:rPr>
                <w:rFonts w:ascii="Arial" w:cs="Arial" w:eastAsia="Arial" w:hAnsi="Arial"/>
                <w:sz w:val="13"/>
                <w:szCs w:val="13"/>
                <w:color w:val="auto"/>
              </w:rPr>
              <w:t>and readers for 96.96 and certain future applications.</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 Vice President, Worldwide</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Achieving overall IFC yields sufficient to achieve our</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gross margin goals, achieving specified yields on our</w:t>
            </w:r>
          </w:p>
        </w:tc>
      </w:tr>
      <w:tr>
        <w:trPr>
          <w:trHeight w:val="148"/>
        </w:trPr>
        <w:tc>
          <w:tcPr>
            <w:tcW w:w="5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Fluidigm Singapore</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new 96.96 Dynamic Array IFC, maintaining or improving 2007 quality levels for our IFC</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systems and ensuring on-time manufacture and delivery of IFCs and IFC systems.</w:t>
            </w:r>
          </w:p>
        </w:tc>
      </w:tr>
    </w:tbl>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Elements of Executive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executive compensation program consists of four main elements: base salary, an annual incentive bonus plan, option awards and change of control arrangements. The following is a discussion of each element.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Base Salary.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Prior to 2007, the Board and the compensation committee established base salaries based on a number of factors including the scope of responsibility of each individual and a desire to encourage a team ethic. In 2007, the compensation committee and the Board concluded that our company and its stockholders would be better served by placing greater emphasis on creating a team ethic among our executive officers and that a team ethic would be better supported if all executive officers received approximately the same salary. Therefore, in May 2007, the compensation committee recommended and the Board approved a raise in the base annual salaries of Richard DeLateur, Michael Lucero, William Smith and Robert Jones to $265,000 effective February 1, 2007, which represented a 20% increase for Mr. DeLateur, a 2.5% increase for Mr. Lucero, a 16% increase for Mr. Smith and a 6% increase for Mr. Jones, based on their salaries for 2006. This salary increase was based upon the compensation committee’s assessment of the life science industry in the San Francisco Bay Area gathered from the active involvement of committee members as investors in such industry and the committee’s conclusion that competition for executives in our industry was increasing. Ms. Yow’s salary was set at SG$307,224, or US$200,000 using the exchange rate at the time such salary was set, to reflect the lower cost of living in Singapore where she is based. At the same time, the compensation committee also recommended that Mr. Worthington’s salary be increased by 5% to $283,920 based on the factors described above. However, Mr. Worthington requested that this salary increase be deferred until his performance during 2007 could be assessed. In December 2007, the compensation committee reviewed Mr. Worthington’s overall performance during the year. In particular, it noted that Mr. Worthington had fully met his individual goal for equity financing as we had raised more money than had been targeted and had partially met his individual goal for revenue, as we had strong sales performance although the target revenue level was not achieved. The compensation committee therefore recommended and the Board approved the 5% raise that had been originally proposed for Mr. Worthington. The raise was made retroactive to February 15, 2007 so that it would be effective as of the same date as the raises for all the other executive officers.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January 2008, the compensation committee reviewed 2008 base salaries in light of general market conditions in the San Francisco Bay Area life science industry. The compensation committee concluded that competition for executive talent remained strong as a result of the solid economic performance of the industry and the region overall, the continued high level of investment by venture capital firms in new and existing life science companies and the specialized skills and experiences required to manage life science companies.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 The compensation committee therefore recommended and the Board approved a 4.0% raise for all executive officers other than Messrs. DeLateur and Lucero, who were expected to be leaving Fluidigm in early 2008. This 4.0% raise was applied to Ms. Yow’s salary in Singapore dollars, resulting in an increase of SG$12,289. As a result, the 2008 base salary for Mr. Smith and Mr. Jones was increased to $275,600, the 2008 base salary for Ms. Yow was increased to SG$319,513, or US$232,002 on the date of the increase, and the 2008 salary for Mr. Worthington was increased to $294,840. These salary increases became effective on February 1, 2008.</w:t>
      </w:r>
    </w:p>
    <w:p>
      <w:pPr>
        <w:spacing w:after="0" w:line="6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January 2008, we entered into an offer letter with Vikram Jog, our Chief Financial Officer that provides for him to receive a base salary of $278,000 per year and a signing bonus of $20,000. The Board approved this departure from our standard base salary and bonus practice for executive officers based on several factors, including his unique qualifications, the need to induce him to leave his existing employment, his base salary at his previous employer and our need to fill the position as soon as possible.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Incentive Bonus Plan.</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2007, the compensation committee and the Board established a bonus structure for all named executive officers that provided for performance bonuses of up to 35% of base salary. 80% of the performance bonus was payable based upon our reaching our corporate goals described above, with each corporate goal receiving equal weighting and the remaining 20% payable to each executive based on the executive’s attainment of his or her individual performance goals described above. Payment of performance bonuses was allocated among corporate and individual goals in this manner in recognition of our compensation philosophy in which the compensation committee sought to incentivize executive officers to look beyond their individual departmental goals and work with other executive officers to achieve our overall corporate goals. The compensation committee and Board concluded that the corporate goals portion of the bonus would not be payable if the goals were less than 80% attained, based on the average percentage completion of all such goals, and would be paid in full if the goals were 100% attained. The compensation committee retained discretion to determine the portion of the bonus that would be paid if the corporate goals were achieved at a level between 80% and 100%. The compensation committee also retained the discretion to change the bonus structure and the bonus payment amounts as it considered appropriate.</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In January 2008, the compensation committee concluded that the first 2007 corporate goal described above had been partially met and the second 2007 corporate goal had been fully met, but that taken together the 80% threshold had not been attained. As a result, no 2007 bonuses were paid to our executive officers with respect to achievement of corporate goals.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compensation committee also considered the achievement of 2007 individual performance goals in January 2008 and concluded that Mr. Smith had achieved his goals by maintaining and advancing our intellectual property position with respect to existing and new products. The Board awarded Mr. Smith 100% of his individual performance bonus of $18,550. The compensation committee concluded that Mr. Jones achieved his 2007 individual goals of delivering a commercial genotyping application and digital array applications and awarded him his maximum individual performance bonus of $18,550. The compensation committee concluded that Ms. Yow had achieved her 2007 individual goals by achieving specified IFC manufacturing yields and output levels in 2007 and the Board awarded Ms. Yow 100% of her individual performance bonus of $14,000. The compensation committee concluded that</w:t>
      </w:r>
    </w:p>
    <w:p>
      <w:pPr>
        <w:ind w:left="680"/>
        <w:spacing w:after="0" w:line="307" w:lineRule="auto"/>
        <w:rPr>
          <w:sz w:val="20"/>
          <w:szCs w:val="20"/>
          <w:color w:val="auto"/>
        </w:rPr>
      </w:pPr>
      <w:r>
        <w:rPr>
          <w:rFonts w:ascii="Arial" w:cs="Arial" w:eastAsia="Arial" w:hAnsi="Arial"/>
          <w:sz w:val="12"/>
          <w:szCs w:val="12"/>
          <w:color w:val="auto"/>
        </w:rPr>
        <w:t>Mr. Worthington had partially achieved his 2007 individual performance goals of achieving target levels of IFC system sales and revenue and raising target levels of equity financing, and the Board awarded Mr. Worthington a partial bonus of $14,175. No other individual performance bonuses were awarded to our named executive officers for 2007.</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the compensation committee and Board have approved the same bonus structure and potential bonus percentages as for 2007.</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making recommendations regarding and approving compensation with respect to 2007, the compensation committee and the Board have not exercised their discretion to either award compensation absent attainment of relevant performance goals or to reduce the size of an award or payout following the attainment of relevant performance goals. We intend for the bonus plan to provide a significant portion of an executive’s potential compensation. It is designed to help ensure that executives are focused on our near-term performance and on working together to achieve key corporate objectives. We expect that corporate and individual goals will be reviewed each year and adjusted to reflect changes in our stage of development, competitive position and corporate objectives.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Option Awards.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grant options to new executives upon the commencement of their employment and on an annual basis make additional grants to existing executives based on our overall corporate performance, individual performance and the executives’ existing option grants and equity holdings. We believe that option awards are an effective means of aligning the interests of executives and stockholders, rewarding executives for our achieving success over the long term and providing executives an incentive to remain with us. Most option grants to our named executive officers provide the holder with the right to exercise the option and purchase shares prior to vesting, subject to our right to repurchase unvested shares pursuant to the terms of our restricted stock purchase agreement.</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2007, the compensation committee redesigned our option granting policy in light of the shift in our compensation philosophy toward team-based compensation. The compensation committee concluded that the number of shares that vest each year for each executive should be relatively consistent and should be comparable to the number of shares that vest for other executives. The committee determined that each executive should vest in approximately 70,000 shares per year over a four year period. For each executive, the exact number of shares that vest in any year would be subject to adjustment either upward or downward by up to 35,000 shares based on the executive’s performance relative to the corporate goals and his or her individual performance goals. The compensation committee’s selection of 70,000 shares as the target number of shares to vest annually for each executive officer was based on the committee’s determination that such number of shares would provide meaningful compensation to our executive officers. The committee did not rely on compensation surveys or other third party sources in arriving at the 70,000 annual vesting target. In addition to this annual vesting target and the possible adjustment of actual vesting amounts by up to 35,000, the compensation committee retained the authority to approve additional option grants to executive officers who demonstrated exceptional performance in a given year.</w:t>
      </w:r>
    </w:p>
    <w:p>
      <w:pPr>
        <w:spacing w:after="0" w:line="59"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As a result of our adoption of this new approach to equity compensation, our grants in 2007 were primarily intended to regularize each executive’s vesting schedules to approximately 70,000 per year. As a result, certain executives received option grants where shares were immediately vested while others received grants where the vesting occurs largely three or four years from the grant of the date. The number of shares vesting for each such officer in 2007 were 68,332 shares for Mr. Worthington, 187,499 shares for Mr. DeLateur, 104,083 shares for</w:t>
      </w:r>
    </w:p>
    <w:p>
      <w:pPr>
        <w:ind w:left="680" w:right="40"/>
        <w:spacing w:after="0" w:line="256" w:lineRule="auto"/>
        <w:rPr>
          <w:sz w:val="20"/>
          <w:szCs w:val="20"/>
          <w:color w:val="auto"/>
        </w:rPr>
      </w:pPr>
      <w:r>
        <w:rPr>
          <w:rFonts w:ascii="Arial" w:cs="Arial" w:eastAsia="Arial" w:hAnsi="Arial"/>
          <w:sz w:val="13"/>
          <w:szCs w:val="13"/>
          <w:color w:val="auto"/>
        </w:rPr>
        <w:t>Mr. Lucero, 68,750 for Mr. Smith, 91,667 for Mr. Jones and 97,500 for Ms. Yow. Variations in the number of shares vested in 2007 for these officers was the result of vesting under options granted prior to 2007 rather than intentional variation in 2007 grants on the part of the compensation committee. In the future, once the vesting of existing options are normalized at approximately 70,000 shares per year, we intend for executives to receive additional grants that vest only in the fourth year following the date of their grant. We also expect to reconsider the target share amount each year and may in the future consider granting restricted stock as a form of equity compensation.</w:t>
      </w:r>
    </w:p>
    <w:p>
      <w:pPr>
        <w:spacing w:after="0" w:line="72"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For 2008, the compensation committee did not alter the target amount of annual vesting for any executive. To give effect to this target annual vesting rate, the committee recommended and the Board approved grants of options to purchase 70,000 shares each to Mr. Jones, Mr. Smith, Mr. Worthington and Ms. Yow. These options vest fully on December 31, 2011, subject to continued service through the vesting date. In addition, the compensation committee recommended that additional discretionary option grants be made to Mr. Jones,</w:t>
      </w:r>
    </w:p>
    <w:p>
      <w:pPr>
        <w:ind w:left="680" w:right="40"/>
        <w:spacing w:after="0" w:line="258" w:lineRule="auto"/>
        <w:rPr>
          <w:sz w:val="20"/>
          <w:szCs w:val="20"/>
          <w:color w:val="auto"/>
        </w:rPr>
      </w:pPr>
      <w:r>
        <w:rPr>
          <w:rFonts w:ascii="Arial" w:cs="Arial" w:eastAsia="Arial" w:hAnsi="Arial"/>
          <w:sz w:val="13"/>
          <w:szCs w:val="13"/>
          <w:color w:val="auto"/>
        </w:rPr>
        <w:t>Mr. Smith, Mr. Worthington and Ms. Yow for their exceptional performance in 2007. Mr. Jones, Mr. Smith and Mr. Worthington received a fully-vested option to purchase 70,000 shares and Ms. Yow received a fully-vested option to purchase 40,000 shares. These grants were issued separately from the annual grants and were not considered an adjustment to the annual grants. Accordingly, the 35,000 share adjustment limit for annual grants did not apply.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discussed above, the compensation committee retains the discretion to grant additional options to executive officers as a reward for exceptional performance. In addition, the committee may decide to grant options that vest upon the achievement of certain performance goals. Finally, the committee is exploring the desirability of other forms of equity based compensation including restricted stock grants.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2008, the Board approved amendments to our 1999 Stock Option Plan to permit the use of performance based vesting in connection with equity grants under the plan. The amendment provided the Board and compensation committee with the ability to grant options or other equity awards under the plan that vest upon the achievement of specified milestones or goals. These amendments were made to enhance the ability of the Board and compensation committee to closely align equity compensation with the achievement of corporate or individual goals.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Board adopted our 2008 Equity Incentive Plan in January 2008 and we expect our stockholders will approve it prior to the completion of this offering. Subject to stockholder approval, the 2008 Equity Incentive Plan is effective upon its adoption by our Board,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Our Board and compensation committee are evaluating the costs and benefits of the various forms of equity compensation issuable under the 2008 plan and may elect to use restricted stock, restricted stock units, stock appreciation rights, performance units and performance shares in the future to further align the interests of our management and stockholders and to manage the financial statement impact of such forms of equity compensation.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In January 2008, the compensation committee participated in the negotiation of a compensation package for Vikram Jog, our Chief Financial Officer, in which the compensation committee agreed to grant Mr. Jog compensation that exceeded our standard compensation package for the named executive officers. As indicated above, the compensation committee approved this package based on Mr. Jog’s unique qualifications, our need to fill this position and the need to induce Mr. Jog to leave his then current employer. In February 2008, the compensation committee approved the grant of the following options to Mr. Jog in February 2008 under our 1999 Stock Option Plan:</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Number of</w:t>
            </w:r>
          </w:p>
        </w:tc>
        <w:tc>
          <w:tcPr>
            <w:tcW w:w="31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Standard Vesting</w:t>
            </w: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Accelerated Vesting if</w:t>
            </w:r>
          </w:p>
        </w:tc>
        <w:tc>
          <w:tcPr>
            <w:tcW w:w="30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Performance Milestones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0"/>
                <w:szCs w:val="10"/>
                <w:b w:val="1"/>
                <w:bCs w:val="1"/>
                <w:color w:val="auto"/>
              </w:rPr>
              <w:t>Shares</w:t>
            </w:r>
          </w:p>
        </w:tc>
        <w:tc>
          <w:tcPr>
            <w:tcW w:w="3180" w:type="dxa"/>
            <w:vAlign w:val="bottom"/>
            <w:vMerge w:val="continue"/>
          </w:tcPr>
          <w:p>
            <w:pPr>
              <w:spacing w:after="0"/>
              <w:rPr>
                <w:sz w:val="11"/>
                <w:szCs w:val="11"/>
                <w:color w:val="auto"/>
              </w:rPr>
            </w:pP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Milestones Met</w:t>
            </w: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3"/>
                <w:szCs w:val="13"/>
                <w:color w:val="auto"/>
              </w:rPr>
              <w:t>500,000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ind w:left="400"/>
              <w:spacing w:after="0"/>
              <w:rPr>
                <w:sz w:val="20"/>
                <w:szCs w:val="20"/>
                <w:color w:val="auto"/>
              </w:rPr>
            </w:pPr>
            <w:r>
              <w:rPr>
                <w:rFonts w:ascii="Arial" w:cs="Arial" w:eastAsia="Arial" w:hAnsi="Arial"/>
                <w:sz w:val="13"/>
                <w:szCs w:val="13"/>
                <w:color w:val="auto"/>
                <w:w w:val="77"/>
              </w:rPr>
              <w:t>n/a</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6"/>
              </w:rPr>
              <w:t>of the vesting commencement date, and 1/48 per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100% on December 31, 2011</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Revenue recognition - no material changes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upon quarterly reviews and annual audit;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Accurate and timely closing of books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3"/>
              </w:rPr>
              <w:t>reporting (timeliness as required by investors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SEC);</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SEC and Sarbanes-Oxley compliance, as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needed;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2"/>
              </w:rPr>
              <w:t>Produce audited financial statements for 2005,</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9"/>
              </w:rPr>
              <w:t>2006 and 2007 (and the first quarter of 2008, if</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necessary) to enable the filing of a Form S-1</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registration statement.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revenues;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8"/>
              </w:rPr>
              <w:t>of the vesting commencement date and 1/48 per</w:t>
            </w: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margins for 2008;</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Completion of an initial public offering in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2008;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0"/>
              </w:rPr>
              <w:t>Compliance with 2008 budget for expenses and</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-2026920</wp:posOffset>
            </wp:positionV>
            <wp:extent cx="63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-2026920</wp:posOffset>
            </wp:positionV>
            <wp:extent cx="1841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-2026920</wp:posOffset>
            </wp:positionV>
            <wp:extent cx="1841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-2026920</wp:posOffset>
            </wp:positionV>
            <wp:extent cx="1841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light of the performance based option grants made to Mr. Jog and our team-based approach to executive compensation, the compensation committee recommended to the Board, and the Board approved similar grants for all other named executive officers other than Mr. Worthington. Thus, Mr. Jones, Mr. Smith and Ms. Yow each received two additional options to purchase 50,000 shares on April 24, 2008. The first option becomes fully vested on the earlier of December 11, 2011 or, with respect to each officer, December 31, 2008 if that officer meets his or her individual goals for 2008. The second option vest with respects 25% of the shares subject to the option on February 1, 2009 and 1/48th of the shares each month thereafter; provided that the option becomes fully vested on December 31, 2008 if the corporate goals for 2008 are achieved.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Employment and Severance Agreements.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the Board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73"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9" w:lineRule="exact"/>
        <w:rPr>
          <w:sz w:val="20"/>
          <w:szCs w:val="20"/>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expected time required for an officer to find comparable employment following a termination event;</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feedback received from potential candidates for officer positions at our company as to the level of severance payments and benefits they would require to leave other employment and join our company;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period of time following a change of control during which management positions are evaluated and subject to a heightened risk of elimination.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all outstanding options granted to our employees will become fully vested upon a change of control if the options are not assumed by the acquiring company.</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resignation of Mr. Lucero, our former Vice President of Sales and Marketing, on March 22, 2008, we entered into a Settlement Agreement and General Release of Claims with Mr. Lucero that provided for mutual releases of us and Mr. Lucero, our continued payment of Mr. Lucero’s salary and health insurance premiums through July 2008 and payment of an additional $90,000 to Mr. Lucero. The amount and timing of payments to Mr. Lucero under this agreement were the result of negotiations between us and Mr. Lucero, with the involvement of the compensation committee. The compensation committee concluded that this agreement was in the best interests of our company in reaching an amicable separation with Mr. Lucero.</w:t>
      </w:r>
    </w:p>
    <w:p>
      <w:pPr>
        <w:spacing w:after="0" w:line="71"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 connection with Mr. DeLateur’s resignation, we entered into a consulting agreement dated February 29, 2008. Under the consulting agreement, we agreed to pay Mr. DeLateur $200 per hour for performing various consulting services, provided that Mr. DeLateur work no more than five hours per week without our written authorization. We entered into this arrangement to ensure that Mr. DeLateur would be available as needed to ensure an orderly transition to our new Chief Financial Officer, Mr. Jog.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Benefits.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Executive officers are eligible to participate in all of our employee benefit plans, such as medical, dental, vision, group life, disability, and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CEO Loan and Stock Repurchase</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 Mr. Worthington $250,000 at an interest rate of 3.52% per annum. The loan was secured by the pledge of 833,334 shares of our common stock held by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Worthington. On April 10, 2008, Mr. Worthington repaid the loan in full in accordance with Section 2.2(d) of the note by exchanging shares of our common stock held by</w:t>
      </w:r>
    </w:p>
    <w:p>
      <w:pPr>
        <w:spacing w:after="0" w:line="15" w:lineRule="exact"/>
        <w:rPr>
          <w:sz w:val="20"/>
          <w:szCs w:val="20"/>
          <w:color w:val="auto"/>
        </w:rPr>
      </w:pPr>
    </w:p>
    <w:p>
      <w:pPr>
        <w:jc w:val="both"/>
        <w:ind w:left="680" w:right="80"/>
        <w:spacing w:after="0" w:line="256" w:lineRule="auto"/>
        <w:rPr>
          <w:sz w:val="20"/>
          <w:szCs w:val="20"/>
          <w:color w:val="auto"/>
        </w:rPr>
      </w:pPr>
      <w:r>
        <w:rPr>
          <w:rFonts w:ascii="Arial" w:cs="Arial" w:eastAsia="Arial" w:hAnsi="Arial"/>
          <w:sz w:val="13"/>
          <w:szCs w:val="13"/>
          <w:color w:val="auto"/>
        </w:rPr>
        <w:t>Mr. Worthington to us at the fair market value of such stock,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were approved by the Board based on its determination that we received full and fair consideration for the cancellation of the loan and that the cancellation of the loan was in the best interests of our company and its stockholders.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and Tax Considerations</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in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2008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6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following table presents information concerning the total compensation of our Chief Executive Officer, Chief Financial Officer and our four other most highly compensated officers during the last fiscal year (the “Named Executive Officers”) for services rendered to us in all capacities for the fiscal year ended December 29, 2007:</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Summary Compensation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Non-Equity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Salary</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140" w:type="dxa"/>
            <w:vAlign w:val="bottom"/>
          </w:tcPr>
          <w:p>
            <w:pPr>
              <w:spacing w:after="0"/>
              <w:rPr>
                <w:sz w:val="10"/>
                <w:szCs w:val="10"/>
                <w:color w:val="auto"/>
              </w:rPr>
            </w:pPr>
          </w:p>
        </w:tc>
        <w:tc>
          <w:tcPr>
            <w:tcW w:w="56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9"/>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283,357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331,163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President and Chief</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Richard A. DeLateur</w:t>
            </w:r>
            <w:r>
              <w:rPr>
                <w:rFonts w:ascii="Arial" w:cs="Arial" w:eastAsia="Arial" w:hAnsi="Arial"/>
                <w:sz w:val="11"/>
                <w:szCs w:val="11"/>
                <w:color w:val="auto"/>
              </w:rPr>
              <w:t>(2)</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241,375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71,384</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312,759</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Former Chief Financial Officer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247,502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270,315</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Executive Vice President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(3)</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264,517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14,361</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278,878</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Former Executive Vice President,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261,983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317,123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Legal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Affairs and General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204,214</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84,310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302,524</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Vice President, Worldwide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 Fluidigm Singapore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900" w:right="400" w:hanging="213"/>
        <w:spacing w:after="0" w:line="234" w:lineRule="auto"/>
        <w:tabs>
          <w:tab w:leader="none" w:pos="9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Amounts represent the aggregate expense recognized for financial statement reporting purposes for fiscal 2007 calculated in accordance with SFAS No. 123(R) without regard for estimated forfeitures. See Note 2 of Notes to Consolidated Financial Statements for a discussion of assumptions made in determining the grant date fair value and compensation expense of our stock options.</w:t>
      </w:r>
    </w:p>
    <w:p>
      <w:pPr>
        <w:ind w:left="900" w:right="80" w:hanging="213"/>
        <w:spacing w:after="0" w:line="225" w:lineRule="auto"/>
        <w:tabs>
          <w:tab w:leader="none" w:pos="9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Mr. DeLateur resigned effective February 29, 2008. From August 16, 2007 to December 31, 2007, Mr. DeLateur worked for us on a part-time basis. Currently Mr. DeLateur serves as a consultant. See “Employment Agreements and Offer Letters.”</w:t>
      </w:r>
    </w:p>
    <w:p>
      <w:pPr>
        <w:ind w:left="900" w:hanging="213"/>
        <w:spacing w:after="0" w:line="225" w:lineRule="auto"/>
        <w:tabs>
          <w:tab w:leader="none" w:pos="9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Mr. Lucero resigned effective March 22, 2008. See “Employment and Severance Agreements.“</w:t>
      </w:r>
    </w:p>
    <w:p>
      <w:pPr>
        <w:jc w:val="both"/>
        <w:ind w:left="900" w:right="160" w:hanging="213"/>
        <w:spacing w:after="0" w:line="236" w:lineRule="auto"/>
        <w:tabs>
          <w:tab w:leader="none" w:pos="9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 amounts in this column represent total performance-based bonuses earned for service rendered during fiscal 2007 under our incentive bonus plan. Under our incentive bonus plan, each executive was eligible to receive a cash bonus of up to 35% of his or her base salary based on achievement of certain corporate goals and certain individual performance goals. Please see “Incentive Bonus Plan” under “Compensation Discussion and Analysis” above for additional information regarding our fiscal 2007 cash bonuses.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Grants of Plan-Based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concerning grants of plan-based awards to each of the Named Executive Officers during the fiscal year ended December 29, 2007.</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Grants of Plan-Based Awards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Estimated</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All Option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Payouts Under</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Awards: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Non-Equity</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2"/>
              </w:rPr>
              <w:t>Exercise or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Incentive Plan</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Fair Value of</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Awards</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2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Base Price of</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118"/>
        </w:trPr>
        <w:tc>
          <w:tcPr>
            <w:tcW w:w="4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Target</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 Awards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4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Grant 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2"/>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($/Sh)</w:t>
            </w:r>
            <w:r>
              <w:rPr>
                <w:rFonts w:ascii="Arial" w:cs="Arial" w:eastAsia="Arial" w:hAnsi="Arial"/>
                <w:sz w:val="8"/>
                <w:szCs w:val="8"/>
                <w:b w:val="1"/>
                <w:bCs w:val="1"/>
                <w:color w:val="auto"/>
                <w:w w:val="95"/>
              </w:rPr>
              <w:t>(8)</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(7)</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131,533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99,225</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Richard DeLateur</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115,668</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69,288</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Michael Y. Lucero</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118,000</w:t>
            </w:r>
            <w:r>
              <w:rPr>
                <w:rFonts w:ascii="Arial" w:cs="Arial" w:eastAsia="Arial" w:hAnsi="Arial"/>
                <w:sz w:val="11"/>
                <w:szCs w:val="11"/>
                <w:color w:val="auto"/>
              </w:rPr>
              <w:t>(4)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101,114</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Mai Chan (Grace) Yow</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165,250</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70,000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the grant date, 10,000 shares vested on February 1, 2008, 65,000 shares vest on February 1, 2009, and 70,000 shares vest on February 1, 2010.</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the grant date and 70,000 shares vest on February 1, 2010.</w:t>
      </w:r>
    </w:p>
    <w:p>
      <w:pPr>
        <w:ind w:left="90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All of the shares subject to this grant vest on February 1, 2010.</w:t>
      </w:r>
    </w:p>
    <w:p>
      <w:pPr>
        <w:ind w:left="90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10,000 of the shares subject to this grant vested on February 1, 2008, 38,000 shares vest on February 1, 2009, and 70,000 shares vest on February 1, 2010.</w:t>
      </w:r>
    </w:p>
    <w:p>
      <w:pPr>
        <w:ind w:left="90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50,000 of the shares subject to this grant were vested as of the grant date, 50,000 shares vested on February 1, 2008, 40,000 shares vest on February 1, 2009, and 59,000 shares vest on February 1, 2010.</w:t>
      </w:r>
    </w:p>
    <w:p>
      <w:pPr>
        <w:ind w:left="90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10,000 of the shares subject to this grant vest on February 1, 2009 and 70,000 shares vest on February 1, 2010.</w:t>
      </w:r>
    </w:p>
    <w:p>
      <w:pPr>
        <w:ind w:left="900" w:right="180" w:hanging="213"/>
        <w:spacing w:after="0" w:line="225" w:lineRule="auto"/>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stock options granted in fiscal 2007, calculated in accordance with SFAS No. 123(R) without regard to estimated forfeitures. See Note 2 of Notes to Consolidated Financial Statements for a discussion of assumptions made in determining the grant date fair value of our stock options.</w:t>
      </w:r>
    </w:p>
    <w:p>
      <w:pPr>
        <w:ind w:left="900" w:hanging="213"/>
        <w:spacing w:after="0"/>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Our shares of common stock were not publicly traded during the 2007 fiscal year; our board of directors in good faith determined the fair market value on the date of grant.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Outstanding Equity Awards at Fiscal Year-End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certain information concerning equity awards held by the Named Executive Officers at the end of the fiscal year ended December 29, 2007.</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424"/>
              <w:spacing w:after="0" w:line="81" w:lineRule="exact"/>
              <w:rPr>
                <w:sz w:val="20"/>
                <w:szCs w:val="20"/>
                <w:color w:val="auto"/>
              </w:rPr>
            </w:pPr>
            <w:r>
              <w:rPr>
                <w:rFonts w:ascii="Arial" w:cs="Arial" w:eastAsia="Arial" w:hAnsi="Arial"/>
                <w:sz w:val="9"/>
                <w:szCs w:val="9"/>
                <w:b w:val="1"/>
                <w:bCs w:val="1"/>
                <w:color w:val="auto"/>
              </w:rPr>
              <w:t>Number of</w:t>
            </w:r>
          </w:p>
        </w:tc>
        <w:tc>
          <w:tcPr>
            <w:tcW w:w="13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87"/>
              </w:rPr>
              <w:t>Securities</w:t>
            </w:r>
          </w:p>
        </w:tc>
        <w:tc>
          <w:tcPr>
            <w:tcW w:w="13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80" w:type="dxa"/>
            <w:vAlign w:val="bottom"/>
          </w:tcPr>
          <w:p>
            <w:pPr>
              <w:spacing w:after="0"/>
              <w:rPr>
                <w:sz w:val="9"/>
                <w:szCs w:val="9"/>
                <w:color w:val="auto"/>
              </w:rPr>
            </w:pPr>
          </w:p>
        </w:tc>
        <w:tc>
          <w:tcPr>
            <w:tcW w:w="8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Options (#)</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Options (#)</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Unexercisable</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Price ($)</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200,000</w:t>
            </w:r>
            <w:r>
              <w:rPr>
                <w:rFonts w:ascii="Arial" w:cs="Arial" w:eastAsia="Arial" w:hAnsi="Arial"/>
                <w:sz w:val="11"/>
                <w:szCs w:val="11"/>
                <w:color w:val="auto"/>
              </w:rPr>
              <w:t>(2)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Richard DeLateur</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95,000</w:t>
            </w:r>
            <w:r>
              <w:rPr>
                <w:rFonts w:ascii="Arial" w:cs="Arial" w:eastAsia="Arial" w:hAnsi="Arial"/>
                <w:sz w:val="11"/>
                <w:szCs w:val="11"/>
                <w:color w:val="auto"/>
              </w:rPr>
              <w:t>(4)</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235,000</w:t>
            </w:r>
            <w:r>
              <w:rPr>
                <w:rFonts w:ascii="Arial" w:cs="Arial" w:eastAsia="Arial" w:hAnsi="Arial"/>
                <w:sz w:val="11"/>
                <w:szCs w:val="11"/>
                <w:color w:val="auto"/>
              </w:rPr>
              <w:t>(6)</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12/20/2015</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400,000</w:t>
            </w:r>
            <w:r>
              <w:rPr>
                <w:rFonts w:ascii="Arial" w:cs="Arial" w:eastAsia="Arial" w:hAnsi="Arial"/>
                <w:sz w:val="11"/>
                <w:szCs w:val="11"/>
                <w:color w:val="auto"/>
              </w:rPr>
              <w:t>(22)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(23)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Michael Y. Lucero</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300,000</w:t>
            </w:r>
            <w:r>
              <w:rPr>
                <w:rFonts w:ascii="Arial" w:cs="Arial" w:eastAsia="Arial" w:hAnsi="Arial"/>
                <w:sz w:val="11"/>
                <w:szCs w:val="11"/>
                <w:color w:val="auto"/>
              </w:rPr>
              <w:t>(7)</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180,000</w:t>
            </w:r>
            <w:r>
              <w:rPr>
                <w:rFonts w:ascii="Arial" w:cs="Arial" w:eastAsia="Arial" w:hAnsi="Arial"/>
                <w:sz w:val="11"/>
                <w:szCs w:val="11"/>
                <w:color w:val="auto"/>
              </w:rPr>
              <w:t>(8)</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100,000</w:t>
            </w:r>
            <w:r>
              <w:rPr>
                <w:rFonts w:ascii="Arial" w:cs="Arial" w:eastAsia="Arial" w:hAnsi="Arial"/>
                <w:sz w:val="11"/>
                <w:szCs w:val="11"/>
                <w:color w:val="auto"/>
              </w:rPr>
              <w:t>(9)</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150,000</w:t>
            </w:r>
            <w:r>
              <w:rPr>
                <w:rFonts w:ascii="Arial" w:cs="Arial" w:eastAsia="Arial" w:hAnsi="Arial"/>
                <w:sz w:val="11"/>
                <w:szCs w:val="11"/>
                <w:color w:val="auto"/>
              </w:rPr>
              <w:t>(10)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70,000</w:t>
            </w:r>
            <w:r>
              <w:rPr>
                <w:rFonts w:ascii="Arial" w:cs="Arial" w:eastAsia="Arial" w:hAnsi="Arial"/>
                <w:sz w:val="11"/>
                <w:szCs w:val="11"/>
                <w:color w:val="auto"/>
              </w:rPr>
              <w:t>(11)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(12)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39,000</w:t>
            </w:r>
            <w:r>
              <w:rPr>
                <w:rFonts w:ascii="Arial" w:cs="Arial" w:eastAsia="Arial" w:hAnsi="Arial"/>
                <w:sz w:val="11"/>
                <w:szCs w:val="11"/>
                <w:color w:val="auto"/>
              </w:rPr>
              <w:t>(13)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175,000</w:t>
            </w:r>
            <w:r>
              <w:rPr>
                <w:rFonts w:ascii="Arial" w:cs="Arial" w:eastAsia="Arial" w:hAnsi="Arial"/>
                <w:sz w:val="11"/>
                <w:szCs w:val="11"/>
                <w:color w:val="auto"/>
              </w:rPr>
              <w:t>(14)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45,000</w:t>
            </w:r>
            <w:r>
              <w:rPr>
                <w:rFonts w:ascii="Arial" w:cs="Arial" w:eastAsia="Arial" w:hAnsi="Arial"/>
                <w:sz w:val="11"/>
                <w:szCs w:val="11"/>
                <w:color w:val="auto"/>
              </w:rPr>
              <w:t>(15)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150,000</w:t>
            </w:r>
          </w:p>
        </w:tc>
        <w:tc>
          <w:tcPr>
            <w:tcW w:w="480" w:type="dxa"/>
            <w:vAlign w:val="bottom"/>
          </w:tcPr>
          <w:p>
            <w:pPr>
              <w:jc w:val="right"/>
              <w:ind w:right="244"/>
              <w:spacing w:after="0"/>
              <w:rPr>
                <w:sz w:val="20"/>
                <w:szCs w:val="20"/>
                <w:color w:val="auto"/>
              </w:rPr>
            </w:pPr>
            <w:r>
              <w:rPr>
                <w:rFonts w:ascii="Arial" w:cs="Arial" w:eastAsia="Arial" w:hAnsi="Arial"/>
                <w:sz w:val="11"/>
                <w:szCs w:val="11"/>
                <w:color w:val="auto"/>
                <w:w w:val="81"/>
              </w:rPr>
              <w:t>(19)</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09/27/2006</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(21)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900" w:right="260" w:hanging="207"/>
        <w:spacing w:after="0" w:line="259" w:lineRule="auto"/>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for any reason which right lapses in accordance with the vesting schedule of the option.</w:t>
      </w:r>
    </w:p>
    <w:p>
      <w:pPr>
        <w:spacing w:after="0" w:line="7" w:lineRule="exact"/>
        <w:rPr>
          <w:rFonts w:ascii="Arial" w:cs="Arial" w:eastAsia="Arial" w:hAnsi="Arial"/>
          <w:sz w:val="10"/>
          <w:szCs w:val="10"/>
          <w:color w:val="auto"/>
        </w:rPr>
      </w:pPr>
    </w:p>
    <w:p>
      <w:pPr>
        <w:ind w:left="900" w:right="100" w:hanging="207"/>
        <w:spacing w:after="0" w:line="259" w:lineRule="auto"/>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May 8, 2007, the grant date, 10,000 shares vested on February 1, 2008, 65,000 shares vest on February 1, 2009, and 70,000 vest on February 1, 2010.</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These stock options were granted on December 21,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May 8, 2007, the grant date, and 70,000 shares vest on February 1, 2010.</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This option may not be exercised prior to vesting.</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00" w:right="20" w:hanging="281"/>
        <w:spacing w:after="0" w:line="259" w:lineRule="auto"/>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77"/>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May 8, 2007. All of the shares subject to this grant vest on February 1, 2010.</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000" w:right="20" w:hanging="281"/>
        <w:spacing w:after="0" w:line="259" w:lineRule="auto"/>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vested on February 1, 2008, 38,000 shares vest on February 1, 2009, and 70,000 shares vest on February 1, 2010.</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August 3,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000" w:right="160" w:hanging="281"/>
        <w:spacing w:after="0" w:line="259" w:lineRule="auto"/>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September 27, 2006. These stock options vest over 4 years in monthly increments. During the first two years, 1.67% of the shares vest each month and during the final two years, 2.5% of the shares vest each month.</w:t>
      </w:r>
    </w:p>
    <w:p>
      <w:pPr>
        <w:spacing w:after="0" w:line="7" w:lineRule="exact"/>
        <w:rPr>
          <w:rFonts w:ascii="Arial" w:cs="Arial" w:eastAsia="Arial" w:hAnsi="Arial"/>
          <w:sz w:val="10"/>
          <w:szCs w:val="10"/>
          <w:color w:val="auto"/>
        </w:rPr>
      </w:pPr>
    </w:p>
    <w:p>
      <w:pPr>
        <w:ind w:left="1000" w:hanging="281"/>
        <w:spacing w:after="0"/>
        <w:tabs>
          <w:tab w:leader="none" w:pos="1000" w:val="left"/>
        </w:tabs>
        <w:numPr>
          <w:ilvl w:val="0"/>
          <w:numId w:val="58"/>
        </w:numPr>
        <w:rPr>
          <w:rFonts w:ascii="Arial" w:cs="Arial" w:eastAsia="Arial" w:hAnsi="Arial"/>
          <w:sz w:val="9"/>
          <w:szCs w:val="9"/>
          <w:color w:val="auto"/>
        </w:rPr>
      </w:pPr>
      <w:r>
        <w:rPr>
          <w:rFonts w:ascii="Arial" w:cs="Arial" w:eastAsia="Arial" w:hAnsi="Arial"/>
          <w:sz w:val="9"/>
          <w:szCs w:val="9"/>
          <w:color w:val="auto"/>
        </w:rPr>
        <w:t>50,000 of the shares subject to this grant were vested as of May 8, 2007, the grant date, 50,000 shares vested on February 1, 2008, 40,000 shares vest on February 1, 2009, and 59,000 shares vest on February 1, 2010.</w:t>
      </w:r>
    </w:p>
    <w:p>
      <w:pPr>
        <w:spacing w:after="0" w:line="12" w:lineRule="exact"/>
        <w:rPr>
          <w:rFonts w:ascii="Arial" w:cs="Arial" w:eastAsia="Arial" w:hAnsi="Arial"/>
          <w:sz w:val="9"/>
          <w:szCs w:val="9"/>
          <w:color w:val="auto"/>
        </w:rPr>
      </w:pPr>
    </w:p>
    <w:p>
      <w:pPr>
        <w:ind w:left="1000" w:hanging="281"/>
        <w:spacing w:after="0" w:line="225" w:lineRule="auto"/>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This option was granted on August 3, 2005 and vests over 4 years. Twenty-five percent of the shares vest one year after grant and 2.083% of the shares vest each month thereafter.</w:t>
      </w:r>
    </w:p>
    <w:p>
      <w:pPr>
        <w:ind w:left="1000" w:hanging="281"/>
        <w:spacing w:after="0"/>
        <w:tabs>
          <w:tab w:leader="none" w:pos="10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 on February 1, 2009, and 70,000 shares subject to this grant vest on February 1, 2010.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Employment Agreements and Offer Letters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Richard A DeLateur. </w:t>
      </w:r>
      <w:r>
        <w:rPr>
          <w:rFonts w:ascii="Arial" w:cs="Arial" w:eastAsia="Arial" w:hAnsi="Arial"/>
          <w:sz w:val="13"/>
          <w:szCs w:val="13"/>
          <w:color w:val="auto"/>
        </w:rPr>
        <w:t>We entered into a consulting agreement dated February 29, 2008 with Richard A. DeLateur, our former Chief Financial Officer. Under the consulting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agreed to pay Mr. DeLateur $200 per hour for performing various consulting services, provided that Mr. DeLateur shall work no more than five hours per week without our written authorization. The consulting agreement terminated on May 17, 2008.</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Michael Y. Lucero. </w:t>
      </w:r>
      <w:r>
        <w:rPr>
          <w:rFonts w:ascii="Arial" w:cs="Arial" w:eastAsia="Arial" w:hAnsi="Arial"/>
          <w:sz w:val="12"/>
          <w:szCs w:val="12"/>
          <w:color w:val="auto"/>
        </w:rPr>
        <w:t>We entered into to a Settlement Agreement and General Release of Claims effective March 30, 2008 with Michael Y. Lucero, our former Executive Vice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of Sales and Marketing. Under the settlement agreement, we agreed, in exchange for a general release of all claims and other customary terms and conditions, (i) to pay Mr. Lucero on each pay day through July 15, 2008 an amount equal to what he would have received on that pay day based on an annual base salary of $265,000 and (ii) to reimburse Mr. Lucero for costs of coverage under the Consolidated Omnibus Budget Reconciliation Act of 1985, or COBRA, that are incurred during April, May, June and July of 2008, in an amount no greater than the amount we contributed on Mr. Lucero’s behalf for February 2008. We also agreed to make a one time payment to Mr. Lucero of $90,000.</w:t>
      </w:r>
    </w:p>
    <w:p>
      <w:pPr>
        <w:spacing w:after="0" w:line="55"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Vikram Jog. </w:t>
      </w:r>
      <w:r>
        <w:rPr>
          <w:rFonts w:ascii="Arial" w:cs="Arial" w:eastAsia="Arial" w:hAnsi="Arial"/>
          <w:sz w:val="12"/>
          <w:szCs w:val="12"/>
          <w:color w:val="auto"/>
        </w:rPr>
        <w:t>We are a party to an offer letter dated January 29, 2008, with Vikram Jog, our Chief Financial Officer. Under the offer letter, we employ Mr. Jog on an at-will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no specified term and agreed to pay Mr. Jog an annual base salary of $278,000, which continues to be his base salary. We also agreed to pay Mr. Jog a signing bonus of $20,000 pursuant to his offer letter. Pursuant to the offer letter, we granted Mr. Jog an initial options to purchase a total of 600,000 shares of our common stock.</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Payments Upon Termination or Change of Control</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2008, we entered into employment and severance agreements with Gajus V. Worthington, William M. Smith, Mai Chan (Grace) Yow, Robert C. Jones and Vikram Jog, which require us to make payments if the named executive officer’s employment with us is terminated in certain circumstances.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a “change of control” is defined as the occurrence of the following events:</w:t>
      </w:r>
    </w:p>
    <w:p>
      <w:pPr>
        <w:spacing w:after="0" w:line="96" w:lineRule="exact"/>
        <w:rPr>
          <w:sz w:val="20"/>
          <w:szCs w:val="20"/>
          <w:color w:val="auto"/>
        </w:rPr>
      </w:pPr>
    </w:p>
    <w:p>
      <w:pPr>
        <w:ind w:left="1280" w:right="40" w:hanging="190"/>
        <w:spacing w:after="0" w:line="371" w:lineRule="auto"/>
        <w:tabs>
          <w:tab w:leader="none" w:pos="12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2"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us of all or substantially all of our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“cause” is defined as:</w:t>
      </w:r>
    </w:p>
    <w:p>
      <w:pPr>
        <w:spacing w:after="0" w:line="96" w:lineRule="exact"/>
        <w:rPr>
          <w:sz w:val="20"/>
          <w:szCs w:val="20"/>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act of dishonesty in connection with a named executive officer’s responsibilities as an employee;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a conviction of, or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any crime involving fraud, embezzlement or any other act of moral turpitude;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gross misconduct;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unauthorized use or disclosure of any of our proprietary information or of any other party to whom he or she owes an obligation of nondisclosure as a result of his or her relationship with us;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 willful breach of any obligations under any written agreement or covenant with us; or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Pursuant to our employment and severance agreements with Gajus V. Worthington, William M. Smith, Robert C. Jones and Vikram Jog,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1280" w:right="40" w:hanging="190"/>
        <w:spacing w:after="0" w:line="264"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material reduction of the named executive officer’s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relocation of the named executive officer to a facility or a location greater than 50 miles from his or her present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our employment and severance agreement with Mai Chan (Grace) Yow, “good reason” means the occurrence of one or more of the following events effected without her consent, provided that she terminates her employment within one year thereafter:</w:t>
      </w:r>
    </w:p>
    <w:p>
      <w:pPr>
        <w:spacing w:after="0" w:line="59" w:lineRule="exact"/>
        <w:rPr>
          <w:sz w:val="20"/>
          <w:szCs w:val="20"/>
          <w:color w:val="auto"/>
        </w:rPr>
      </w:pPr>
    </w:p>
    <w:p>
      <w:pPr>
        <w:ind w:left="1280" w:hanging="190"/>
        <w:spacing w:after="0" w:line="264"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assignment to Ms. Yow of any duties or a reduction of her duties, either of which significantly reduces her responsibilities; provided that the continuance of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material reduction of Ms. Yow’s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relocation of Ms. Yow to a facility or a location outside the country of Singapore;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70" w:lineRule="exact"/>
        <w:rPr>
          <w:sz w:val="20"/>
          <w:szCs w:val="20"/>
          <w:color w:val="auto"/>
        </w:rPr>
      </w:pPr>
    </w:p>
    <w:p>
      <w:pPr>
        <w:ind w:left="1280" w:right="40" w:hanging="190"/>
        <w:spacing w:after="0" w:line="276" w:lineRule="auto"/>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 amount, payable in accordance with our customary payroll practices, equal to six months of the named executive officer’s base salary in effect immediately prior to the time of termination;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employment and severance agreements further provide that in the event the named executive officer’s employment is terminated by (i)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70" w:lineRule="exact"/>
        <w:rPr>
          <w:sz w:val="20"/>
          <w:szCs w:val="20"/>
          <w:color w:val="auto"/>
        </w:rPr>
      </w:pPr>
    </w:p>
    <w:p>
      <w:pPr>
        <w:ind w:left="1280" w:right="420" w:hanging="190"/>
        <w:spacing w:after="0" w:line="27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describes the payments and benefits that each of our named executive officers would be entitled to receive pursuant to the employment and severance agreements, assuming that each of the following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triggers occurred in December 29, 2007: their employment was terminated without “cause” prior to or after 12 months following a “change of control” and (ii) their employment was terminated without “cause” or for “good reason” within 12 months following a “change of control”.</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ind w:left="20"/>
              <w:spacing w:after="0"/>
              <w:rPr>
                <w:sz w:val="20"/>
                <w:szCs w:val="20"/>
                <w:color w:val="auto"/>
              </w:rPr>
            </w:pPr>
            <w:r>
              <w:rPr>
                <w:rFonts w:ascii="Arial" w:cs="Arial" w:eastAsia="Arial" w:hAnsi="Arial"/>
                <w:sz w:val="10"/>
                <w:szCs w:val="10"/>
                <w:b w:val="1"/>
                <w:bCs w:val="1"/>
                <w:color w:val="auto"/>
              </w:rPr>
              <w:t>Employment Terminated without Cause Prior</w:t>
            </w:r>
          </w:p>
        </w:tc>
        <w:tc>
          <w:tcPr>
            <w:tcW w:w="100" w:type="dxa"/>
            <w:vAlign w:val="bottom"/>
          </w:tcPr>
          <w:p>
            <w:pPr>
              <w:spacing w:after="0"/>
              <w:rPr>
                <w:sz w:val="10"/>
                <w:szCs w:val="10"/>
                <w:color w:val="auto"/>
              </w:rPr>
            </w:pPr>
          </w:p>
        </w:tc>
        <w:tc>
          <w:tcPr>
            <w:tcW w:w="308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6"/>
              </w:rPr>
              <w:t>Employment Terminated within 12 Months</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00" w:type="dxa"/>
            <w:vAlign w:val="bottom"/>
            <w:gridSpan w:val="6"/>
          </w:tcPr>
          <w:p>
            <w:pPr>
              <w:spacing w:after="0"/>
              <w:rPr>
                <w:sz w:val="20"/>
                <w:szCs w:val="20"/>
                <w:color w:val="auto"/>
              </w:rPr>
            </w:pPr>
            <w:r>
              <w:rPr>
                <w:rFonts w:ascii="Arial" w:cs="Arial" w:eastAsia="Arial" w:hAnsi="Arial"/>
                <w:sz w:val="10"/>
                <w:szCs w:val="10"/>
                <w:b w:val="1"/>
                <w:bCs w:val="1"/>
                <w:color w:val="auto"/>
              </w:rPr>
              <w:t>to or After 12 Months Following Change of Control</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5"/>
              </w:rPr>
              <w:t>Following Change of Control</w:t>
            </w:r>
            <w:r>
              <w:rPr>
                <w:rFonts w:ascii="Arial" w:cs="Arial" w:eastAsia="Arial" w:hAnsi="Arial"/>
                <w:sz w:val="8"/>
                <w:szCs w:val="8"/>
                <w:b w:val="1"/>
                <w:bCs w:val="1"/>
                <w:color w:val="auto"/>
                <w:w w:val="95"/>
              </w:rPr>
              <w:t>(1)</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2"/>
          </w:tcPr>
          <w:p>
            <w:pPr>
              <w:jc w:val="center"/>
              <w:ind w:right="600"/>
              <w:spacing w:after="0" w:line="81" w:lineRule="exact"/>
              <w:rPr>
                <w:sz w:val="20"/>
                <w:szCs w:val="20"/>
                <w:color w:val="auto"/>
              </w:rPr>
            </w:pPr>
            <w:r>
              <w:rPr>
                <w:rFonts w:ascii="Arial" w:cs="Arial" w:eastAsia="Arial" w:hAnsi="Arial"/>
                <w:sz w:val="9"/>
                <w:szCs w:val="9"/>
                <w:b w:val="1"/>
                <w:bCs w:val="1"/>
                <w:color w:val="auto"/>
                <w:w w:val="97"/>
              </w:rPr>
              <w:t>Severance</w:t>
            </w: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60"/>
              <w:spacing w:after="0" w:line="81" w:lineRule="exact"/>
              <w:rPr>
                <w:sz w:val="20"/>
                <w:szCs w:val="20"/>
                <w:color w:val="auto"/>
              </w:rPr>
            </w:pPr>
            <w:r>
              <w:rPr>
                <w:rFonts w:ascii="Arial" w:cs="Arial" w:eastAsia="Arial" w:hAnsi="Arial"/>
                <w:sz w:val="9"/>
                <w:szCs w:val="9"/>
                <w:b w:val="1"/>
                <w:bCs w:val="1"/>
                <w:color w:val="auto"/>
              </w:rPr>
              <w:t>Health Care</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3"/>
          </w:tcPr>
          <w:p>
            <w:pPr>
              <w:jc w:val="center"/>
              <w:ind w:right="580"/>
              <w:spacing w:after="0" w:line="81" w:lineRule="exact"/>
              <w:rPr>
                <w:sz w:val="20"/>
                <w:szCs w:val="20"/>
                <w:color w:val="auto"/>
              </w:rPr>
            </w:pPr>
            <w:r>
              <w:rPr>
                <w:rFonts w:ascii="Arial" w:cs="Arial" w:eastAsia="Arial" w:hAnsi="Arial"/>
                <w:sz w:val="9"/>
                <w:szCs w:val="9"/>
                <w:b w:val="1"/>
                <w:bCs w:val="1"/>
                <w:color w:val="auto"/>
              </w:rPr>
              <w:t>Equity</w:t>
            </w: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Severance</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Payments</w:t>
            </w:r>
          </w:p>
        </w:tc>
        <w:tc>
          <w:tcPr>
            <w:tcW w:w="140" w:type="dxa"/>
            <w:vAlign w:val="bottom"/>
          </w:tcPr>
          <w:p>
            <w:pPr>
              <w:spacing w:after="0"/>
              <w:rPr>
                <w:sz w:val="10"/>
                <w:szCs w:val="10"/>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93"/>
              </w:rPr>
              <w:t>Acceleration</w:t>
            </w: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Payments</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Benefits</w:t>
            </w:r>
          </w:p>
        </w:tc>
        <w:tc>
          <w:tcPr>
            <w:tcW w:w="0" w:type="dxa"/>
            <w:vAlign w:val="bottom"/>
          </w:tcPr>
          <w:p>
            <w:pPr>
              <w:spacing w:after="0"/>
              <w:rPr>
                <w:sz w:val="1"/>
                <w:szCs w:val="1"/>
                <w:color w:val="auto"/>
              </w:rPr>
            </w:pPr>
          </w:p>
        </w:tc>
      </w:tr>
      <w:tr>
        <w:trPr>
          <w:trHeight w:val="125"/>
        </w:trPr>
        <w:tc>
          <w:tcPr>
            <w:tcW w:w="3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(2)</w:t>
            </w:r>
          </w:p>
        </w:tc>
        <w:tc>
          <w:tcPr>
            <w:tcW w:w="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(3)</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135,200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135,200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William M. Smith</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8,056</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Vice President, Legal Affairs and General Counsel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6"/>
              </w:rPr>
              <w:t>Vice President, Worldwide Manufacturing and Managing Director of</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Fluidigm Singapore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Robert C. Jones</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9,213</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Executive Vice President, Research and Development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Vikram Jog</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139,000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10,142</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2476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63690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4" w:lineRule="exact"/>
        <w:rPr>
          <w:sz w:val="20"/>
          <w:szCs w:val="20"/>
          <w:color w:val="auto"/>
        </w:rPr>
      </w:pPr>
    </w:p>
    <w:p>
      <w:pPr>
        <w:ind w:left="900" w:hanging="213"/>
        <w:spacing w:after="0"/>
        <w:tabs>
          <w:tab w:leader="none" w:pos="900"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Includes involuntary termination other than for cause, death or disability, and voluntary termination for good reason.</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The amounts shown in this column are equal to 6 months of the named executive officer’s base salary as of December 29, 2007.</w:t>
      </w:r>
    </w:p>
    <w:p>
      <w:pPr>
        <w:ind w:left="900" w:right="520" w:hanging="213"/>
        <w:spacing w:after="0" w:line="225" w:lineRule="auto"/>
        <w:tabs>
          <w:tab w:leader="none" w:pos="90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spread value between (i) the unvested portion of all outstanding stock options, equity appreciation rights or similar equity awards held by the named executive officer on December 29, 2007 and (ii) the initial public offering price of our common stock, which we have assumed to be the midpoint of the price range set forth on the cover page of this prospectus.</w:t>
      </w:r>
    </w:p>
    <w:p>
      <w:pPr>
        <w:ind w:left="900" w:right="140" w:hanging="213"/>
        <w:spacing w:after="0" w:line="225" w:lineRule="auto"/>
        <w:tabs>
          <w:tab w:leader="none" w:pos="90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900" w:hanging="213"/>
        <w:spacing w:after="0"/>
        <w:tabs>
          <w:tab w:leader="none" w:pos="900" w:val="left"/>
        </w:tabs>
        <w:numPr>
          <w:ilvl w:val="0"/>
          <w:numId w:val="65"/>
        </w:numPr>
        <w:rPr>
          <w:rFonts w:ascii="Arial" w:cs="Arial" w:eastAsia="Arial" w:hAnsi="Arial"/>
          <w:sz w:val="10"/>
          <w:szCs w:val="10"/>
          <w:color w:val="auto"/>
        </w:rPr>
      </w:pPr>
      <w:r>
        <w:rPr>
          <w:rFonts w:ascii="Arial" w:cs="Arial" w:eastAsia="Arial" w:hAnsi="Arial"/>
          <w:sz w:val="10"/>
          <w:szCs w:val="10"/>
          <w:color w:val="auto"/>
        </w:rPr>
        <w:t>Amount shown has been converted from Singapore dollars to U.S. dollars based on the interbank exchange rate for December 29, 2007 of 1 Singapore dollar = 0.6909 U.S. dollars.</w:t>
      </w:r>
    </w:p>
    <w:p>
      <w:pPr>
        <w:spacing w:after="0" w:line="7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the benefits described above, our 2008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2008 Equity Incentive Plan.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Board of Directors adopted our 2008 Equity Incentive Plan on January 29, 2008, and we expect our stockholders will approve it prior to the completion of this offer. Subject to stockholder approval, the 2008 Equity Incentive Plan is effective upon its adoption by our Board of Directors,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5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 total of shares of our common stock are reserved for issuance pursuant to the 2008 Equity Incentive Plan, of which no options are issued and outstanding. In addition, the shares reserved for issuance under our 2008 Equity Incentive Plan will also include (a) those shares reserved but unissued under the 1999 Stock Option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80" w:lineRule="auto"/>
        <w:rPr>
          <w:sz w:val="20"/>
          <w:szCs w:val="20"/>
          <w:color w:val="auto"/>
        </w:rPr>
      </w:pPr>
      <w:r>
        <w:rPr>
          <w:rFonts w:ascii="Arial" w:cs="Arial" w:eastAsia="Arial" w:hAnsi="Arial"/>
          <w:sz w:val="12"/>
          <w:szCs w:val="12"/>
          <w:color w:val="auto"/>
        </w:rPr>
        <w:t>Plan as of the effective date of the first registration statement filed by us and declared effective with respect to any class of our securities and (b) shares returned to the 1999 Stock Option Plan as the result of expiration or termination of options (provided that the maximum number of shares that may be added to the 2008 Equity Incentive Plan pursuant to (a) and</w:t>
      </w:r>
    </w:p>
    <w:p>
      <w:pPr>
        <w:ind w:left="680" w:right="320"/>
        <w:spacing w:after="0" w:line="264" w:lineRule="auto"/>
        <w:rPr>
          <w:sz w:val="20"/>
          <w:szCs w:val="20"/>
          <w:color w:val="auto"/>
        </w:rPr>
      </w:pPr>
      <w:r>
        <w:rPr>
          <w:rFonts w:ascii="Arial" w:cs="Arial" w:eastAsia="Arial" w:hAnsi="Arial"/>
          <w:sz w:val="13"/>
          <w:szCs w:val="13"/>
          <w:color w:val="auto"/>
        </w:rPr>
        <w:t>(b) is shares). The number of shares available for issuance under the 2008 Equity Incentive Plan will also include an annual increase on the first day of each fiscal year beginning in , equal to the lesser of:</w:t>
      </w:r>
    </w:p>
    <w:p>
      <w:pPr>
        <w:spacing w:after="0" w:line="67" w:lineRule="exact"/>
        <w:rPr>
          <w:sz w:val="20"/>
          <w:szCs w:val="20"/>
          <w:color w:val="auto"/>
        </w:rPr>
      </w:pPr>
    </w:p>
    <w:p>
      <w:pPr>
        <w:ind w:left="1640" w:hanging="550"/>
        <w:spacing w:after="0"/>
        <w:tabs>
          <w:tab w:leader="none" w:pos="16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4% of the outstanding shares of common stock as of the last day of our immediately preceding fiscal year;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such other amount as our Board of Directors may determine.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Board of Directors or a committee appointed by our Board administers our 2008 Equity Incentive Plan. Our compensation committee will administer our 2008 Equity Incentive Plan after the completion of the offering. In the case of options intended to qualify as “performance-based compensation” within the meaning of Section 162(m) of the Internal Revenue Code, the committee will consist of two or more “outside directors” within the meaning of Section 162(m).</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Subject to the provisions of our 2008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exercise price of options granted under our 2008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 market value on the grant date. Subject to the provisions of our 2008 Equity Incentive Plan, the administrator determines the term of all other options.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Stock appreciation rights may be granted under our 2008 Equity Incentive Plan. Stock appreciation rights allow the recipient to receive the appreciation in the fair market value of our common stock between the exercise date and the date of grant. Subject to the provisions of our 2008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Restricted stock may be granted under our 2008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Restricted stock units may be granted under our 2008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Performance units and performance shares may be granted under our 2008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2008 Equity Incentive Plan provides that all non-employee directors will be eligible to receive all types of awards (except for incentive stock options) under the 2008 Equity Incentive Plan. Please see the description of our Outside Director Equity Compensation Policy below.</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the administrator provides otherwise, our 2008 Equity Incentive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2008 Equity Incentive Plan provides that in the event of a merger or “change in control,” as defined in the 2008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1999 Stock Option Plan, as amended</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1999 Stock Option Plan was adopted by our Board of Directors and approved by our stockholders on May 12, 1999. Our 1999 Stock Option Plan was most recently amended on April 24, 2008. Our 1999 Stock Option Plan provides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 Our Board of Directors has decided not to grant any additional options under our 1999 Stock Option Plan following the completion of this offering. However, our 1999 Stock Option Plan will continue to govern the terms and conditions of the outstanding stock options previously granted thereunder.</w:t>
      </w:r>
    </w:p>
    <w:p>
      <w:pPr>
        <w:spacing w:after="0" w:line="55"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Subject to the provisions of our 1999 Stock Option Plan, the maximum aggregate number of shares which may be subject to option and sold under our 1999 Stock Option Plan is 14,800,000 shares. As of December 29, 2007, options to purchase 7,467,230 shares of our common stock were outstanding and 1,197,154 shares were available for future grant under the 1999 Stock Option Plan.</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35"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exercise price of options granted under our 1999 Stock Option Plan must at least be equal to the fair market value of our common stock on the date of grant. The term of an incentive stock option may not exceed 10 years, except that with respect to any optionee who owns 10% of the voting power of all classes of our outstanding stock as of the grant date, the term must not exceed 5 years and the exercise price must equal at least 110% of the fair market value on the grant date. Subject to the provisions of our 1999 Stock Option Plan, the administrator determines the terms of all other options in its discretion.</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 pursuant to our 1999 Stock Option Plan provide that they may be exercised at anytime prior to the expiration of the ten year term of the option. However, in no event may an option be exercised later than the expiration of its term.</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Unless the administrator provides otherwise, our 1999 Stock Option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Board of Directors has the authority to amend, suspend or terminate the 1999 Stock Option Plan provided such action does not impair the rights of any optionee without his or her written consent.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Retirement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401(k) Plan. </w:t>
      </w:r>
      <w:r>
        <w:rPr>
          <w:rFonts w:ascii="Arial" w:cs="Arial" w:eastAsia="Arial" w:hAnsi="Arial"/>
          <w:sz w:val="13"/>
          <w:szCs w:val="13"/>
          <w:color w:val="auto"/>
        </w:rPr>
        <w:t>We maintain a tax-qualified retirement plan that provides eligible employees with an opportunity to save for retirement on a tax advantaged basis. Eligible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on Liability and Indemnification Matters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7"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Delaware General Corporation Law;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provides that we indemnify our directors and officers to the fullest extent permitted by Delaware law. Our amended and 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6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director and executive compensation arrangements discussed above in “Management,” we have been a party to the following transactions since January 1, 2005,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Series E Preferred Stock</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table below summarizes purchases of shares of our Series E preferred stock since January 1, 2005, by our directors, executive officers, holders of more than 5% of any class of our voting securities, or any member of the immediate family of or any entities affiliated with any of the foregoing persons. In connection with these sales, we granted the purchasers certain registration rights with respect to their securities. See “Description of Capital Stock — Registration Rights.” Each outstanding share of our preferred stock will be converted automatically into one share of our common stock upon the completion of this offering.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Shares of</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Series E</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Purchasers</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Preferred</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Purchase</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161,250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394,750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1,579,000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Biomedical Sciences Investment Fund Pte Ltd</w:t>
            </w:r>
            <w:r>
              <w:rPr>
                <w:rFonts w:ascii="Arial" w:cs="Arial" w:eastAsia="Arial" w:hAnsi="Arial"/>
                <w:sz w:val="11"/>
                <w:szCs w:val="11"/>
                <w:color w:val="auto"/>
              </w:rPr>
              <w:t>(4)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4,458,282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16,049,815</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Lehman Brothers Holdings, Inc.</w:t>
            </w:r>
            <w:r>
              <w:rPr>
                <w:rFonts w:ascii="Arial" w:cs="Arial" w:eastAsia="Arial" w:hAnsi="Arial"/>
                <w:sz w:val="11"/>
                <w:szCs w:val="11"/>
                <w:color w:val="auto"/>
              </w:rPr>
              <w:t>(6)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159,749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638,996</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Lilly Ventures</w:t>
            </w:r>
            <w:r>
              <w:rPr>
                <w:rFonts w:ascii="Arial" w:cs="Arial" w:eastAsia="Arial" w:hAnsi="Arial"/>
                <w:sz w:val="11"/>
                <w:szCs w:val="11"/>
                <w:color w:val="auto"/>
              </w:rPr>
              <w:t>(7)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Versant Ventures</w:t>
            </w:r>
            <w:r>
              <w:rPr>
                <w:rFonts w:ascii="Arial" w:cs="Arial" w:eastAsia="Arial" w:hAnsi="Arial"/>
                <w:sz w:val="11"/>
                <w:szCs w:val="11"/>
                <w:color w:val="auto"/>
              </w:rPr>
              <w:t>(8)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250,000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5,775,531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21,318,811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900" w:hanging="207"/>
        <w:spacing w:after="0" w:line="259" w:lineRule="auto"/>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2,120 shares purchased by Alloy Partners 2002, L.P., 78,505 shares purchased by Alloy Ventures 2002, L.P. and 80,625 shares purchased by Alloy Ventures 2005, L.P. Michael Hunkapiller, an affiliate of Alloy Ventures, is a member of our Board of Directors.</w:t>
      </w:r>
    </w:p>
    <w:p>
      <w:pPr>
        <w:spacing w:after="0" w:line="7" w:lineRule="exact"/>
        <w:rPr>
          <w:rFonts w:ascii="Arial" w:cs="Arial" w:eastAsia="Arial" w:hAnsi="Arial"/>
          <w:sz w:val="10"/>
          <w:szCs w:val="10"/>
          <w:color w:val="auto"/>
        </w:rPr>
      </w:pPr>
    </w:p>
    <w:p>
      <w:pPr>
        <w:ind w:left="900" w:hanging="207"/>
        <w:spacing w:after="0"/>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Bruce Burrows served as member of our Board of Directors from January 3, 2000 to January 15, 2008.</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69"/>
        </w:numPr>
        <w:rPr>
          <w:rFonts w:ascii="Arial" w:cs="Arial" w:eastAsia="Arial" w:hAnsi="Arial"/>
          <w:sz w:val="9"/>
          <w:szCs w:val="9"/>
          <w:color w:val="auto"/>
        </w:rPr>
      </w:pPr>
      <w:r>
        <w:rPr>
          <w:rFonts w:ascii="Arial" w:cs="Arial" w:eastAsia="Arial" w:hAnsi="Arial"/>
          <w:sz w:val="9"/>
          <w:szCs w:val="9"/>
          <w:color w:val="auto"/>
        </w:rPr>
        <w:t>Consists of 105,875 shares purchased EuclidSR Biotechnology Partners, L.P. and 105,875 shares purchased by EuclidSR Partners, L.P. Elaine Jones, an affiliate of Euclid SR Partners, is a member of our Board of Directors.</w:t>
      </w:r>
    </w:p>
    <w:p>
      <w:pPr>
        <w:spacing w:after="0" w:line="43" w:lineRule="exact"/>
        <w:rPr>
          <w:rFonts w:ascii="Arial" w:cs="Arial" w:eastAsia="Arial" w:hAnsi="Arial"/>
          <w:sz w:val="9"/>
          <w:szCs w:val="9"/>
          <w:color w:val="auto"/>
        </w:rPr>
      </w:pPr>
    </w:p>
    <w:p>
      <w:pPr>
        <w:ind w:left="900" w:hanging="207"/>
        <w:spacing w:after="0"/>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shares issued to Biomedical Sciences Investment Fund Pte Ltd in connection with the conversion of convertible promissory notes.</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2,285 shares purchased by InterWest Investors VII, L.P. and 47,715 shares purchased by InterWest Partners VII, L.P.</w:t>
      </w:r>
    </w:p>
    <w:p>
      <w:pPr>
        <w:spacing w:after="0" w:line="32" w:lineRule="exact"/>
        <w:rPr>
          <w:rFonts w:ascii="Arial" w:cs="Arial" w:eastAsia="Arial" w:hAnsi="Arial"/>
          <w:sz w:val="10"/>
          <w:szCs w:val="10"/>
          <w:color w:val="auto"/>
        </w:rPr>
      </w:pPr>
    </w:p>
    <w:p>
      <w:pPr>
        <w:ind w:left="900" w:right="140" w:hanging="207"/>
        <w:spacing w:after="0" w:line="296" w:lineRule="auto"/>
        <w:tabs>
          <w:tab w:leader="none" w:pos="900" w:val="left"/>
        </w:tabs>
        <w:numPr>
          <w:ilvl w:val="0"/>
          <w:numId w:val="69"/>
        </w:numPr>
        <w:rPr>
          <w:rFonts w:ascii="Arial" w:cs="Arial" w:eastAsia="Arial" w:hAnsi="Arial"/>
          <w:sz w:val="9"/>
          <w:szCs w:val="9"/>
          <w:color w:val="auto"/>
        </w:rPr>
      </w:pPr>
      <w:r>
        <w:rPr>
          <w:rFonts w:ascii="Arial" w:cs="Arial" w:eastAsia="Arial" w:hAnsi="Arial"/>
          <w:sz w:val="9"/>
          <w:szCs w:val="9"/>
          <w:color w:val="auto"/>
        </w:rPr>
        <w:t>Consists of 39,937 shares purchased by Lehman Brothers Healthcare Venture Capital L.P., 8,932 shares purchased by Lehman Brothers Offshore Partnership Account 2000/2001, L.P., 76,440 shares purchased by Lehman Brothers P.A., LLC, and 34,440 purchased by Lehman Brothers Partnership Account 2001/2001, L.P. Hingge Hsu, an affiliate of Lehman Brothers Holdings, Inc., served as a member of our Board of Directors at the time of the financing.</w:t>
      </w:r>
    </w:p>
    <w:p>
      <w:pPr>
        <w:ind w:left="900" w:hanging="207"/>
        <w:spacing w:after="0"/>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Ed Torres, an affiliate of Lilly Ventures, served as a member of our Board of Directors at the time of the financing.</w:t>
      </w:r>
    </w:p>
    <w:p>
      <w:pPr>
        <w:spacing w:after="0" w:line="32" w:lineRule="exact"/>
        <w:rPr>
          <w:rFonts w:ascii="Arial" w:cs="Arial" w:eastAsia="Arial" w:hAnsi="Arial"/>
          <w:sz w:val="10"/>
          <w:szCs w:val="10"/>
          <w:color w:val="auto"/>
        </w:rPr>
      </w:pPr>
    </w:p>
    <w:p>
      <w:pPr>
        <w:ind w:left="900" w:right="160" w:hanging="207"/>
        <w:spacing w:after="0" w:line="259" w:lineRule="auto"/>
        <w:tabs>
          <w:tab w:leader="none" w:pos="9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5,000 shares purchased by Versant Affiliates Fund 1-A, L.P., 10,500 shares purchased by Versant Affiliates Fund 1-B, L.P., 4,500 shares purchased by Versant Side Fund I, L.P. and 230,000 shares purchased by Versant Venture Capital I, L.P. Sam Colella, an affiliate of Versant Ventures, is a member of our Board of Directors.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with the Singapore Government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Convertible Note Financings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18, 2003, we entered into a convertible note purchase agreement (as amended December 17, 2004) with Biomedical Sciences Investment Fund Pte Ltd, or BMSIF, an investment arm of the Singapore Economic Development Board, or EDB. Upon execution of the agreement, BMSIF purchased a convertible promissory note in the principal amount of $2,000,000 at an interest rate equal to 8% per annum. The principal and</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interest on this note was convertible into our Series D preferred stock at a price of $2.80 per share, which was equal to the per share purchase price of our Series D preferred stock sold to other investors in December 2003. This note was converted into 832,635 shares of our Series D preferred stock on December 15, 2005. Additionally, the agreement provided for the issuance of up to two additional convertible promissory notes, each in the principal amount of $1,500,000, or a single additional convertible promissory note in the principal amount of $3,000,000, and all at an interest rate of 8% per annum. Pursuant to the terms of the agreement, on June 20, 2006 we issued a single note in the principal amount of $3,000,000 to BMSIF. The principal and interest on this note was also convertible into our Series D preferred stock at a price of $2.80 per share. This note was converted into 1,157,142 shares of our Series D preferred stock on July 2, 2007.</w:t>
      </w:r>
    </w:p>
    <w:p>
      <w:pPr>
        <w:spacing w:after="0" w:line="72"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On August 7, 2006, we entered into a second convertible note purchase agreement with BMSIF pursuant to which BMSIF purchased three convertible promissory notes each in the principal amount of $5 million, for an aggregate principal amount of $15,000,000, and each at an interest rate equal to 8% per annum. The principal and interest on these notes was convertible into our Series E preferred stock at a price of $3.60 per share, which represented a 10% discount on the $4.00 per share price at which our Series E preferred stock was sold to other investors in our Series E preferred stock financing which occurred between June 2006 and December 2007. The first note was issued on August 7, 2006 and was converted into 1,460,730 shares of our Series E preferred stock on March 31, 2007. The second note was issued on November 20, 2006 and was converted into 1,493,607 shares of our Series E preferred stock on March 31, 2007. The last note was issued on April 19, 2007 and was converted into 1,503,945 shares of our Series E preferred stock on April 30, 2008. Each such conversion was completed following the agreement of the parties that the required milestones had been met to the parties satisfaction or waived.</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Government Incentive Grants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October 2005, Fluidigm Singapore entered into a letter agreement providing for up to SG$10 million (approximately US$7.2 million) in incentive grants from the Singapore Economic Development Board, or EDB. The incentive grants are payable for the period August 1, 2005 through July 31, 2010 in connection with the establishment and operation of a research, development and manufacturing center for IFCs in Singapore. 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55"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53"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Specifically, this agreement requires that we must employ at least 24 research scientists and engineers in Singapore by December 31, 2009 to remain eligible for incentive grant payments. As of June 30, 2008, we employed 16 research scientists and engineers involved in the research and development of our IFCs.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firstLine="399"/>
        <w:spacing w:after="0" w:line="300" w:lineRule="auto"/>
        <w:rPr>
          <w:sz w:val="20"/>
          <w:szCs w:val="20"/>
          <w:color w:val="auto"/>
        </w:rPr>
      </w:pPr>
      <w:r>
        <w:rPr>
          <w:rFonts w:ascii="Arial" w:cs="Arial" w:eastAsia="Arial" w:hAnsi="Arial"/>
          <w:sz w:val="11"/>
          <w:szCs w:val="11"/>
          <w:color w:val="auto"/>
        </w:rPr>
        <w:t>On February 12, 2007, Fluidigm Singapore entered into a second letter agreement with EDB which provided for up to an additional SG$3.7 million (approximately US$2.7 million using a March 29, 2008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IFC instrumentation. As of June 30, 2008, we employed</w:t>
      </w:r>
    </w:p>
    <w:p>
      <w:pPr>
        <w:spacing w:after="0" w:line="2" w:lineRule="exact"/>
        <w:rPr>
          <w:sz w:val="20"/>
          <w:szCs w:val="20"/>
          <w:color w:val="auto"/>
        </w:rPr>
      </w:pPr>
    </w:p>
    <w:p>
      <w:pPr>
        <w:ind w:left="680" w:right="340"/>
        <w:spacing w:after="0" w:line="258" w:lineRule="auto"/>
        <w:rPr>
          <w:sz w:val="20"/>
          <w:szCs w:val="20"/>
          <w:color w:val="auto"/>
        </w:rPr>
      </w:pPr>
      <w:r>
        <w:rPr>
          <w:rFonts w:ascii="Arial" w:cs="Arial" w:eastAsia="Arial" w:hAnsi="Arial"/>
          <w:sz w:val="13"/>
          <w:szCs w:val="13"/>
          <w:color w:val="auto"/>
        </w:rPr>
        <w:t>10 research scientists and engineers involved in the research and development of our IFC instrumentation. The primary focus of this grant agreement was the ongoing development and manufacture in Singapore of instrumentation to be used with our IFCs. This letter agreement applies to research, development and manufacturing activity by Fluidigm Singapore in Singapore from June 1, 2006 through May 31, 2011.</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Loan to Gajus Worthington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Worthington $250,000 at an interest rate of 3.52% per annum and the principal and interest were not due and payable until 7 years after the date of the loan or upon the earlier occurrence</w:t>
      </w:r>
    </w:p>
    <w:p>
      <w:pPr>
        <w:spacing w:after="0" w:line="31" w:lineRule="exact"/>
        <w:rPr>
          <w:sz w:val="20"/>
          <w:szCs w:val="20"/>
          <w:color w:val="auto"/>
        </w:rPr>
      </w:pPr>
    </w:p>
    <w:p>
      <w:pPr>
        <w:ind w:left="680" w:right="100"/>
        <w:spacing w:after="0" w:line="280" w:lineRule="auto"/>
        <w:rPr>
          <w:sz w:val="20"/>
          <w:szCs w:val="20"/>
          <w:color w:val="auto"/>
        </w:rPr>
      </w:pPr>
      <w:r>
        <w:rPr>
          <w:rFonts w:ascii="Arial" w:cs="Arial" w:eastAsia="Arial" w:hAnsi="Arial"/>
          <w:sz w:val="12"/>
          <w:szCs w:val="12"/>
          <w:color w:val="auto"/>
        </w:rPr>
        <w:t>of certain events. The loan was secured by the pledge of 833,334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market value of such stock on the date of such sale,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 with Stephen Quake</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May 2006, we entered into an agreement with Stephen Quake pursuant to which we have agreed to pay Dr. Quake $8,333 per month for providing various consulting services to us including serving on our Scientific Advisory Board. The agreement has a term of 10 years and is terminable by us only for cause. At approximately the same time, we repurchased from Dr. Quake approximately 124,000 shares of our common stock for aggregate consideration of $69,425. Dr. Quake served as a director of Fluidigm from its inception until December 2005 and, at the time of these transactions, was the holder of more than 5% of our outstanding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Engagement of Townsend and Townsend and Crew LLP</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Since before 2005, the law firm of Townsend and Townsend and Crew LLP, or Townsend, has served as our primary outside patent counsel. William Smith, our Vice President, Legal Affairs and General Counsel as well as our Secretary since May 2000 and a director from May 2000 until April 7, 2008, was a partner at Townsend from 1985 to April 1, 2008. Amounts paid to Townsend for services and direct patent fees were $880,000, $960,000 and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$576,000 for 2005, 2006 and 2007. Accrued amounts payable to Townsend were $174,000 and $257,000 as of December 31, 2006 and December 29, 2007.</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Grants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stock option grants to our directors and executive officers and related option grant policies are described above in this prospectus under the caption “Management.”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Arrangements and Indemnification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entered into employment arrangements with certain of our executive officers. See “Management — Employment Agreements and Offer Letters” above.</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 Limitations on Liability and Indemnification Matters”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policy.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at April 30, 2008, as adjusted to reflect the sale of common stock offered by us in this offering, for:</w:t>
      </w:r>
    </w:p>
    <w:p>
      <w:pPr>
        <w:spacing w:after="0" w:line="59" w:lineRule="exact"/>
        <w:rPr>
          <w:sz w:val="20"/>
          <w:szCs w:val="20"/>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person who we know beneficially owns more than five percent of our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7" w:lineRule="exact"/>
        <w:rPr>
          <w:sz w:val="20"/>
          <w:szCs w:val="20"/>
          <w:color w:val="auto"/>
        </w:rPr>
      </w:pPr>
    </w:p>
    <w:p>
      <w:pPr>
        <w:jc w:val="both"/>
        <w:ind w:left="680" w:right="100" w:firstLine="399"/>
        <w:spacing w:after="0" w:line="280" w:lineRule="auto"/>
        <w:rPr>
          <w:sz w:val="20"/>
          <w:szCs w:val="20"/>
          <w:color w:val="auto"/>
        </w:rPr>
      </w:pPr>
      <w:r>
        <w:rPr>
          <w:rFonts w:ascii="Arial" w:cs="Arial" w:eastAsia="Arial" w:hAnsi="Arial"/>
          <w:sz w:val="12"/>
          <w:szCs w:val="12"/>
          <w:color w:val="auto"/>
        </w:rPr>
        <w:t>Applicable percentage ownership is based on 68,101,494 shares of common stock outstanding at April 30, 2008. For purposes of the table below, we have assumed that shares of common stock will be outstanding upon completion of this offering, based upon an assumed initial public offering price of $ per share. In computing the number of shares of common</w:t>
      </w:r>
    </w:p>
    <w:p>
      <w:pPr>
        <w:jc w:val="both"/>
        <w:ind w:left="680" w:right="80"/>
        <w:spacing w:after="0" w:line="290" w:lineRule="auto"/>
        <w:rPr>
          <w:sz w:val="20"/>
          <w:szCs w:val="20"/>
          <w:color w:val="auto"/>
        </w:rPr>
      </w:pPr>
      <w:r>
        <w:rPr>
          <w:rFonts w:ascii="Arial" w:cs="Arial" w:eastAsia="Arial" w:hAnsi="Arial"/>
          <w:sz w:val="12"/>
          <w:szCs w:val="12"/>
          <w:color w:val="auto"/>
        </w:rPr>
        <w:t>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April 30, 2008. We did not deem these shares outstanding, however, for the purpose of computing the percentage ownership of any other person. Beneficial ownership representing less than one percent is denoted with an “*.”</w:t>
      </w:r>
    </w:p>
    <w:p>
      <w:pPr>
        <w:spacing w:after="0" w:line="53"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Unless otherwise indicated, the address of each beneficial owner listed in the table below is c/o Fluidigm Corporation, 7000 Shoreline Court, Suite 100, South San Francisco, California 94080.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580" w:type="dxa"/>
            <w:vAlign w:val="bottom"/>
            <w:gridSpan w:val="3"/>
          </w:tcPr>
          <w:p>
            <w:pPr>
              <w:jc w:val="center"/>
              <w:ind w:left="356"/>
              <w:spacing w:after="0"/>
              <w:rPr>
                <w:sz w:val="20"/>
                <w:szCs w:val="20"/>
                <w:color w:val="auto"/>
              </w:rPr>
            </w:pPr>
            <w:r>
              <w:rPr>
                <w:rFonts w:ascii="Arial" w:cs="Arial" w:eastAsia="Arial" w:hAnsi="Arial"/>
                <w:sz w:val="10"/>
                <w:szCs w:val="10"/>
                <w:b w:val="1"/>
                <w:bCs w:val="1"/>
                <w:color w:val="auto"/>
                <w:w w:val="94"/>
              </w:rPr>
              <w:t>Beneficial Ownership</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6"/>
              </w:rPr>
              <w:t>Beneficial Ownership</w:t>
            </w:r>
          </w:p>
        </w:tc>
        <w:tc>
          <w:tcPr>
            <w:tcW w:w="0" w:type="dxa"/>
            <w:vAlign w:val="bottom"/>
          </w:tcPr>
          <w:p>
            <w:pPr>
              <w:spacing w:after="0"/>
              <w:rPr>
                <w:sz w:val="1"/>
                <w:szCs w:val="1"/>
                <w:color w:val="auto"/>
              </w:rPr>
            </w:pPr>
          </w:p>
        </w:tc>
      </w:tr>
      <w:tr>
        <w:trPr>
          <w:trHeight w:val="125"/>
        </w:trPr>
        <w:tc>
          <w:tcPr>
            <w:tcW w:w="59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80" w:type="dxa"/>
            <w:vAlign w:val="bottom"/>
            <w:gridSpan w:val="3"/>
          </w:tcPr>
          <w:p>
            <w:pPr>
              <w:jc w:val="center"/>
              <w:ind w:left="336"/>
              <w:spacing w:after="0"/>
              <w:rPr>
                <w:sz w:val="20"/>
                <w:szCs w:val="20"/>
                <w:color w:val="auto"/>
              </w:rPr>
            </w:pPr>
            <w:r>
              <w:rPr>
                <w:rFonts w:ascii="Arial" w:cs="Arial" w:eastAsia="Arial" w:hAnsi="Arial"/>
                <w:sz w:val="10"/>
                <w:szCs w:val="10"/>
                <w:b w:val="1"/>
                <w:bCs w:val="1"/>
                <w:color w:val="auto"/>
                <w:w w:val="98"/>
              </w:rPr>
              <w:t>Prior to the Offering</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0" w:type="dxa"/>
            <w:vAlign w:val="bottom"/>
          </w:tcPr>
          <w:p>
            <w:pPr>
              <w:spacing w:after="0"/>
              <w:rPr>
                <w:sz w:val="1"/>
                <w:szCs w:val="1"/>
                <w:color w:val="auto"/>
              </w:rPr>
            </w:pPr>
          </w:p>
        </w:tc>
      </w:tr>
      <w:tr>
        <w:trPr>
          <w:trHeight w:val="108"/>
        </w:trPr>
        <w:tc>
          <w:tcPr>
            <w:tcW w:w="5960" w:type="dxa"/>
            <w:vAlign w:val="bottom"/>
            <w:vMerge w:val="continue"/>
          </w:tcPr>
          <w:p>
            <w:pPr>
              <w:spacing w:after="0"/>
              <w:rPr>
                <w:sz w:val="9"/>
                <w:szCs w:val="9"/>
                <w:color w:val="auto"/>
              </w:rPr>
            </w:pPr>
          </w:p>
        </w:tc>
        <w:tc>
          <w:tcPr>
            <w:tcW w:w="1300" w:type="dxa"/>
            <w:vAlign w:val="bottom"/>
            <w:tcBorders>
              <w:top w:val="single" w:sz="8" w:color="auto"/>
            </w:tcBorders>
            <w:gridSpan w:val="2"/>
          </w:tcPr>
          <w:p>
            <w:pPr>
              <w:ind w:left="300"/>
              <w:spacing w:after="0" w:line="108" w:lineRule="exact"/>
              <w:rPr>
                <w:sz w:val="20"/>
                <w:szCs w:val="20"/>
                <w:color w:val="auto"/>
              </w:rPr>
            </w:pPr>
            <w:r>
              <w:rPr>
                <w:rFonts w:ascii="Arial" w:cs="Arial" w:eastAsia="Arial" w:hAnsi="Arial"/>
                <w:sz w:val="10"/>
                <w:szCs w:val="10"/>
                <w:b w:val="1"/>
                <w:bCs w:val="1"/>
                <w:color w:val="auto"/>
              </w:rPr>
              <w:t>Shares</w:t>
            </w:r>
          </w:p>
        </w:tc>
        <w:tc>
          <w:tcPr>
            <w:tcW w:w="680" w:type="dxa"/>
            <w:vAlign w:val="bottom"/>
            <w:tcBorders>
              <w:top w:val="single" w:sz="8" w:color="auto"/>
            </w:tcBorders>
            <w:gridSpan w:val="2"/>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480" w:type="dxa"/>
            <w:vAlign w:val="bottom"/>
          </w:tcPr>
          <w:p>
            <w:pPr>
              <w:spacing w:after="0"/>
              <w:rPr>
                <w:sz w:val="9"/>
                <w:szCs w:val="9"/>
                <w:color w:val="auto"/>
              </w:rPr>
            </w:pPr>
          </w:p>
        </w:tc>
        <w:tc>
          <w:tcPr>
            <w:tcW w:w="3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the Singapore government</w:t>
            </w:r>
            <w:r>
              <w:rPr>
                <w:rFonts w:ascii="Arial" w:cs="Arial" w:eastAsia="Arial" w:hAnsi="Arial"/>
                <w:sz w:val="11"/>
                <w:szCs w:val="11"/>
                <w:color w:val="auto"/>
              </w:rPr>
              <w:t>(3)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9,008,967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13.23%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Fidelity Funds</w:t>
            </w:r>
            <w:r>
              <w:rPr>
                <w:rFonts w:ascii="Arial" w:cs="Arial" w:eastAsia="Arial" w:hAnsi="Arial"/>
                <w:sz w:val="11"/>
                <w:szCs w:val="11"/>
                <w:color w:val="auto"/>
              </w:rPr>
              <w:t>(4)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6,250,000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3,776,885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Lehman Funds</w:t>
            </w:r>
            <w:r>
              <w:rPr>
                <w:rFonts w:ascii="Arial" w:cs="Arial" w:eastAsia="Arial" w:hAnsi="Arial"/>
                <w:sz w:val="11"/>
                <w:szCs w:val="11"/>
                <w:color w:val="auto"/>
              </w:rPr>
              <w:t>(6)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3,693,907</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SMALLCAP World Fund, Inc.</w:t>
            </w:r>
            <w:r>
              <w:rPr>
                <w:rFonts w:ascii="Arial" w:cs="Arial" w:eastAsia="Arial" w:hAnsi="Arial"/>
                <w:sz w:val="11"/>
                <w:szCs w:val="11"/>
                <w:color w:val="auto"/>
              </w:rPr>
              <w:t>(7)</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4,378,695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6.43%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Versant Funds</w:t>
            </w:r>
            <w:r>
              <w:rPr>
                <w:rFonts w:ascii="Arial" w:cs="Arial" w:eastAsia="Arial" w:hAnsi="Arial"/>
                <w:sz w:val="11"/>
                <w:szCs w:val="11"/>
                <w:color w:val="auto"/>
              </w:rPr>
              <w:t>(8)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Bruce Burrows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3,647,339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5.36%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Gajus V. Worthington</w:t>
            </w:r>
            <w:r>
              <w:rPr>
                <w:rFonts w:ascii="Arial" w:cs="Arial" w:eastAsia="Arial" w:hAnsi="Arial"/>
                <w:sz w:val="11"/>
                <w:szCs w:val="11"/>
                <w:color w:val="auto"/>
              </w:rPr>
              <w:t>(9)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2,836,087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4.13%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Richard DeLateur</w:t>
            </w:r>
            <w:r>
              <w:rPr>
                <w:rFonts w:ascii="Arial" w:cs="Arial" w:eastAsia="Arial" w:hAnsi="Arial"/>
                <w:sz w:val="11"/>
                <w:szCs w:val="11"/>
                <w:color w:val="auto"/>
              </w:rPr>
              <w:t>(10)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324,582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(11)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690,000</w:t>
            </w:r>
          </w:p>
        </w:tc>
        <w:tc>
          <w:tcPr>
            <w:tcW w:w="2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718,500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William M. Smith</w:t>
            </w:r>
            <w:r>
              <w:rPr>
                <w:rFonts w:ascii="Arial" w:cs="Arial" w:eastAsia="Arial" w:hAnsi="Arial"/>
                <w:sz w:val="11"/>
                <w:szCs w:val="11"/>
                <w:color w:val="auto"/>
              </w:rPr>
              <w:t>(13)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1,117,000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1.62%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(14)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Hunkapiller</w:t>
            </w:r>
            <w:r>
              <w:rPr>
                <w:rFonts w:ascii="Arial" w:cs="Arial" w:eastAsia="Arial" w:hAnsi="Arial"/>
                <w:sz w:val="11"/>
                <w:szCs w:val="11"/>
                <w:color w:val="auto"/>
              </w:rPr>
              <w:t>(1)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Elaine V. Jones</w:t>
            </w:r>
            <w:r>
              <w:rPr>
                <w:rFonts w:ascii="Arial" w:cs="Arial" w:eastAsia="Arial" w:hAnsi="Arial"/>
                <w:sz w:val="11"/>
                <w:szCs w:val="11"/>
                <w:color w:val="auto"/>
              </w:rPr>
              <w: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John Young</w:t>
            </w:r>
            <w:r>
              <w:rPr>
                <w:rFonts w:ascii="Arial" w:cs="Arial" w:eastAsia="Arial" w:hAnsi="Arial"/>
                <w:sz w:val="11"/>
                <w:szCs w:val="11"/>
                <w:color w:val="auto"/>
              </w:rPr>
              <w:t>(16)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(10 persons)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20,199,742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right"/>
        <w:spacing w:after="0"/>
        <w:rPr>
          <w:sz w:val="20"/>
          <w:szCs w:val="20"/>
          <w:color w:val="auto"/>
        </w:rPr>
      </w:pPr>
      <w:r>
        <w:rPr>
          <w:rFonts w:ascii="Arial" w:cs="Arial" w:eastAsia="Arial" w:hAnsi="Arial"/>
          <w:sz w:val="10"/>
          <w:szCs w:val="10"/>
          <w:i w:val="1"/>
          <w:iCs w:val="1"/>
          <w:color w:val="auto"/>
        </w:rPr>
        <w:t>(footnotes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63690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1" w:lineRule="exact"/>
        <w:rPr>
          <w:sz w:val="20"/>
          <w:szCs w:val="20"/>
          <w:color w:val="auto"/>
        </w:rPr>
      </w:pPr>
    </w:p>
    <w:p>
      <w:pPr>
        <w:ind w:left="1000" w:hanging="313"/>
        <w:spacing w:after="0" w:line="243" w:lineRule="auto"/>
        <w:tabs>
          <w:tab w:leader="none" w:pos="1000" w:val="left"/>
        </w:tabs>
        <w:numPr>
          <w:ilvl w:val="0"/>
          <w:numId w:val="72"/>
        </w:numPr>
        <w:rPr>
          <w:rFonts w:ascii="Arial" w:cs="Arial" w:eastAsia="Arial" w:hAnsi="Arial"/>
          <w:sz w:val="10"/>
          <w:szCs w:val="10"/>
          <w:color w:val="auto"/>
        </w:rPr>
      </w:pPr>
      <w:r>
        <w:rPr>
          <w:rFonts w:ascii="Arial" w:cs="Arial" w:eastAsia="Arial" w:hAnsi="Arial"/>
          <w:sz w:val="10"/>
          <w:szCs w:val="10"/>
          <w:color w:val="auto"/>
        </w:rPr>
        <w:t>Consists of 1,866,340 shares held of record by Alloy Ventures 2005, L.P., 1,817,272 shares held of record by Alloy Ventures 2002, L.P., and 49,067 shares held of record by Alloy Partners 2002, L.P. Michael Hunkapiller, a member of our Board of Directors, is a Managing Member of</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right="20"/>
        <w:spacing w:after="0" w:line="228" w:lineRule="auto"/>
        <w:rPr>
          <w:sz w:val="20"/>
          <w:szCs w:val="20"/>
          <w:color w:val="auto"/>
        </w:rPr>
      </w:pPr>
      <w:r>
        <w:rPr>
          <w:rFonts w:ascii="Arial" w:cs="Arial" w:eastAsia="Arial" w:hAnsi="Arial"/>
          <w:sz w:val="10"/>
          <w:szCs w:val="10"/>
          <w:color w:val="auto"/>
        </w:rPr>
        <w:t>Alloy Ventures 2005, LLC, the General Partner of Alloy Ventures 2005,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2" w:lineRule="exact"/>
        <w:rPr>
          <w:sz w:val="20"/>
          <w:szCs w:val="20"/>
          <w:color w:val="auto"/>
        </w:rPr>
      </w:pPr>
    </w:p>
    <w:p>
      <w:pPr>
        <w:ind w:left="1000" w:right="40" w:hanging="313"/>
        <w:spacing w:after="0" w:line="225" w:lineRule="auto"/>
        <w:tabs>
          <w:tab w:leader="none" w:pos="10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Consists of 2,449,498 shares held of record by EuclidSR Partners, L.P. and 2,449,498 shares held of record by EuclidSR Biotechnology Partners, L.P. Elaine V. Jones, a member of our Board of Directors shares voting and investment power with Graham D.S. Anderson, Raymond J. Whitaker,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3240, New York, NY 10111.</w:t>
      </w:r>
    </w:p>
    <w:p>
      <w:pPr>
        <w:spacing w:after="0" w:line="1" w:lineRule="exact"/>
        <w:rPr>
          <w:rFonts w:ascii="Arial" w:cs="Arial" w:eastAsia="Arial" w:hAnsi="Arial"/>
          <w:sz w:val="10"/>
          <w:szCs w:val="10"/>
          <w:color w:val="auto"/>
        </w:rPr>
      </w:pPr>
    </w:p>
    <w:p>
      <w:pPr>
        <w:ind w:left="1000" w:right="80" w:hanging="313"/>
        <w:spacing w:after="0" w:line="225" w:lineRule="auto"/>
        <w:tabs>
          <w:tab w:leader="none" w:pos="10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Consists of 8,233,773 shares held of record by Biomedical Sciences Investment Fund Pte Ltd which includes 1,503,945 shares issued upon conversion of a convertible promissory note, and 775,194 shares held of record by Singapore Bio-Innovations Pte Ltd, EDB Investments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20 Biopolis Way, #09-01 Centros, Singapore 138668.</w:t>
      </w:r>
    </w:p>
    <w:p>
      <w:pPr>
        <w:spacing w:after="0" w:line="1" w:lineRule="exact"/>
        <w:rPr>
          <w:rFonts w:ascii="Arial" w:cs="Arial" w:eastAsia="Arial" w:hAnsi="Arial"/>
          <w:sz w:val="10"/>
          <w:szCs w:val="10"/>
          <w:color w:val="auto"/>
        </w:rPr>
      </w:pPr>
    </w:p>
    <w:p>
      <w:pPr>
        <w:ind w:left="1000" w:hanging="313"/>
        <w:spacing w:after="0"/>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Consists of 481,170 shares held of record by Fidelity Contrafund: Fidelity Advisor New Insights Fund, 4,389,865 shares held of record by Fidelity Contrafund: Fidelity Contrafund and 1,378,965 shares held of record by Variable</w:t>
      </w:r>
    </w:p>
    <w:p>
      <w:pPr>
        <w:spacing w:after="0" w:line="4" w:lineRule="exact"/>
        <w:rPr>
          <w:rFonts w:ascii="Arial" w:cs="Arial" w:eastAsia="Arial" w:hAnsi="Arial"/>
          <w:sz w:val="9"/>
          <w:szCs w:val="9"/>
          <w:color w:val="auto"/>
        </w:rPr>
      </w:pPr>
    </w:p>
    <w:p>
      <w:pPr>
        <w:ind w:left="1000" w:right="60"/>
        <w:spacing w:after="0" w:line="250" w:lineRule="auto"/>
        <w:rPr>
          <w:rFonts w:ascii="Arial" w:cs="Arial" w:eastAsia="Arial" w:hAnsi="Arial"/>
          <w:sz w:val="9"/>
          <w:szCs w:val="9"/>
          <w:color w:val="auto"/>
        </w:rPr>
      </w:pPr>
      <w:r>
        <w:rPr>
          <w:rFonts w:ascii="Arial" w:cs="Arial" w:eastAsia="Arial" w:hAnsi="Arial"/>
          <w:sz w:val="9"/>
          <w:szCs w:val="9"/>
          <w:color w:val="auto"/>
        </w:rPr>
        <w:t>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Corp. and an investment adviser registered under Section 203 of the Investment Advisers Act of 1940 is</w:t>
      </w:r>
    </w:p>
    <w:p>
      <w:pPr>
        <w:ind w:left="1000" w:right="80"/>
        <w:spacing w:after="0" w:line="225" w:lineRule="auto"/>
        <w:rPr>
          <w:rFonts w:ascii="Arial" w:cs="Arial" w:eastAsia="Arial" w:hAnsi="Arial"/>
          <w:sz w:val="9"/>
          <w:szCs w:val="9"/>
          <w:color w:val="auto"/>
        </w:rPr>
      </w:pPr>
      <w:r>
        <w:rPr>
          <w:rFonts w:ascii="Arial" w:cs="Arial" w:eastAsia="Arial" w:hAnsi="Arial"/>
          <w:sz w:val="10"/>
          <w:szCs w:val="10"/>
          <w:color w:val="auto"/>
        </w:rPr>
        <w:t>82 Devonshire Street, Boston Massachusetts 02109. Edward C. Johnson 3d, FMR Corp., through its control of FMR Co., and each Fund has power to dispose of the securities owned by such Fund. Neither FMR Corp. nor Edward C. Johnson 3d, Chairman of FMR Corp.,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 w:lineRule="exact"/>
        <w:rPr>
          <w:rFonts w:ascii="Arial" w:cs="Arial" w:eastAsia="Arial" w:hAnsi="Arial"/>
          <w:sz w:val="9"/>
          <w:szCs w:val="9"/>
          <w:color w:val="auto"/>
        </w:rPr>
      </w:pPr>
    </w:p>
    <w:p>
      <w:pPr>
        <w:ind w:left="1000" w:hanging="313"/>
        <w:spacing w:after="0" w:line="250"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Consists of 172,602 shares held of record by InterWest Investors VII, L.P. and 3,604,283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Directors of InterWest Management Partners VII, LLC, have shared voting and investment control over the shares owned by InterWest Partners VII, L.P. and InterWest Investors VII, L.P. Stephen C. Bowsher, Alan W. Crites, Rodney A. Ferguson and Karen A. Wilson are Members of InterWest Management Partners VII, L.L.C. All Managing Directors and Members disclaim beneficial ownership of the shares owned by InterWest Partners VII, LP and InterWest Investor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9"/>
          <w:szCs w:val="9"/>
          <w:color w:val="auto"/>
        </w:rPr>
      </w:pPr>
    </w:p>
    <w:p>
      <w:pPr>
        <w:ind w:left="1000" w:hanging="313"/>
        <w:spacing w:after="0" w:line="250"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Consists of 923,476 shares held of record by Lehman Brothers Healthcare Venture Capital, L.P., 206,536 shares held of record by Lehman Brothers Offshore Partnership Account 2000/2001, L.P., 1,767,535 shares held of record by Lehman Brothers P.A., LLC and 796,360 shares held of record by Lehman Brothers Partnership Account 2000/2001, L.P. Hingge Hsu, a former member of our Board of Directors, was formerly employed by Lehman Brothers Inc., and now serves as a consultant of Lehman Brothers Inc. In each of the limited partnerships referenced above, Lehman Brothers Inc. controls the general partner of the fund. In the limited liability company, Lehman Brothers Inc. controls the manager of that fund. In all instances, the general partner or the manager has voting and dispositive control of the shares held by that particular fund, and thus may be attributed to Lehman Brothers Inc.. In all four funds listed above, Lehman Brothers Holdings Inc. ultimately controls the manager and the general partners of the funds. Employees of Lehman Brothers Inc., a subsidiary of Lehman Brothers Holdings Inc., manage each of the funds. No one person controls Lehman Brothers Holdings Inc. The address of the entities affiliated with Lehman Brothers Inc. is 399 Park Avenue, 11</w:t>
      </w:r>
      <w:r>
        <w:rPr>
          <w:rFonts w:ascii="Arial" w:cs="Arial" w:eastAsia="Arial" w:hAnsi="Arial"/>
          <w:sz w:val="7"/>
          <w:szCs w:val="7"/>
          <w:color w:val="auto"/>
        </w:rPr>
        <w:t>th</w:t>
      </w:r>
      <w:r>
        <w:rPr>
          <w:rFonts w:ascii="Arial" w:cs="Arial" w:eastAsia="Arial" w:hAnsi="Arial"/>
          <w:sz w:val="9"/>
          <w:szCs w:val="9"/>
          <w:color w:val="auto"/>
        </w:rPr>
        <w:t xml:space="preserve"> Floor, New York, NY 10022.</w:t>
      </w:r>
    </w:p>
    <w:p>
      <w:pPr>
        <w:spacing w:after="0" w:line="1" w:lineRule="exact"/>
        <w:rPr>
          <w:rFonts w:ascii="Arial" w:cs="Arial" w:eastAsia="Arial" w:hAnsi="Arial"/>
          <w:sz w:val="9"/>
          <w:szCs w:val="9"/>
          <w:color w:val="auto"/>
        </w:rPr>
      </w:pPr>
    </w:p>
    <w:p>
      <w:pPr>
        <w:ind w:left="1000" w:right="20" w:hanging="313"/>
        <w:spacing w:after="0" w:line="225" w:lineRule="auto"/>
        <w:tabs>
          <w:tab w:leader="none" w:pos="10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Consists of 4,378,695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are the primary portfolio counselors of CRMC. In such capacity, CRMC Messrs. Crawford, Frank, Knowles, Enright, Denning and Ms. Huntington may be deemed to beneficially own the shares held by SMALLCAP. CRMC, however, each disclaims such beneficial ownership. The address of the SMALLCAP is The Capital Group Companies, 333, South Hope Street, Los Angeles, California 90071.</w:t>
      </w:r>
    </w:p>
    <w:p>
      <w:pPr>
        <w:spacing w:after="0" w:line="1" w:lineRule="exact"/>
        <w:rPr>
          <w:rFonts w:ascii="Arial" w:cs="Arial" w:eastAsia="Arial" w:hAnsi="Arial"/>
          <w:sz w:val="10"/>
          <w:szCs w:val="10"/>
          <w:color w:val="auto"/>
        </w:rPr>
      </w:pPr>
    </w:p>
    <w:p>
      <w:pPr>
        <w:ind w:left="1000" w:right="20" w:hanging="313"/>
        <w:spacing w:after="0" w:line="233" w:lineRule="auto"/>
        <w:tabs>
          <w:tab w:leader="none" w:pos="10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Consists of 5,378,019 shares held of record by Versant Venture Capital I, L.P., 98,662 shares held of record by Versant Affiliates Fund I-A, L.P., 291,146 shares held of record by Versant Affiliates Fund I-B, L.P. and 112,153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w:t>
      </w: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spacing w:after="0" w:line="231" w:lineRule="auto"/>
        <w:rPr>
          <w:sz w:val="20"/>
          <w:szCs w:val="20"/>
          <w:color w:val="auto"/>
        </w:rPr>
      </w:pPr>
      <w:r>
        <w:rPr>
          <w:rFonts w:ascii="Arial" w:cs="Arial" w:eastAsia="Arial" w:hAnsi="Arial"/>
          <w:sz w:val="10"/>
          <w:szCs w:val="10"/>
          <w:color w:val="auto"/>
        </w:rPr>
        <w:t>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ind w:left="1000" w:right="16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2,341,087 shares held of record by Gajus Worthington and Jami A. Worthington as TTEES of the Worthington Family Trust dtd 3-6-07 and options to purchase 495,000 shares of Common Stock that are exercisable within 60 days of April 30, 2008, of which 254,999 shares are vested as of June 29, 2008.</w:t>
      </w:r>
    </w:p>
    <w:p>
      <w:pPr>
        <w:ind w:left="100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140,000 shares held of record by Richard A. DeLateur and options to purchase 184,582 shares of common stock that are vested and exercisable no later than May 29, 2008.</w:t>
      </w:r>
    </w:p>
    <w:p>
      <w:pPr>
        <w:ind w:left="100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options to purchase 690,000 shares of common stock that are exercisable within 60 days of April 30, 2008 of which 323,332 shares are vested as of February 27, 2008.</w:t>
      </w:r>
    </w:p>
    <w:p>
      <w:pPr>
        <w:ind w:left="100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options to purchase 718,500 shares of common stock that are vested and exercisable no later than June 14, 2008.</w:t>
      </w:r>
    </w:p>
    <w:p>
      <w:pPr>
        <w:ind w:left="1000" w:hanging="313"/>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Consists of 300,000 shares held of record by William M. Smith and options to purchase 817,000 shares of common stock that are exercisable within 60 days of April 30, 2008, of which 771,500 are vested as of June 29, 2008.</w:t>
      </w:r>
    </w:p>
    <w:p>
      <w:pPr>
        <w:spacing w:after="0" w:line="4" w:lineRule="exact"/>
        <w:rPr>
          <w:rFonts w:ascii="Arial" w:cs="Arial" w:eastAsia="Arial" w:hAnsi="Arial"/>
          <w:sz w:val="9"/>
          <w:szCs w:val="9"/>
          <w:color w:val="auto"/>
        </w:rPr>
      </w:pPr>
    </w:p>
    <w:p>
      <w:pPr>
        <w:ind w:left="100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options to purchase 307,500 shares of common stock that are exercisable within 60 days of April 30, 2008, of which 270,000 are vested as of June 29, 2008.</w:t>
      </w:r>
    </w:p>
    <w:p>
      <w:pPr>
        <w:ind w:left="1000" w:hanging="313"/>
        <w:spacing w:after="0" w:line="225"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options to purchase 137,500 shares of common stock that are exercisable within 60 days of April 30, 2008, all of which are vested as of June 29, 2008.</w:t>
      </w:r>
    </w:p>
    <w:p>
      <w:pPr>
        <w:ind w:left="1000" w:right="340" w:hanging="313"/>
        <w:spacing w:after="0" w:line="243" w:lineRule="auto"/>
        <w:tabs>
          <w:tab w:leader="none" w:pos="10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Mr. Young disclaims beneficial ownership of 270,000 shares as all of the shares were subsequently transferred to his children, Diana Young, Gregory Young and John Peter Young. As of February 27, 2008 29,167 shares of common stock are subject to a right of repurchase at cost. The right of repurchase lapses at a rate of approximately 2,083 shares of common stock per month.</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Immediately following the completion of this offering, our authorized capital stock will consist of 320,000,000 shares, all with a par value of $0.001 per share, of which:</w:t>
      </w:r>
    </w:p>
    <w:p>
      <w:pPr>
        <w:spacing w:after="0" w:line="96" w:lineRule="exact"/>
        <w:rPr>
          <w:sz w:val="20"/>
          <w:szCs w:val="20"/>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300,000,000 shares are designated as common stock;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20,000,000 shares are designated as preferred stock.</w:t>
      </w:r>
    </w:p>
    <w:p>
      <w:pPr>
        <w:spacing w:after="0" w:line="96"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As of June 30, 2008, we had outstanding 68,217,839 shares of common stock held of record by 248 stockholders, assuming the automatic conversion of all outstanding shares of our preferred stock on a one-for-one basis into 58,191,261 shares of common stock. In addition, as of June 30, 2008, 8,297,257 shares of our common stock were subject to outstanding options and 757,436 shares of our capital stock were subject to outstanding warrants. No options will expire prior to the completion of this offering. For more information on our capitalization, see “Capitalization” above.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Immediately after the completion of this offering, no shares of preferred stock will be outstanding (assuming the automatic conversion of all outstanding shares of our preferred stock on a one-for-one basis into 58,174,839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20,000,000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diluting the voting power of the holders of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dividend payments;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payments in the event of our liquidation, dissolution, or winding up;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delaying, deterring or preventing a change-in-control or other corporate takeover.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of June 30, 2008, we had outstanding warrants to purchase an aggregate of 757,436 shares of our preferred stock, all of which will be converted into warrants to purchase an equal number of shares of our common stock at exercise prices ranging from $2.18 per share to $4.00 per share. These warrants will expire at various times between July 2008 and February 2015. In the event of a distribution of dividends, a stock split, a reorganization, a reclassification, a consolidation, or a similar event, each warrant provides for adjustment of the exercise price and the number of shares issuable upon exercise. In June 2008, the number of shares subject to a certain warrant to purchase Series E Preferred Stock issued to Lighthouse Capital Partners V, L.P. increased by 200,000 shares pursuant to its terms as a result of our borrowing an additional $10 million under our loan agreement with Lighthouse.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Issuance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7, 2003, we entered into a Master Closing Agreement with Oculus Pharmaceuticals, Inc. and The UAB Research Foundation, or UAB, related to certain intellectual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and technology rights licensed by us from UAB. Pursuant to the agreement, we are obligated to issue UAB shares of our common stock with a value equal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$1,500,000 upon the achievement of a certain milestone and based upon the fair market value of our common stock at the time the milestone is achieved. We currently do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achieving this milestone in the foreseeable future and do not anticipate issuing these shares. The potential issuance discussed above is not reflected in the number of shares of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in this prospectus.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April 30, 2008, the holders of an aggregate of 63,541,524 shares of our common stock, which includes 58,174,839 shares of common stock issued on conversion of outstanding preferred stock and 598,720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4,767,965 shares of common stock entitled to the rights described below, in the section titled “Piggyback Registration Rights.” We refer to these shares collectively as “registrable securities.”</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If at any time after this offering the holders of at least a majority of the registrable securities request in writing that we effect a registration that has a reasonably anticipated aggregate price to the public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7" w:lineRule="exact"/>
        <w:rPr>
          <w:sz w:val="20"/>
          <w:szCs w:val="20"/>
          <w:color w:val="auto"/>
        </w:rPr>
      </w:pPr>
    </w:p>
    <w:p>
      <w:pPr>
        <w:ind w:left="1280" w:hanging="190"/>
        <w:spacing w:after="0"/>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removal of a director requires the vote of a majority of the voting power of our issued and outstanding capital stock entitled to vote in the election of directors; and</w:t>
      </w:r>
    </w:p>
    <w:p>
      <w:pPr>
        <w:spacing w:after="0" w:line="58"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the amendment of certain provisions of our restated certificate of incorporation require the vote of 66 2/3% of our then outstanding voting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 Takeover Effects of Delaware Law and Our Certificate of Incorporation and Bylaws</w:t>
      </w:r>
    </w:p>
    <w:p>
      <w:pPr>
        <w:spacing w:after="0" w:line="10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Certificate of Incorporation and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amended and restated certificate of incorporation and bylaws to become effective upon completion of this offering include provisions that:</w:t>
      </w:r>
    </w:p>
    <w:p>
      <w:pPr>
        <w:spacing w:after="0" w:line="96" w:lineRule="exact"/>
        <w:rPr>
          <w:sz w:val="20"/>
          <w:szCs w:val="20"/>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60" w:hanging="190"/>
        <w:spacing w:after="0" w:line="276" w:lineRule="auto"/>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provide that directors may be removed only for cause;</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the Board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7" w:lineRule="exact"/>
        <w:rPr>
          <w:sz w:val="20"/>
          <w:szCs w:val="20"/>
          <w:color w:val="auto"/>
        </w:rPr>
      </w:pPr>
    </w:p>
    <w:p>
      <w:pPr>
        <w:ind w:left="1280" w:right="46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10"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2"/>
          <w:szCs w:val="12"/>
          <w:color w:val="auto"/>
        </w:rPr>
      </w:pPr>
    </w:p>
    <w:p>
      <w:pPr>
        <w:ind w:left="1280" w:right="20" w:hanging="190"/>
        <w:spacing w:after="0" w:line="290" w:lineRule="auto"/>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voting stock which is not owned by the interested stockholder.</w:t>
      </w:r>
    </w:p>
    <w:p>
      <w:pPr>
        <w:jc w:val="both"/>
        <w:ind w:left="680" w:firstLine="399"/>
        <w:spacing w:after="0" w:line="322" w:lineRule="auto"/>
        <w:rPr>
          <w:sz w:val="20"/>
          <w:szCs w:val="20"/>
          <w:color w:val="auto"/>
        </w:rPr>
      </w:pPr>
      <w:r>
        <w:rPr>
          <w:rFonts w:ascii="Arial" w:cs="Arial" w:eastAsia="Arial" w:hAnsi="Arial"/>
          <w:sz w:val="11"/>
          <w:szCs w:val="11"/>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3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transfer agent and registrar for our common stock is Computershare Trust Company, N.A. The transfer agent’s address is 250 Royall Street, Canton, MA 02021, and its telephone number is (781) 575-2900.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 Global Market Listing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our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67"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Upon the completion of this offering, a total of shares of common stock will be outstanding, assuming that there are no exercises of options or warrants after April 30, 2008. Of these shares, all shares of common stock sold in this offering by us, plus any shares sold upon exercise of the underwriters’ over-allotment option, will be freely tradable in the public</w:t>
      </w:r>
    </w:p>
    <w:p>
      <w:pPr>
        <w:jc w:val="center"/>
        <w:spacing w:after="0"/>
        <w:rPr>
          <w:sz w:val="20"/>
          <w:szCs w:val="20"/>
          <w:color w:val="auto"/>
        </w:rPr>
      </w:pPr>
      <w:r>
        <w:rPr>
          <w:rFonts w:ascii="Arial" w:cs="Arial" w:eastAsia="Arial" w:hAnsi="Arial"/>
          <w:sz w:val="13"/>
          <w:szCs w:val="13"/>
          <w:color w:val="auto"/>
        </w:rPr>
        <w:t>market without restriction or further registration under the Securities Act, unless these shares are held by “affiliates,” as that term is defined in Rule 144 under the Securities Act.</w:t>
      </w:r>
    </w:p>
    <w:p>
      <w:pPr>
        <w:spacing w:after="0" w:line="8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remaining 68,101,494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Subject to the lock up agreements described below and the provisions of Rules 144 and 701 under the Securities Act, these restricted securities will be available for sale in the public market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Between 90 and 180 days after the date of this prospectus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various times beginning more than 180 days after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68,101,494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of the 9,395,448 shares of our common stock that were subject to stock options outstanding as of April 30, 2008, options to purchase 4,384,570 shares of common stock were vested as of April 30, 2008 and will be eligible for sale 180 days following the effective date of this offering.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5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35" w:lineRule="exact"/>
        <w:rPr>
          <w:sz w:val="20"/>
          <w:szCs w:val="20"/>
          <w:color w:val="auto"/>
        </w:rPr>
      </w:pPr>
    </w:p>
    <w:p>
      <w:pPr>
        <w:ind w:left="1080"/>
        <w:spacing w:after="0"/>
        <w:tabs>
          <w:tab w:leader="none" w:pos="1260" w:val="left"/>
          <w:tab w:leader="none" w:pos="6640" w:val="left"/>
        </w:tabs>
        <w:rPr>
          <w:sz w:val="20"/>
          <w:szCs w:val="20"/>
          <w:color w:val="auto"/>
        </w:rPr>
      </w:pPr>
      <w:r>
        <w:rPr>
          <w:rFonts w:ascii="Arial" w:cs="Arial" w:eastAsia="Arial" w:hAnsi="Arial"/>
          <w:sz w:val="13"/>
          <w:szCs w:val="13"/>
          <w:color w:val="auto"/>
        </w:rPr>
        <w:t>•</w:t>
        <w:tab/>
        <w:t>1% of the number of shares of common stock then outstanding, which will equal approximately</w:t>
      </w:r>
      <w:r>
        <w:rPr>
          <w:sz w:val="20"/>
          <w:szCs w:val="20"/>
          <w:color w:val="auto"/>
        </w:rPr>
        <w:tab/>
      </w:r>
      <w:r>
        <w:rPr>
          <w:rFonts w:ascii="Arial" w:cs="Arial" w:eastAsia="Arial" w:hAnsi="Arial"/>
          <w:sz w:val="12"/>
          <w:szCs w:val="12"/>
          <w:color w:val="auto"/>
        </w:rPr>
        <w:t>shares immediately after this offering; or</w:t>
      </w:r>
    </w:p>
    <w:p>
      <w:pPr>
        <w:spacing w:after="0" w:line="86" w:lineRule="exact"/>
        <w:rPr>
          <w:sz w:val="20"/>
          <w:szCs w:val="20"/>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during the four calendar weeks preceding the filing of a notice on Form 144 with respect to that sale.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701</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 Up Agreements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and all of our directors and officers, as well as the other holders of substantially all shares of common stock outstanding immediately prior to this offering, have agreed that, without the prior written consent of Morgan Stanley &amp; Co. Incorporated on behalf of the underwriters, we and they will not, during the period ending 180 days after the date of this prospectus:</w:t>
      </w:r>
    </w:p>
    <w:p>
      <w:pPr>
        <w:spacing w:after="0" w:line="67" w:lineRule="exact"/>
        <w:rPr>
          <w:sz w:val="20"/>
          <w:szCs w:val="20"/>
          <w:color w:val="auto"/>
        </w:rPr>
      </w:pPr>
    </w:p>
    <w:p>
      <w:pPr>
        <w:ind w:left="1280" w:hanging="190"/>
        <w:spacing w:after="0" w:line="371" w:lineRule="auto"/>
        <w:tabs>
          <w:tab w:leader="none" w:pos="1280" w:val="left"/>
        </w:tabs>
        <w:numPr>
          <w:ilvl w:val="0"/>
          <w:numId w:val="82"/>
        </w:numPr>
        <w:rPr>
          <w:rFonts w:ascii="Arial" w:cs="Arial" w:eastAsia="Arial" w:hAnsi="Arial"/>
          <w:sz w:val="11"/>
          <w:szCs w:val="11"/>
          <w:color w:val="auto"/>
        </w:rPr>
      </w:pPr>
      <w:r>
        <w:rPr>
          <w:rFonts w:ascii="Arial" w:cs="Arial" w:eastAsia="Arial" w:hAnsi="Arial"/>
          <w:sz w:val="11"/>
          <w:szCs w:val="11"/>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our common stock,</w:t>
      </w:r>
    </w:p>
    <w:p>
      <w:pPr>
        <w:spacing w:after="0" w:line="96"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color w:val="auto"/>
        </w:rPr>
        <w:t>Upon completion of this offering, the holders of 63,541,524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 — Registration Rights” for additional information.</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Statements</w:t>
      </w:r>
    </w:p>
    <w:p>
      <w:pPr>
        <w:spacing w:after="0" w:line="100"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 S. FEDERAL INCOME AND ESTATE TAX</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CONSEQUENCES TO NON-U. S. HOLDERS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general discussion of certain material United States federal income and estate tax considerations with respect to the acquisition, ownership and disposition of shares of our common stock applicable to non-U.S. holders. In general, a “non-U.S. holder” is any holder other than:</w:t>
      </w:r>
    </w:p>
    <w:p>
      <w:pPr>
        <w:spacing w:after="0" w:line="59" w:lineRule="exact"/>
        <w:rPr>
          <w:sz w:val="20"/>
          <w:szCs w:val="20"/>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for United States federal income tax purposes;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United States federal income tax purposes) created or organized in or under the laws of the United States, any state thereof or the District of Columbia;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an estate, the income of which is includible in gross income for United States federal income tax purposes regardless of its source; or</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discussion is based on current provisions of the Internal Revenue Code, final, temporary or proposed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50" w:lineRule="exact"/>
        <w:rPr>
          <w:sz w:val="20"/>
          <w:szCs w:val="20"/>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banks, insurance companies or other 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partnerships or other pass-through entities or persons that hold shares of our common stock through such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tax-qualified retirement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traders in securities that elect to use a mark-to-market method of accounting for their securities holdings;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United States expatriates;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persons that will hold common stock as a position in a hedging transaction, “straddle” or “conversion transaction” for tax purposes.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Accordingly, we urge prospective investors to consult with their own tax advisors regarding the United States federal, state and local income and non-U.S. income and other tax considerations of acquiring, holding and disposing of shares of our common stock.</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If a partnership or other pass-through entity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 Gain on Sale or Other Disposition of Common Stock” below).</w:t>
      </w:r>
    </w:p>
    <w:p>
      <w:pPr>
        <w:spacing w:after="0" w:line="4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In general, dividends we pay, if any, to a non-U.S. holder will be subject to United States withholding tax at a rate of 30% of the gross amount. The withholding tax might not apply or might apply at a reduced rate under the terms of an applicable income tax treaty between the United States and the non-U.S. holder’s country of residence. A non-U.S. holder must demonstrate its entitlement to treaty benefits by certifying, among other things, its nonresident status. A non-U.S. holder generally can meet this certification requirement by providing an Internal Revenue Service Form W-8BEN or appropriate substitute form to us or our paying agent. Also, special rules apply if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United States trade or business, and, if a treaty applies, attributable to such a permanent establishment of a non-U.S. holder, generally will not be subject to United States withholding tax if the non-U.S. holder files certain forms, including Internal Revenue Service Form W-8ECI (or any successor form), with the payor of the dividend, and generally will be subject to United States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A non-U.S. holder of shares of our common stock eligible for a reduced rate of United States withholding tax pursuant to an income tax treaty may obtain a refund of any excess amounts withheld by timely filing an appropriate claim for refund with the Internal Revenue Service.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general, a non-U.S. holder will not be subject to United States federal income tax on any gain realized upon the sale or other disposition of the holder’s shares of our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w:t>
      </w:r>
    </w:p>
    <w:p>
      <w:pPr>
        <w:spacing w:after="0" w:line="59" w:lineRule="exact"/>
        <w:rPr>
          <w:sz w:val="20"/>
          <w:szCs w:val="20"/>
          <w:color w:val="auto"/>
        </w:rPr>
      </w:pPr>
    </w:p>
    <w:p>
      <w:pPr>
        <w:ind w:left="1280" w:right="40" w:hanging="190"/>
        <w:spacing w:after="0" w:line="258"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a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1" w:lineRule="exact"/>
        <w:rPr>
          <w:rFonts w:ascii="Arial" w:cs="Arial" w:eastAsia="Arial" w:hAnsi="Arial"/>
          <w:sz w:val="13"/>
          <w:szCs w:val="13"/>
          <w:color w:val="auto"/>
        </w:rPr>
      </w:pPr>
    </w:p>
    <w:p>
      <w:pPr>
        <w:jc w:val="both"/>
        <w:ind w:left="1280" w:right="320" w:hanging="190"/>
        <w:spacing w:after="0" w:line="264"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non-U.S. holder is an individual and is present in the United States for 183 days or more in the taxable year of disposition and certain other tests are met, in which case a non-U.S. holder will be subject to a flat 30% tax on any gain realized upon the sale or other disposition, which tax may be offset by United States source capital losses (even though the individual is not considered a resident of the United States); or</w:t>
      </w:r>
    </w:p>
    <w:p>
      <w:pPr>
        <w:spacing w:after="0" w:line="2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Internal Revenue Code). Our common stock will be treated as regularly traded on an established securities market during any period in which it is listed on a registered national securities exchange or any over-the-counter market.</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States Federal Estate Tax</w:t>
      </w:r>
    </w:p>
    <w:p>
      <w:pPr>
        <w:spacing w:after="0" w:line="8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Information Reporting and Other Reporting Requirements</w:t>
      </w:r>
    </w:p>
    <w:p>
      <w:pPr>
        <w:spacing w:after="0" w:line="8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2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United States backup withholding tax is imposed (at a current rate of 28%) on certain payments to persons that fail to furnish the information required under the United States information reporting requirements. A non-U.S. holder 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52" w:lineRule="exact"/>
        <w:rPr>
          <w:sz w:val="20"/>
          <w:szCs w:val="20"/>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United States person;</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“controlled foreign corporation” for United States federal income tax purposes;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foreign person 50% or more of whose gross income from certain periods is effectively connected with a United States trade or business; or</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foreign partnership if at any time during its tax year (a) one or more of its partners are United States persons who, in the aggregate, hold more than 50% of the income or capital interests of the partnership or (b) the foreign partnership is engaged in a United States trade or business;</w:t>
      </w:r>
    </w:p>
    <w:p>
      <w:pPr>
        <w:spacing w:after="0" w:line="30"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3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1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terms and subject to the conditions contained in an underwriting agreement dated the date of this prospectus, the underwriters named below, for whom Morgan Stanley &amp;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 Incorporated is acting as the representative, have severally agreed to purchase, and we have agreed to sell to them, severally, the number of shares indicated in the table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1060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5395" cy="1060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10795</wp:posOffset>
            </wp:positionV>
            <wp:extent cx="43688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22860</wp:posOffset>
            </wp:positionV>
            <wp:extent cx="4368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11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an aggregate of additional shares of common stock at the public offering price set forth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per share and total public offering price, underwriting discounts and commissions and proceeds before expenses to us. These amounts are shown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540" w:type="dxa"/>
            <w:vAlign w:val="bottom"/>
          </w:tcPr>
          <w:p>
            <w:pPr>
              <w:spacing w:after="0"/>
              <w:rPr>
                <w:sz w:val="20"/>
                <w:szCs w:val="20"/>
                <w:color w:val="auto"/>
              </w:rPr>
            </w:pPr>
            <w:r>
              <w:rPr>
                <w:rFonts w:ascii="Arial" w:cs="Arial" w:eastAsia="Arial" w:hAnsi="Arial"/>
                <w:sz w:val="13"/>
                <w:szCs w:val="13"/>
                <w:color w:val="auto"/>
                <w:w w:val="94"/>
              </w:rPr>
              <w:t>assuming both no exercise and full exercise of the underwriters’ option to purchase up to an additional</w:t>
            </w:r>
          </w:p>
        </w:tc>
        <w:tc>
          <w:tcPr>
            <w:tcW w:w="1580" w:type="dxa"/>
            <w:vAlign w:val="bottom"/>
            <w:gridSpan w:val="2"/>
          </w:tcPr>
          <w:p>
            <w:pPr>
              <w:jc w:val="right"/>
              <w:ind w:right="48"/>
              <w:spacing w:after="0"/>
              <w:rPr>
                <w:sz w:val="20"/>
                <w:szCs w:val="20"/>
                <w:color w:val="auto"/>
              </w:rPr>
            </w:pPr>
            <w:r>
              <w:rPr>
                <w:rFonts w:ascii="Arial" w:cs="Arial" w:eastAsia="Arial" w:hAnsi="Arial"/>
                <w:sz w:val="13"/>
                <w:szCs w:val="13"/>
                <w:color w:val="auto"/>
              </w:rPr>
              <w:t>shares of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0"/>
        </w:trPr>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29"/>
        </w:trPr>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15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7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1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4"/>
        </w:trPr>
        <w:tc>
          <w:tcPr>
            <w:tcW w:w="7120" w:type="dxa"/>
            <w:vAlign w:val="bottom"/>
            <w:gridSpan w:val="3"/>
          </w:tcPr>
          <w:p>
            <w:pPr>
              <w:ind w:left="400"/>
              <w:spacing w:after="0"/>
              <w:rPr>
                <w:sz w:val="20"/>
                <w:szCs w:val="20"/>
                <w:color w:val="auto"/>
              </w:rPr>
            </w:pPr>
            <w:r>
              <w:rPr>
                <w:rFonts w:ascii="Arial" w:cs="Arial" w:eastAsia="Arial" w:hAnsi="Arial"/>
                <w:sz w:val="13"/>
                <w:szCs w:val="13"/>
                <w:color w:val="auto"/>
                <w:w w:val="92"/>
              </w:rPr>
              <w:t>The estimated offering expenses payable by us, exclusive of the underwriting discounts and commissions are approximately $</w:t>
            </w:r>
          </w:p>
        </w:tc>
        <w:tc>
          <w:tcPr>
            <w:tcW w:w="2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81" w:lineRule="exact"/>
        <w:rPr>
          <w:sz w:val="20"/>
          <w:szCs w:val="20"/>
          <w:color w:val="auto"/>
        </w:rPr>
      </w:pPr>
    </w:p>
    <w:p>
      <w:pPr>
        <w:ind w:left="1080" w:right="320"/>
        <w:spacing w:after="0" w:line="418" w:lineRule="auto"/>
        <w:rPr>
          <w:sz w:val="20"/>
          <w:szCs w:val="20"/>
          <w:color w:val="auto"/>
        </w:rPr>
      </w:pPr>
      <w:r>
        <w:rPr>
          <w:rFonts w:ascii="Arial" w:cs="Arial" w:eastAsia="Arial" w:hAnsi="Arial"/>
          <w:sz w:val="13"/>
          <w:szCs w:val="13"/>
          <w:color w:val="auto"/>
        </w:rPr>
        <w:t>The underwriters have informed us that they do not intend sales to discretionary accounts to exceed five percent of the total number of shares of common stock offered by them. We have applied to have the common stock listed on the NASDAQ Global Market under the symbol “FLDM.”</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all directors, officers and substantially all of our other security holders have agreed that, without the prior written consent of Morgan Stanley &amp; Co. Incorporated on behalf of the underwriters, we and they will not, during the period ending 180 days after the date of this prospectus:</w:t>
      </w:r>
    </w:p>
    <w:p>
      <w:pPr>
        <w:spacing w:after="0" w:line="59" w:lineRule="exact"/>
        <w:rPr>
          <w:sz w:val="20"/>
          <w:szCs w:val="20"/>
          <w:color w:val="auto"/>
        </w:rPr>
      </w:pPr>
    </w:p>
    <w:p>
      <w:pPr>
        <w:ind w:left="1280" w:right="40" w:hanging="190"/>
        <w:spacing w:after="0" w:line="320" w:lineRule="auto"/>
        <w:tabs>
          <w:tab w:leader="none" w:pos="12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the common stock; or</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 our case only, file or cause to be filed a registration statement, including any amendments with respect to the registration statement of any shares of common stock or securities convertible, exercisable or exchangeable into our common stock or any other securities of the company (other than any registration statement on Form S-8),</w:t>
      </w:r>
    </w:p>
    <w:p>
      <w:pPr>
        <w:spacing w:after="0" w:line="35"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whether any such transaction described above is to be settled by delivery of common stock or such other securities, in cash or otherwise. In addition, each such person agrees that, without the prior written consent of Morgan Stanley &amp; Co. Incorporated on behalf of the underwriters, they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Subject to certain restrictions, the restrictions described in the immediately preceding paragraph do not apply to:</w:t>
      </w:r>
    </w:p>
    <w:p>
      <w:pPr>
        <w:spacing w:after="0" w:line="96" w:lineRule="exact"/>
        <w:rPr>
          <w:sz w:val="20"/>
          <w:szCs w:val="20"/>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sale of shares to the underwriters;</w:t>
      </w:r>
    </w:p>
    <w:p>
      <w:pPr>
        <w:spacing w:after="0" w:line="8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transactions relating to shares of common stock or other securities acquired in open market transactions after the completion of this offering, provided that no filing under Section 16(a) of the Securities Exchange Act of 1934, as amended, shall be required or shall be voluntarily made in connection with subsequent sales of common stock or other securities acquired in such open market transactions;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exercise of any options to acquire common stock or conversion of any convertible security into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as a bona fide gift;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distributions of shares of common stock or any security convertible into common stock to limited partners, members or stockholders of the transferor;</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by will or intestacy to the transferor’s immediate family or to a trust, the beneficiaries of which are members of the transferor’s immediate family; or</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establishment of a trading plan pursuant to Rule 10b5-1 under the Exchange Act for the transfer of shares of common stock, provided that such plan does not provide for the transfer of common stock during the restricted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180-day restricted period described in the preceding paragraph will be extended if:</w:t>
      </w:r>
    </w:p>
    <w:p>
      <w:pPr>
        <w:spacing w:after="0" w:line="96"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during the last 17 days of the 180-day restricted period, we issue a release regarding earnings or regarding material news or events relating to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prior to the expiration of the 180-day restricted period, we announce that we will release earnings results during the 16-day period beginning on the last day of the 180-day period,</w:t>
      </w:r>
    </w:p>
    <w:p>
      <w:pPr>
        <w:spacing w:after="0" w:line="119"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in which case, the restrictions described in the preceding paragraph will continue to apply until the expiration of the 18-day period beginning on the issuance of the earnings release or the occurrence of the material news or material event, unless such extension is waived, in writing, by Morgan Stanley &amp; Co. Incorporated on behalf of the underwriters.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As an additional means of facilitating the offering,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the underwriters have agreed to indemnify each other against certain liabilities, including liabilities under the Securities Act.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participating in this offering. Other than the prospectus in electronic format, the information on the underwriters’ websites is not part of this prospectus. The underwriters may agree to allocate a number of shares of common stock to underwriters for sale to their online brokerage account holders. Internet distributions will be allocated by Morgan Stanley &amp; Co. Incorporated to underwriters that may make Internet distributions on the same basis as other allocations.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European Economic Area</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common stock to the public in that Member State, except that it may, with effect from and including such date, make an offer of the common stock to the public in that Member State:</w:t>
      </w:r>
    </w:p>
    <w:p>
      <w:pPr>
        <w:spacing w:after="0" w:line="67" w:lineRule="exact"/>
        <w:rPr>
          <w:sz w:val="20"/>
          <w:szCs w:val="20"/>
          <w:color w:val="auto"/>
        </w:rPr>
      </w:pPr>
    </w:p>
    <w:p>
      <w:pPr>
        <w:ind w:left="1280" w:hanging="190"/>
        <w:spacing w:after="0" w:line="276" w:lineRule="auto"/>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at any time to legal entities which are authorized or regulated to operate in the financial markets or, if not so authorized or regulated, whose corporate purpose is solely to invest in securities;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at any time in any other circumstances which do not require the publication by us of a prospectus pursuant to Article 3 of the Prospectus Directive.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purposes of the above, the expression an “offer of the common stock to the public” in relation to any shares of common stock in any Member State means the communication in any form and by any means of sufficient information on the terms of the offer and the common stock to be offered so as to enable an investor to decide to purchase or subscribe shares of common stock,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Kingdom</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shares of common stock in circumstances in which Section 21(1) of such Act does not apply to us and it has complied and will comply with all applicable provisions of such Act with respect to anything done by it in relation to any shares of common stock in, from or otherwise involving the United Kingdom.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Relationships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October 2007, we sold shares of our Series E preferred stock in a private placement transaction. Leerink Swann LLC acted as the placement agent in the October 2007 offering and received a fee of $1,000,000 for services rendered. Entities affiliated with Leerink Swann LLC also participated in the October 2007 offering and purchased an aggregate of 141,250 shares of our Series E preferred stock for an aggregate purchase price of $565,000. One or more of the underwriters may in the future provide investment banking services to us for which they would receive customary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Pricing of the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this offering, there has been no public market for our common stock. The initial public offering price will be determined by negotiations between us and the underwriters.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Among the factors to be considered in determining the initial public offering price are:</w:t>
      </w:r>
    </w:p>
    <w:p>
      <w:pPr>
        <w:spacing w:after="0" w:line="89" w:lineRule="exact"/>
        <w:rPr>
          <w:sz w:val="20"/>
          <w:szCs w:val="20"/>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our future prospects and those of our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our sales, earnings and certain other financial and operating information in recent periods; and</w:t>
      </w:r>
    </w:p>
    <w:p>
      <w:pPr>
        <w:spacing w:after="0" w:line="86" w:lineRule="exact"/>
        <w:rPr>
          <w:rFonts w:ascii="Arial" w:cs="Arial" w:eastAsia="Arial" w:hAnsi="Arial"/>
          <w:sz w:val="13"/>
          <w:szCs w:val="13"/>
          <w:color w:val="auto"/>
        </w:rPr>
      </w:pPr>
    </w:p>
    <w:p>
      <w:pPr>
        <w:ind w:left="1080" w:right="180" w:firstLine="10"/>
        <w:spacing w:after="0" w:line="356" w:lineRule="auto"/>
        <w:tabs>
          <w:tab w:leader="none" w:pos="12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price-earnings ratios, price-sales ratios and market prices of securities and certain financial and operating information of companies engaged in activities similar to ours. An active trading market for the shares may not develop. It is also possible that after the offering the shares will not trade in the public market at or above the initial public offering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160,956 shares of our common stock.</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consolidated financial statements at December 31, 2006 and December 29, 2007, and for each of the three years in the period ended December 29, 2007,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site is www.sec.gov.</w:t>
      </w:r>
    </w:p>
    <w:p>
      <w:pPr>
        <w:spacing w:after="0" w:line="7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provide our stockholders with annual reports containing financial statements that have been audited by an independent registered public accounting firm, and to file with the SEC quarterly reports containing unaudited financial data for the first three quarters of each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131">
              <w:r>
                <w:rPr>
                  <w:rFonts w:ascii="Arial" w:cs="Arial" w:eastAsia="Arial" w:hAnsi="Arial"/>
                  <w:sz w:val="13"/>
                  <w:szCs w:val="13"/>
                  <w:color w:val="0000EE"/>
                  <w:w w:val="92"/>
                </w:rPr>
                <w:t>Report of Independent Registered Public Accounting Firm</w:t>
              </w:r>
            </w:hyperlink>
          </w:p>
        </w:tc>
        <w:tc>
          <w:tcPr>
            <w:tcW w:w="1780" w:type="dxa"/>
            <w:vAlign w:val="bottom"/>
            <w:gridSpan w:val="2"/>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Consolidated Balance Sheets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33">
              <w:r>
                <w:rPr>
                  <w:rFonts w:ascii="Arial" w:cs="Arial" w:eastAsia="Arial" w:hAnsi="Arial"/>
                  <w:sz w:val="13"/>
                  <w:szCs w:val="13"/>
                  <w:color w:val="0000EE"/>
                  <w:w w:val="89"/>
                </w:rPr>
                <w:t>Consolidated Statements of Operations</w:t>
              </w:r>
            </w:hyperlink>
          </w:p>
        </w:tc>
        <w:tc>
          <w:tcPr>
            <w:tcW w:w="2800" w:type="dxa"/>
            <w:vAlign w:val="bottom"/>
            <w:gridSpan w:val="5"/>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0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134">
              <w:r>
                <w:rPr>
                  <w:rFonts w:ascii="Arial" w:cs="Arial" w:eastAsia="Arial" w:hAnsi="Arial"/>
                  <w:sz w:val="13"/>
                  <w:szCs w:val="13"/>
                  <w:color w:val="0000EE"/>
                  <w:w w:val="92"/>
                </w:rPr>
                <w:t>Consolidated Statements of Convertible Preferred Stock and Stockholders’ Equity (Deficit)</w:t>
              </w:r>
            </w:hyperlink>
          </w:p>
        </w:tc>
        <w:tc>
          <w:tcPr>
            <w:tcW w:w="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136">
              <w:r>
                <w:rPr>
                  <w:rFonts w:ascii="Arial" w:cs="Arial" w:eastAsia="Arial" w:hAnsi="Arial"/>
                  <w:sz w:val="13"/>
                  <w:szCs w:val="13"/>
                  <w:color w:val="0000EE"/>
                  <w:w w:val="89"/>
                </w:rPr>
                <w:t>Consolidated Statements of Cash Flows</w:t>
              </w:r>
            </w:hyperlink>
          </w:p>
        </w:tc>
        <w:tc>
          <w:tcPr>
            <w:tcW w:w="2760" w:type="dxa"/>
            <w:vAlign w:val="bottom"/>
            <w:gridSpan w:val="4"/>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7">
              <w:r>
                <w:rPr>
                  <w:rFonts w:ascii="Arial" w:cs="Arial" w:eastAsia="Arial" w:hAnsi="Arial"/>
                  <w:sz w:val="13"/>
                  <w:szCs w:val="13"/>
                  <w:color w:val="0000EE"/>
                </w:rPr>
                <w:t>Notes to Consolidated Financial Statements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Fluidigm Corporation</w:t>
      </w:r>
    </w:p>
    <w:p>
      <w:pPr>
        <w:spacing w:after="0" w:line="8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Fluidigm Corporation as of December 31, 2006 and December 29, 2007, and the related consolidated statements of operations, convertible preferred stock and stockholders’ equity (deficit), and cash flows for each of the three fiscal years in the period ended December 29,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Fluidigm Corporation at December 31, 2006 and December 29, 2007, and the consolidated results of its operations and its cash flows for each of the three fiscal years in the period ended December 29, 2007, in conformity with U.S. generally accepted accounting principles.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Fluidigm Corporation changed its method of accounting for preferred stock warrants as of July 1, 2005, its method of accounting for stock-based compensation as of January 1, 2006, and its method of accounting for uncertain tax positions as of January 1,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12,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29,231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6,286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2,004</w:t>
            </w: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Accounts receivable (net of allowances of $3, $0 and $0; includes accounts receivable from related parties of $272, $690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$481,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3,038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5,498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6,457</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42,788</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3,378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3,056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assets (includes receivables from related parties of $277, $287 and $290, respectively)</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1,113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273"/>
        </w:trPr>
        <w:tc>
          <w:tcPr>
            <w:tcW w:w="6500" w:type="dxa"/>
            <w:vAlign w:val="bottom"/>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 (Deficit)</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Accounts payable (includes accounts payable to related parties of $174, $290 and $183, respectively)</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1,188</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2,725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2,912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compensation and related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Other 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1,122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 portion (includes deferred revenue from related parties of $227, $276 and $260, respectively)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2,628</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Long-term debt,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3,834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4,414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preferred stock warrant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11,575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12,937</w:t>
            </w: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7"/>
              </w:rPr>
              <w:t>Deferred revenue, net of current portion (includes deferred revenue from related parties of $493, $359 and $306,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5,528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3,178</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promissory notes from related parties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4,997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5,150</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22,177</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Commitments and contingencies (Note 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3"/>
              </w:rPr>
              <w:t>Convertible preferred stock issuable in series, $0.001 par value: 52,438, 61,798 and 61,798 shares authorized, 43,284, 56,671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56,671 shares issued and outstanding as of December 31, 2006, December 29, 2007 and March 29, 2008, respectively; aggregate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liquidation preference of $165,169 as of March 29, 2008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112,295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162,082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162,082</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Common stock, $0.001 par value: 77,857, 87,386 and 87,386 shares authorized, 9,498, 9,901 and 9,928 shares issued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outstanding as of December 31, 2006, December 29, 2007 and March 29, 2008,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3,592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3,824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(108,272)</w:t>
            </w:r>
          </w:p>
        </w:tc>
        <w:tc>
          <w:tcPr>
            <w:tcW w:w="100" w:type="dxa"/>
            <w:vAlign w:val="bottom"/>
          </w:tcPr>
          <w:p>
            <w:pPr>
              <w:spacing w:after="0"/>
              <w:rPr>
                <w:sz w:val="12"/>
                <w:szCs w:val="1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2"/>
                <w:szCs w:val="12"/>
                <w:color w:val="auto"/>
              </w:rPr>
              <w:t>(133,798)</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(140,411)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 (deficit)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(106,172)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(130,331)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(136,921)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2"/>
                <w:szCs w:val="12"/>
                <w:color w:val="auto"/>
              </w:rPr>
              <w:t>Total liabilities, convertible preferred stock and stockholders’ equity (deficit)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32"/>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323"/>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ind w:right="2"/>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3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71"/>
              </w:rPr>
              <w:t>(Unaudited)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6"/>
              </w:rPr>
              <w:t>Product revenue (includes product revenue from related parties of $205, $241, $15, $0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$19, respectively)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6,076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3,959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4,451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744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Collaboration revenue</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1,376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235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7"/>
              </w:rPr>
              <w:t>Grant revenue (includes grant revenue from related parties of $0, $879, $1,758, $463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$401, respectively)</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2,364</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589</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7,275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1,568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2,514</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Costs and expenses: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product revenue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4,764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2,773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3,514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847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2"/>
              </w:rPr>
              <w:t>Research and development (includes research and development expenses from related parties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of $45, $97, $67, $25 and $50, respectively)</w:t>
            </w:r>
          </w:p>
        </w:tc>
        <w:tc>
          <w:tcPr>
            <w:tcW w:w="12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11,449</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15,589</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14,389</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3,473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3,280</w:t>
            </w:r>
          </w:p>
        </w:tc>
        <w:tc>
          <w:tcPr>
            <w:tcW w:w="0" w:type="dxa"/>
            <w:vAlign w:val="bottom"/>
          </w:tcPr>
          <w:p>
            <w:pPr>
              <w:spacing w:after="0"/>
              <w:rPr>
                <w:sz w:val="1"/>
                <w:szCs w:val="1"/>
                <w:color w:val="auto"/>
              </w:rPr>
            </w:pPr>
          </w:p>
        </w:tc>
      </w:tr>
      <w:tr>
        <w:trPr>
          <w:trHeight w:val="143"/>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Selling, general and administrative (includes selling, general and administrative expense from</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related parties of $880, $960, $576, $208 and $180, respectively)</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9,699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12,898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2,758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4,463</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20"/>
              <w:spacing w:after="0"/>
              <w:rPr>
                <w:sz w:val="20"/>
                <w:szCs w:val="20"/>
                <w:color w:val="auto"/>
              </w:rPr>
            </w:pPr>
            <w:r>
              <w:rPr>
                <w:rFonts w:ascii="Arial" w:cs="Arial" w:eastAsia="Arial" w:hAnsi="Arial"/>
                <w:sz w:val="12"/>
                <w:szCs w:val="12"/>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24,168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28,061</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30,801</w:t>
            </w:r>
          </w:p>
        </w:tc>
        <w:tc>
          <w:tcPr>
            <w:tcW w:w="60" w:type="dxa"/>
            <w:vAlign w:val="bottom"/>
          </w:tcPr>
          <w:p>
            <w:pPr>
              <w:spacing w:after="0"/>
              <w:rPr>
                <w:sz w:val="12"/>
                <w:szCs w:val="12"/>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7,078</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9,037</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(16,494)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(21,663)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(23,526)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(5,510)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(6,523)</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w w:val="98"/>
              </w:rPr>
              <w:t>Interest expense (includes interest to related parties of $160, $445, $1,286, $806 and $152)</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(898)</w:t>
            </w: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(2,261)</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(2,790)</w:t>
            </w:r>
          </w:p>
        </w:tc>
        <w:tc>
          <w:tcPr>
            <w:tcW w:w="60" w:type="dxa"/>
            <w:vAlign w:val="bottom"/>
          </w:tcPr>
          <w:p>
            <w:pPr>
              <w:spacing w:after="0"/>
              <w:rPr>
                <w:sz w:val="12"/>
                <w:szCs w:val="12"/>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2"/>
                <w:szCs w:val="12"/>
                <w:color w:val="auto"/>
              </w:rPr>
              <w:t>(1,227)</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565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291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(170)</w:t>
            </w:r>
          </w:p>
        </w:tc>
        <w:tc>
          <w:tcPr>
            <w:tcW w:w="60" w:type="dxa"/>
            <w:vAlign w:val="bottom"/>
          </w:tcPr>
          <w:p>
            <w:pPr>
              <w:spacing w:after="0"/>
              <w:rPr>
                <w:sz w:val="12"/>
                <w:szCs w:val="12"/>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w w:val="95"/>
              </w:rPr>
              <w:t>Loss before provision for income taxes and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(25,346)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(6,334)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(6,589)</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(105)</w:t>
            </w:r>
          </w:p>
        </w:tc>
        <w:tc>
          <w:tcPr>
            <w:tcW w:w="60" w:type="dxa"/>
            <w:vAlign w:val="bottom"/>
          </w:tcPr>
          <w:p>
            <w:pPr>
              <w:spacing w:after="0"/>
              <w:rPr>
                <w:sz w:val="12"/>
                <w:szCs w:val="12"/>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before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(6,355)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(6,613)</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(16,385)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(6,355)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(6,613)</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2"/>
                <w:szCs w:val="12"/>
                <w:color w:val="auto"/>
                <w:w w:val="94"/>
              </w:rPr>
              <w:t>Net loss per share of common stock before cumulative effect of change in accounting principle,</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120"/>
              <w:spacing w:after="0"/>
              <w:rPr>
                <w:sz w:val="20"/>
                <w:szCs w:val="20"/>
                <w:color w:val="auto"/>
              </w:rPr>
            </w:pPr>
            <w:r>
              <w:rPr>
                <w:rFonts w:ascii="Arial" w:cs="Arial" w:eastAsia="Arial" w:hAnsi="Arial"/>
                <w:sz w:val="12"/>
                <w:szCs w:val="12"/>
                <w:color w:val="auto"/>
              </w:rPr>
              <w:t>basic and diluted</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(1.89)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(2.63)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23"/>
              <w:spacing w:after="0"/>
              <w:rPr>
                <w:sz w:val="20"/>
                <w:szCs w:val="20"/>
                <w:color w:val="auto"/>
              </w:rPr>
            </w:pPr>
            <w:r>
              <w:rPr>
                <w:rFonts w:ascii="Arial" w:cs="Arial" w:eastAsia="Arial" w:hAnsi="Arial"/>
                <w:sz w:val="12"/>
                <w:szCs w:val="12"/>
                <w:color w:val="auto"/>
              </w:rPr>
              <w:t>(0.67)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2"/>
                <w:szCs w:val="12"/>
                <w:color w:val="auto"/>
              </w:rPr>
              <w:t>Net loss per share of common stock, basic and diluted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(1.82)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(2.63)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23"/>
              <w:spacing w:after="0"/>
              <w:rPr>
                <w:sz w:val="20"/>
                <w:szCs w:val="20"/>
                <w:color w:val="auto"/>
              </w:rPr>
            </w:pPr>
            <w:r>
              <w:rPr>
                <w:rFonts w:ascii="Arial" w:cs="Arial" w:eastAsia="Arial" w:hAnsi="Arial"/>
                <w:sz w:val="12"/>
                <w:szCs w:val="12"/>
                <w:color w:val="auto"/>
              </w:rPr>
              <w:t>(0.67)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35"/>
        </w:trPr>
        <w:tc>
          <w:tcPr>
            <w:tcW w:w="48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Shares used in computing net loss per share of common stock,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9,316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9,671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9,510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9,913</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tcPr>
          <w:p>
            <w:pPr>
              <w:spacing w:after="0"/>
              <w:rPr>
                <w:sz w:val="8"/>
                <w:szCs w:val="8"/>
                <w:color w:val="auto"/>
              </w:rPr>
            </w:pPr>
          </w:p>
        </w:tc>
        <w:tc>
          <w:tcPr>
            <w:tcW w:w="1220" w:type="dxa"/>
            <w:vAlign w:val="bottom"/>
            <w:tcBorders>
              <w:right w:val="single" w:sz="8" w:color="auto"/>
            </w:tcBorders>
            <w:gridSpan w:val="5"/>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60" w:type="dxa"/>
            <w:vAlign w:val="bottom"/>
          </w:tcPr>
          <w:p>
            <w:pPr>
              <w:spacing w:after="0"/>
              <w:rPr>
                <w:sz w:val="8"/>
                <w:szCs w:val="8"/>
                <w:color w:val="auto"/>
              </w:rPr>
            </w:pPr>
          </w:p>
        </w:tc>
        <w:tc>
          <w:tcPr>
            <w:tcW w:w="74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6180" w:type="dxa"/>
            <w:vAlign w:val="bottom"/>
          </w:tcPr>
          <w:p>
            <w:pPr>
              <w:spacing w:after="0"/>
              <w:rPr>
                <w:sz w:val="9"/>
                <w:szCs w:val="9"/>
                <w:color w:val="auto"/>
              </w:rPr>
            </w:pPr>
          </w:p>
        </w:tc>
        <w:tc>
          <w:tcPr>
            <w:tcW w:w="12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60" w:type="dxa"/>
            <w:vAlign w:val="bottom"/>
            <w:gridSpan w:val="3"/>
          </w:tcPr>
          <w:p>
            <w:pPr>
              <w:ind w:left="14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9"/>
                <w:szCs w:val="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1"/>
              </w:rPr>
              <w:t>Accumulated</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61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7"/>
                <w:szCs w:val="7"/>
                <w:color w:val="auto"/>
              </w:rPr>
            </w:pPr>
          </w:p>
        </w:tc>
      </w:tr>
      <w:tr>
        <w:trPr>
          <w:trHeight w:val="88"/>
        </w:trPr>
        <w:tc>
          <w:tcPr>
            <w:tcW w:w="61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January 1, 2005</w:t>
            </w:r>
          </w:p>
        </w:tc>
        <w:tc>
          <w:tcPr>
            <w:tcW w:w="58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32,845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76,596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8,929</w:t>
            </w:r>
          </w:p>
        </w:tc>
        <w:tc>
          <w:tcPr>
            <w:tcW w:w="2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2,870</w:t>
            </w:r>
          </w:p>
        </w:tc>
        <w:tc>
          <w:tcPr>
            <w:tcW w:w="16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(16)</w:t>
            </w:r>
          </w:p>
        </w:tc>
        <w:tc>
          <w:tcPr>
            <w:tcW w:w="200" w:type="dxa"/>
            <w:vAlign w:val="bottom"/>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(68,334)</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(65,471)</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170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46</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46</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for cash at $2.80 per share, net of issuance costs of $11</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3,589</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10,042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80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34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convertible preferred stock warrants in connection with financing activities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833</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2,328</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Reclassification of convertible preferred stock warrants to liabilities upon adoption of FSP 150-5</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(1,473)</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(1,473)</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Unrealized gain on available-for-sale securities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(16,385)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(16,385)</w:t>
            </w: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(16,349)</w:t>
            </w:r>
          </w:p>
        </w:tc>
      </w:tr>
      <w:tr>
        <w:trPr>
          <w:trHeight w:val="98"/>
        </w:trPr>
        <w:tc>
          <w:tcPr>
            <w:tcW w:w="6180" w:type="dxa"/>
            <w:vAlign w:val="bottom"/>
          </w:tcPr>
          <w:p>
            <w:pPr>
              <w:spacing w:after="0" w:line="98" w:lineRule="exact"/>
              <w:rPr>
                <w:sz w:val="20"/>
                <w:szCs w:val="20"/>
                <w:color w:val="auto"/>
              </w:rPr>
            </w:pPr>
            <w:r>
              <w:rPr>
                <w:rFonts w:ascii="Arial" w:cs="Arial" w:eastAsia="Arial" w:hAnsi="Arial"/>
                <w:sz w:val="9"/>
                <w:szCs w:val="9"/>
                <w:color w:val="auto"/>
              </w:rPr>
              <w:t>Balance as of December 31, 2005</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37,267</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88,966</w:t>
            </w: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9,179</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1,536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(84,719)</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(83,154)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443</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190</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190</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Repurchase of common stock</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(124)</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(69)</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upon exercise of warrants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268</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729</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$133</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5,535</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22,003</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under license agreement, net of issuance costs of $3</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597</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306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306</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w:t>
            </w: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w:t>
            </w: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(23,553)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(23,553)</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(23,590)</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December 31, 2006</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43,284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112,295</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9,498</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2,108</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(108,272)</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(106,172)</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(75)</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297</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147</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$1,189</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9,276</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35,911</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106</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708</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708</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1,157</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3,240</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$3.60 per share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2,954</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10,636</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(107)</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(25,451)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(25,451)</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(25,569)</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Balance as of December 29, 2007 (carried forward)</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56,671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162,082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9,901</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9"/>
              </w:rPr>
              <w:t>10</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3,592</w:t>
            </w:r>
          </w:p>
        </w:tc>
        <w:tc>
          <w:tcPr>
            <w:tcW w:w="1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(135)</w:t>
            </w:r>
          </w:p>
        </w:tc>
        <w:tc>
          <w:tcPr>
            <w:tcW w:w="2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(133,798)</w:t>
            </w: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(130,331)</w:t>
            </w:r>
          </w:p>
        </w:tc>
      </w:tr>
      <w:tr>
        <w:trPr>
          <w:trHeight w:val="39"/>
        </w:trPr>
        <w:tc>
          <w:tcPr>
            <w:tcW w:w="618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 — (Continued)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tcPr>
          <w:p>
            <w:pPr>
              <w:spacing w:after="0"/>
              <w:rPr>
                <w:sz w:val="8"/>
                <w:szCs w:val="8"/>
                <w:color w:val="auto"/>
              </w:rPr>
            </w:pPr>
          </w:p>
        </w:tc>
        <w:tc>
          <w:tcPr>
            <w:tcW w:w="1220" w:type="dxa"/>
            <w:vAlign w:val="bottom"/>
            <w:tcBorders>
              <w:right w:val="single" w:sz="8" w:color="auto"/>
            </w:tcBorders>
            <w:gridSpan w:val="5"/>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60" w:type="dxa"/>
            <w:vAlign w:val="bottom"/>
          </w:tcPr>
          <w:p>
            <w:pPr>
              <w:spacing w:after="0"/>
              <w:rPr>
                <w:sz w:val="8"/>
                <w:szCs w:val="8"/>
                <w:color w:val="auto"/>
              </w:rPr>
            </w:pPr>
          </w:p>
        </w:tc>
        <w:tc>
          <w:tcPr>
            <w:tcW w:w="74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6180" w:type="dxa"/>
            <w:vAlign w:val="bottom"/>
          </w:tcPr>
          <w:p>
            <w:pPr>
              <w:spacing w:after="0"/>
              <w:rPr>
                <w:sz w:val="9"/>
                <w:szCs w:val="9"/>
                <w:color w:val="auto"/>
              </w:rPr>
            </w:pPr>
          </w:p>
        </w:tc>
        <w:tc>
          <w:tcPr>
            <w:tcW w:w="12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60" w:type="dxa"/>
            <w:vAlign w:val="bottom"/>
            <w:gridSpan w:val="3"/>
          </w:tcPr>
          <w:p>
            <w:pPr>
              <w:ind w:left="14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9"/>
                <w:szCs w:val="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1"/>
              </w:rPr>
              <w:t>Accumulated</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61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bottom w:val="single" w:sz="8" w:color="auto"/>
            </w:tcBorders>
          </w:tcPr>
          <w:p>
            <w:pPr>
              <w:ind w:left="40"/>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7"/>
                <w:szCs w:val="7"/>
                <w:color w:val="auto"/>
              </w:rPr>
            </w:pPr>
          </w:p>
        </w:tc>
      </w:tr>
      <w:tr>
        <w:trPr>
          <w:trHeight w:val="88"/>
        </w:trPr>
        <w:tc>
          <w:tcPr>
            <w:tcW w:w="61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December 29, 2007 (brought forward)</w:t>
            </w:r>
          </w:p>
        </w:tc>
        <w:tc>
          <w:tcPr>
            <w:tcW w:w="58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56,671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162,082</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9,901</w:t>
            </w:r>
          </w:p>
        </w:tc>
        <w:tc>
          <w:tcPr>
            <w:tcW w:w="2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w w:val="99"/>
              </w:rPr>
              <w:t>10</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3,592</w:t>
            </w:r>
          </w:p>
        </w:tc>
        <w:tc>
          <w:tcPr>
            <w:tcW w:w="16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(135)</w:t>
            </w:r>
          </w:p>
        </w:tc>
        <w:tc>
          <w:tcPr>
            <w:tcW w:w="200" w:type="dxa"/>
            <w:vAlign w:val="bottom"/>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(133,798)</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(130,331)</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 (unaudited)</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27</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 (unaudited)</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218</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218</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Foreign currency translation adjustment (unaudited)</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(226)</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Unrealized gain on available-for-sale securities (unaudited)</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17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17</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Net loss (unaudited)</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(6,613)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(6,613)</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 (unaudited)</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(6,822)</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March 29, 2008 (unaudited)</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56,671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162,082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9,928</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9"/>
              </w:rPr>
              <w:t>10</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3,824</w:t>
            </w:r>
          </w:p>
        </w:tc>
        <w:tc>
          <w:tcPr>
            <w:tcW w:w="1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(344)</w:t>
            </w:r>
          </w:p>
        </w:tc>
        <w:tc>
          <w:tcPr>
            <w:tcW w:w="2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(140,411)</w:t>
            </w: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(136,921)</w:t>
            </w:r>
          </w:p>
        </w:tc>
      </w:tr>
      <w:tr>
        <w:trPr>
          <w:trHeight w:val="39"/>
        </w:trPr>
        <w:tc>
          <w:tcPr>
            <w:tcW w:w="618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2"/>
              </w:rPr>
              <w:t>Year Ended</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w w:val="98"/>
              </w:rPr>
              <w:t>Three Months Ended</w:t>
            </w:r>
          </w:p>
        </w:tc>
      </w:tr>
      <w:tr>
        <w:trPr>
          <w:trHeight w:val="75"/>
        </w:trPr>
        <w:tc>
          <w:tcPr>
            <w:tcW w:w="60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300"/>
              <w:spacing w:after="0" w:line="75" w:lineRule="exact"/>
              <w:rPr>
                <w:sz w:val="20"/>
                <w:szCs w:val="20"/>
                <w:color w:val="auto"/>
              </w:rPr>
            </w:pPr>
            <w:r>
              <w:rPr>
                <w:rFonts w:ascii="Arial" w:cs="Arial" w:eastAsia="Arial" w:hAnsi="Arial"/>
                <w:sz w:val="8"/>
                <w:szCs w:val="8"/>
                <w:b w:val="1"/>
                <w:bCs w:val="1"/>
                <w:color w:val="auto"/>
                <w:w w:val="99"/>
              </w:rPr>
              <w:t>December 31,</w:t>
            </w: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December 31,</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8"/>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240"/>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r>
      <w:tr>
        <w:trPr>
          <w:trHeight w:val="111"/>
        </w:trPr>
        <w:tc>
          <w:tcPr>
            <w:tcW w:w="6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r>
      <w:tr>
        <w:trPr>
          <w:trHeight w:val="117"/>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(16,385)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(23,553)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(25,451)</w:t>
            </w:r>
          </w:p>
        </w:tc>
        <w:tc>
          <w:tcPr>
            <w:tcW w:w="120" w:type="dxa"/>
            <w:vAlign w:val="bottom"/>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(6,355)</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(6,613)</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1,309</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416</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708</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Foreign exchange gain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(308)</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to fair value of convertible preferred stock warrants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272</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Loss on retirement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Amortization of debt discount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Issuance of common stock for services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(287)</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(562)</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(955)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(2,460)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(431)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(899)</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(78)</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(1,552)</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(231)</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(821)</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1,537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212</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(70)</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1,503</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1,254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(14,292)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(22,306)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(21,759)</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(5,664)</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(7,752)</w:t>
            </w: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(6,273)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(1,000)</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Maturities of available-for-sale securities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487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2,996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Sales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2,650</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(2,932)</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(973)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(94)</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(6,740)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4,671</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long-term debt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14,651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Repayment of long-term debt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(1,745)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(3,503)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(857)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(1,776)</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stock options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Proceeds from issuance of convertible preferred stock, net of issuance costs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10,042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22,003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35,911</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convertible promissory notes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Repurchase of common stock</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22,994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31,124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37,555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(1,762)</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5,856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9,059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(4,518)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(4,846)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as of beginning of period</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3,624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19,162</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34,077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as of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19,162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34,077</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20,500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29,231</w:t>
            </w:r>
          </w:p>
        </w:tc>
      </w:tr>
      <w:tr>
        <w:trPr>
          <w:trHeight w:val="118"/>
        </w:trPr>
        <w:tc>
          <w:tcPr>
            <w:tcW w:w="6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1,826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1,523</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560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363</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Conversion of convertible promissory notes into convertible preferred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2,328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10,636</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r>
      <w:tr>
        <w:trPr>
          <w:trHeight w:val="12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Cashless net exercise of convertible preferred stock warrants</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729</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Issuance of warrants in connection with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1"/>
                <w:szCs w:val="11"/>
                <w:color w:val="auto"/>
              </w:rPr>
            </w:pPr>
          </w:p>
        </w:tc>
      </w:tr>
      <w:tr>
        <w:trPr>
          <w:trHeight w:val="11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3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develops, manufactures and markets proprietary Integrated Fluidic Circuit systems that significantly improve the productivity of life science research. The Company’s Integrated Fluidic Circuits (IFCs), enable the simultaneous performance of thousands of biochemical measurements in extremely minute volumes. The Company created this “integrated circuit for biology” by miniaturizing, integrating and automating sophisticated liquid handling processes on a single microfabricated device. The Company’s customers include many leading biotechnology and pharmaceutical companies, academic institutions, and life science laboratories worldwide.</w:t>
      </w:r>
    </w:p>
    <w:p>
      <w:pPr>
        <w:spacing w:after="0" w:line="7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The Company has incurred significant net losses since inception. As of March 29, 2008, the Company had an accumulated deficit of approximately $140.4 million and cash, cash equivalents and available-for-sale securities of approximately $31.2 million. The Company expects to incur significant expenses to fund operations to develop new products and to support existing product sales. Failure to generate sufficient revenues, achieve planned gross margins, control operating costs, or to raise sufficient additional funds may require the Company to modify, delay, or abandon some of its future expansion or expenditures, which could have a material adverse effect on the Company’s business, operating results, financial condition, and ability to achieve its intended business objectives.</w:t>
      </w:r>
    </w:p>
    <w:p>
      <w:pPr>
        <w:spacing w:after="0" w:line="146" w:lineRule="exact"/>
        <w:rPr>
          <w:sz w:val="20"/>
          <w:szCs w:val="20"/>
          <w:color w:val="auto"/>
        </w:rPr>
      </w:pPr>
    </w:p>
    <w:p>
      <w:pPr>
        <w:ind w:left="680" w:right="7180" w:firstLine="7"/>
        <w:spacing w:after="0" w:line="470" w:lineRule="auto"/>
        <w:tabs>
          <w:tab w:leader="none" w:pos="985" w:val="left"/>
        </w:tabs>
        <w:numPr>
          <w:ilvl w:val="0"/>
          <w:numId w:val="93"/>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Basis of Presentation and Consolidation</w:t>
      </w:r>
    </w:p>
    <w:p>
      <w:pPr>
        <w:ind w:left="680" w:firstLine="399"/>
        <w:spacing w:after="0" w:line="260" w:lineRule="auto"/>
        <w:rPr>
          <w:sz w:val="20"/>
          <w:szCs w:val="20"/>
          <w:color w:val="auto"/>
        </w:rPr>
      </w:pPr>
      <w:r>
        <w:rPr>
          <w:rFonts w:ascii="Arial" w:cs="Arial" w:eastAsia="Arial" w:hAnsi="Arial"/>
          <w:sz w:val="13"/>
          <w:szCs w:val="13"/>
          <w:color w:val="auto"/>
        </w:rPr>
        <w:t>The consolidated financial statements of the Company have been prepared in conformity with U.S. generally accepted accounting principles and include the accounts of the Company and its wholly owned subsidiaries. The Company has wholly owned subsidiaries in Singapore, the Netherlands, Japan, and France.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During 2007, the Company adopted a 52 or 53 week year convention for its fiscal years and, therefore, the 2007 fiscal year ended on December 29, 2007 and the first quarterly periods of 2007 and 2008 ended on March 31, 2007 and March 29, 2008. Future fiscal years will end on the last Saturday in December of each respective year. Prior to 2007, the Company used a calendar year. The fiscal years presented in these consolidated financial statements ended on December 31, 2005, December 31, 2006 and December 29, 2007.</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Interim Financial Information</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accompanying interim consolidated balance sheet as of March 29, 2008, the interim consolidated statements of operations and cash flows for the three months ended March 31, 2007 and March 29, 2008 and the interim consolidated statements of convertible preferred stock and stockholders’ equity (deficit) for the three months ended March 29, 2008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29, 2008 and its results of operations and its cash flows for the three months ended March 31, 2007 and March 29, 2008. The financial data and the other financial information disclosed in these notes to the consolidated financial statements related to the three months periods are unaudited. The results of operations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three months ended March 29, 2008 are not necessarily indicative of the results to be expected for 2008 or any other interim period or for any other future year.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preparation of consolidated financial statements requires management to make estimates and assumptions that affect the amounts reported in the consolidated financial statements and accompanying notes. The Company regularly assesses these estimates which affect the fair value of undelivered elements for revenue recognition purposes, the valuation of accounts receivable, the valuation of inventories, accrued liabilities, the fair value of the Company’s convertible preferred stock and common stock, warrants, stock-based compensation, beneficial conversion features, and valuation allowances associated with deferred tax assets. The Company bases its estimates on historical experience and on various other assumptions believed to be reasonable, the results of which form the basis for making judgments about the carrying values of assets and liabilities. Actual results could differ materially from these estimates.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Assets and liabilities of non-U.S. subsidiaries that use the local currency as their functional currency are translated into U.S. dollars at exchange rates in effect at the balance sheet date, with the resulting translation adjustments recorded to a separate component of accumulated other comprehensive income (loss) within stockholders’ equity. Income and expense accounts are translated at average exchange rates during the year. Foreign currency transaction gains and losses for non-U.S. subsidiaries that use the U.S. dollar as their functional currency are recognized in other income (expense), net. The Company had net foreign currency transaction losses of $27,000 and $70,000 during 2005 and 2006, respectively, and net foreign currency transaction gains of $72,000, $23,000 and $308,000 during 2007 and the three months ended March 31, 2007 and March 29, 2008,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considers all highly liquid financial instruments with maturities at the time of purchase of three months or less to be cash equivalents. Cash and cash equivalents consist of cash on deposit with banks, money market funds, commercial paper, corporate notes, and notes from government-sponsored agencies.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Available-for-Sale Securities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Available-for-sale securities are comprised of corporate notes and notes from government-sponsored agencies. Investments classified as “available-for-sale” and are recorded at estimated fair value, as determined by quoted market rates, on the consolidated balance sheets with any unrealized gains and losses reported in stockholders’ equity as a component of accumulated other comprehensive income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Cash</w:t>
      </w:r>
    </w:p>
    <w:p>
      <w:pPr>
        <w:spacing w:after="0" w:line="100" w:lineRule="exact"/>
        <w:rPr>
          <w:sz w:val="20"/>
          <w:szCs w:val="20"/>
          <w:color w:val="auto"/>
        </w:rPr>
      </w:pPr>
    </w:p>
    <w:p>
      <w:pPr>
        <w:ind w:left="680" w:right="500" w:firstLine="399"/>
        <w:spacing w:after="0" w:line="371" w:lineRule="auto"/>
        <w:rPr>
          <w:sz w:val="20"/>
          <w:szCs w:val="20"/>
          <w:color w:val="auto"/>
        </w:rPr>
      </w:pPr>
      <w:r>
        <w:rPr>
          <w:rFonts w:ascii="Arial" w:cs="Arial" w:eastAsia="Arial" w:hAnsi="Arial"/>
          <w:sz w:val="11"/>
          <w:szCs w:val="11"/>
          <w:color w:val="auto"/>
        </w:rPr>
        <w:t>The Company had restricted cash balances of $900,000, $881,000 and $381,000 as of December 31, 2006, December 29, 2007 and March 29, 2008, respectively. Included in restricted cash is cash amounts that collateralize the Company’s standby letters of credit issued under operating lease agreements for office facilities that it currently occupies.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of December 31, 2006, December 29, 2007 and March 29, 2008, the respective carrying values of the Company’s financial instruments, including accounts receivable, restricted cash, and accounts payable, approximated their fair values due to their short period of time to maturity or repayment. Based on borrowing rates currently available to the Company for loans with similar terms, the carrying value of long-term debt and convertible promissory notes approximated their fair values.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I) observable inputs such as quoted prices in active markets; (Level II) inputs other than the quoted prices in active markets that are observable either directly or indirectly; and (Level III) unobservable inputs in which there is little or no market data, which requires the Company to develop its own assumptions. This hierarchy requires the Company to use observable market data, when available, and to minimize the use of unobservable inputs when determining fair value. On a recurring basis, the Company measures its cash equivalents and available-for-sale securities at fair value.</w:t>
      </w:r>
    </w:p>
    <w:p>
      <w:pPr>
        <w:spacing w:after="0" w:line="73"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All of the Company’s cash equivalents and available-for-sale securities are classified within Level I or Level II of the fair value hierarchy because they are valued using quoted market prices, market prices for similar securities, or alternative pricing sources with reasonable levels of price transparency. Instruments valued based on quoted market prices in active markets, i.e. level I, include the Company’s money market funds. Instruments valued based on other observable inputs, i.e. level II, include notes from government-sponsored agencies, corporate notes and commercial paper.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Trade accounts receivable are recorded at net invoice value. The Company considers receivables past due based on the contractual payment terms. The Company reviews its exposure to accounts receivable and reserves specific amounts if collectibility is no longer reasonably assured based on historical experience and specific customer collection issues. The Company reevaluates such reserves on a regular basis and adjusts its reserves as needed. Write-offs of accounts receivable were insignificant during 2005, 2006, 2007 and the three months ended March 31, 2007 and March 29,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consist of deposits held with banks, commercial paper, money market funds, and other highly liquid investments that, at times, exceed federally insured limits. The Company performs periodic evaluations of its investments and the relative credit standing of these financial institutions and limits the amount of credit exposure with any one institution.</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does not require collateral to support credit sales. To reduce credit risk, the Company performs periodic credit evaluations of its customers. The Company has had no credit losses to date. Customers with revenues of 10% or greater of total revenues for 2005, 2006, 2007 and the three months ended March 29, 2008 are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0"/>
                <w:szCs w:val="10"/>
                <w:b w:val="1"/>
                <w:bCs w:val="1"/>
                <w:color w:val="auto"/>
                <w:w w:val="94"/>
              </w:rPr>
              <w:t>Percentage of Total Revenue</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Three Months</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Three Months</w:t>
            </w:r>
          </w:p>
        </w:tc>
        <w:tc>
          <w:tcPr>
            <w:tcW w:w="120" w:type="dxa"/>
            <w:vAlign w:val="bottom"/>
          </w:tcPr>
          <w:p>
            <w:pPr>
              <w:spacing w:after="0"/>
              <w:rPr>
                <w:sz w:val="7"/>
                <w:szCs w:val="7"/>
                <w:color w:val="auto"/>
              </w:rPr>
            </w:pP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8"/>
              </w:rPr>
              <w:t>Ended</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9"/>
              </w:rPr>
              <w:t>March 31,</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March 29,</w:t>
            </w:r>
          </w:p>
        </w:tc>
      </w:tr>
      <w:tr>
        <w:trPr>
          <w:trHeight w:val="12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Customers:</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9"/>
              </w:rPr>
              <w:t>2005</w:t>
            </w:r>
          </w:p>
        </w:tc>
        <w:tc>
          <w:tcPr>
            <w:tcW w:w="4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2007</w:t>
            </w:r>
          </w:p>
        </w:tc>
        <w:tc>
          <w:tcPr>
            <w:tcW w:w="120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2007</w:t>
            </w:r>
          </w:p>
        </w:tc>
        <w:tc>
          <w:tcPr>
            <w:tcW w:w="4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147"/>
        </w:trPr>
        <w:tc>
          <w:tcPr>
            <w:tcW w:w="130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tcPr>
          <w:p>
            <w:pPr>
              <w:jc w:val="center"/>
              <w:spacing w:after="0"/>
              <w:rPr>
                <w:sz w:val="20"/>
                <w:szCs w:val="20"/>
                <w:color w:val="auto"/>
              </w:rPr>
            </w:pPr>
            <w:r>
              <w:rPr>
                <w:rFonts w:ascii="Arial" w:cs="Arial" w:eastAsia="Arial" w:hAnsi="Arial"/>
                <w:sz w:val="13"/>
                <w:szCs w:val="13"/>
                <w:color w:val="auto"/>
                <w:w w:val="92"/>
              </w:rPr>
              <w:t>24%</w:t>
            </w:r>
          </w:p>
        </w:tc>
        <w:tc>
          <w:tcPr>
            <w:tcW w:w="1620" w:type="dxa"/>
            <w:vAlign w:val="bottom"/>
            <w:gridSpan w:val="3"/>
          </w:tcPr>
          <w:p>
            <w:pPr>
              <w:jc w:val="right"/>
              <w:ind w:right="320"/>
              <w:spacing w:after="0"/>
              <w:rPr>
                <w:sz w:val="20"/>
                <w:szCs w:val="20"/>
                <w:color w:val="auto"/>
              </w:rPr>
            </w:pPr>
            <w:r>
              <w:rPr>
                <w:rFonts w:ascii="Arial" w:cs="Arial" w:eastAsia="Arial" w:hAnsi="Arial"/>
                <w:sz w:val="13"/>
                <w:szCs w:val="13"/>
                <w:color w:val="auto"/>
              </w:rPr>
              <w:t>30%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C</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280" w:type="dxa"/>
            <w:vAlign w:val="bottom"/>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98"/>
        </w:trPr>
        <w:tc>
          <w:tcPr>
            <w:tcW w:w="13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Represents less than 10% of total revenues.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limited-sourced components.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Inventories are stated at the lower of cost (which approximates actual cost on a first-in, first-out method) or market. Inventories include raw materials, work-in-process, and finished goods that may be used in the research and development process, and such items are expensed when they are designated for use in research and development. Provisions for slow moving, excess, and obsolete inventories are recorded based on product life cycle, development plans, product expiration, and quality issues.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In accordance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if indicators of impairment exist,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While the Company’s current and historical operating and cash flow losses are indicators of impairment, the Company believes the future cash flows to be received from the long-lived assets recorded as of March 29, 2008 will exceed the assets’ carrying value, and, accordingly, the Company has not recognized any impairment losses through March 29,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Reserve for Product Warranties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generally provides a one-year warranty on instruments. The Company reviews its exposure to estimated warranty expenses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immaterial for all periods presented.</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generates revenue from sales of its products and services. The Company’s products consist of single-use IFCs, various instruments, software, and reagents. The Company’s services include instrument installation, training, and customer support services. The Company has also entered into a number of research and development agreements and received government grants to conduct research and development activities.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 xml:space="preserve">The Company records revenue in accordance with the guidelines established by the Securities and Exchange Commission (SEC)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In addition, the Company has concluded that pursuant to AICPA Statement of Position 97-2,</w:t>
      </w:r>
      <w:r>
        <w:rPr>
          <w:rFonts w:ascii="Arial" w:cs="Arial" w:eastAsia="Arial" w:hAnsi="Arial"/>
          <w:sz w:val="13"/>
          <w:szCs w:val="13"/>
          <w:i w:val="1"/>
          <w:iCs w:val="1"/>
          <w:color w:val="auto"/>
        </w:rPr>
        <w:t xml:space="preserve"> Software Revenue Recognition </w:t>
      </w:r>
      <w:r>
        <w:rPr>
          <w:rFonts w:ascii="Arial" w:cs="Arial" w:eastAsia="Arial" w:hAnsi="Arial"/>
          <w:sz w:val="13"/>
          <w:szCs w:val="13"/>
          <w:color w:val="auto"/>
        </w:rPr>
        <w:t>(SOP 97-2), software included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its instruments is more than incidental to their functionality. Accordingly, the Company applies SOP 97-2 to sales of such instruments and related deliverables. Revenue is recognized when all of the following criteria are met: persuasive evidence of an arrangement exists, delivery has occurred or services rendered, the seller’s price to the buyer is fixed or determinable, and collectibility is reasonably assured.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sells instruments in arrangements that may include related installation and training, customer support services and software and may also include single-use IFCs. If the arrangement includes IFCs, the Company uses the separation criteria in EITF Issue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to separate revenues related to IFCs, which are non-software related deliverables, from software related deliverables. IFC revenue is recognized upon delivery. Revenue from software related deliverables is recognized in accordance with SOP 97-2 and related pronouncements. Under SOP 97-2, the Company recognizes revenue for delivered elements only when it determines that undelivered elements are not essential to the functionality of the delivered elements and the vendor-specific objective evidence (VSOE) of fair values of undelivered elements are known. Installation is deemed essential to the functionality of certain instruments; for those instruments recognition of revenue begins after installation has been completed. Fair value of undelivered elements is established by reference to VSOE which is based on stand-alone sales of such elements. If any undelivered element does not have VSOE of fair value, revenue is deferred until all of such elements are delivered, or until VSOE of fair value can objectively be determined for any remaining undelivered elements. However, if the only undelivered element is post-contract customer support services, such as those included in the Company’s maintenance agreements, revenue on the software related deliverables is recognized ratably over the service period. When revenues are deferred, the corresponding costs of products sold are also deferred in other assets in the consolidated financial statements and recognized over the same period. If VSOE of fair value exists for all undelivered elements, but does not exist for the delivered elements in the arrangement, revenue is allocated to the undelivered elements based on their VSOE of fair values, with the residual amount allocated to the delivered elements and recognized upon their delivery.</w:t>
      </w:r>
    </w:p>
    <w:p>
      <w:pPr>
        <w:spacing w:after="0" w:line="6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2005, 2006, 2007 and the three months ended March 29, 2008, the Company did not have VSOE of fair value for software support services. Therefore, revenue and the corresponding costs of software-related deliverables is deferred and recognized over the customer support period ranging from one to three years. All revenue from these arrangements has been classified as product revenue in the statements of operations, as the amount attributed to services was immaterial.</w:t>
      </w:r>
    </w:p>
    <w:p>
      <w:pPr>
        <w:spacing w:after="0" w:line="67"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2007 and thereafter, no right of return has existed for the Company’s products. In prior years, if there was a right of return, the entire revenue from the arrangement was deferred until the right had lapsed. The Company has not experienced any significant returns of its products. Accruals are provided for anticipated warranty expenses at the time the associated revenue is recognized. Amounts received in advance of when revenue recognition criteria are met are recorded as deferred revenue on the consolidated balance sheets.</w:t>
      </w:r>
    </w:p>
    <w:p>
      <w:pPr>
        <w:spacing w:after="0" w:line="5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Company sells its products to third-party resellers located in certain international markets. From time to time, these arrangements may be subject to contingencies such as completion of the instrument delivery to or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installation at the end customer. The Company recognizes revenue on sales of products to the resellers if all revenue recognition criteria have been met and any contingency provisions related to the sale have been satisfied.</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 has entered into agreements with third parties, including government entities, to provide research and development services. Fixed-fee research and development agreements generally provide the Company with up-front and periodic milestone fees. Variable-fee research and development agreements generally provide the Company with fees based upon agreed upon rates for time incurred by research staff. Under EITF 00-21, the Company evaluates whether these arrangements contain multiple units of accounting by evaluating whether delivered elements have value on a stand-alone basis and whether there is objective and reliable evidence of fair value of the undelivered items. During 2005, 2006, 2007 and the three months ended March 29, 2008, the Company concluded that these arrangements consisted of a single unit of accounting, namely, research and development services. Accordingly, the Company recognizes the fees under these arrangements over the period the Company performs these services. Costs associated with the research and development agreements are included in research and development expense.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Government grants provide the Company with incentive payments for certain types of research and development activities performed over a contractually defined period. Revenue from government grants is recognized during the period during which the related costs are incurred, provided that the conditions under which the government grants were provided have been met and the Company has only perfunctory obligations outstanding. Amounts received in advance of when revenue recognition criteria are met are recorded as deferred revenue on the consolidated balance sheets. Costs associated with the grants are included in research and development expense.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Shipping and Handling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expenses research and development expenditures in the period incurred. Research and development expense consists of personnel costs, independent contractor costs, prototype expenses, and allocated facilities and information technology expenses. These costs include direct and research-related overhead expenses.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Advertising Costs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expenses advertising costs as incurred. The Company incurred advertising costs of $237,000, $324,000, $701,000, $221,000 and $228,000 during 2005, 2006, 2007 and the three months ended March 31, 2007 and March 29, 2008,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 xml:space="preserve">The Company adopted Financial Accounting Standards Board (FASB) Interpretation No. 48, </w:t>
      </w:r>
      <w:r>
        <w:rPr>
          <w:rFonts w:ascii="Arial" w:cs="Arial" w:eastAsia="Arial" w:hAnsi="Arial"/>
          <w:sz w:val="12"/>
          <w:szCs w:val="12"/>
          <w:i w:val="1"/>
          <w:iCs w:val="1"/>
          <w:color w:val="auto"/>
        </w:rPr>
        <w:t>Accounting for Uncertainties in Income Taxes — an interpretation of FASB 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 109 </w:t>
      </w:r>
      <w:r>
        <w:rPr>
          <w:rFonts w:ascii="Arial" w:cs="Arial" w:eastAsia="Arial" w:hAnsi="Arial"/>
          <w:sz w:val="12"/>
          <w:szCs w:val="12"/>
          <w:color w:val="auto"/>
        </w:rPr>
        <w:t>(FIN 48), effective January 1, 2007. FIN 48 requires that the Company recognize the financial statement effects of a tax position when it is more likely</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color w:val="auto"/>
        </w:rPr>
        <w:t>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1020" w:firstLine="399"/>
        <w:spacing w:after="0" w:line="260" w:lineRule="auto"/>
        <w:rPr>
          <w:sz w:val="20"/>
          <w:szCs w:val="20"/>
          <w:color w:val="auto"/>
        </w:rPr>
      </w:pPr>
      <w:r>
        <w:rPr>
          <w:rFonts w:ascii="Arial" w:cs="Arial" w:eastAsia="Arial" w:hAnsi="Arial"/>
          <w:sz w:val="13"/>
          <w:szCs w:val="13"/>
          <w:color w:val="auto"/>
        </w:rPr>
        <w:t xml:space="preserve">Prior to January 1, 2006, the Company accounted for its employee stock option plans using the intrinsic value method prescribed by Accounting Principles Board Opinion No. 25, </w:t>
      </w:r>
      <w:r>
        <w:rPr>
          <w:rFonts w:ascii="Arial" w:cs="Arial" w:eastAsia="Arial" w:hAnsi="Arial"/>
          <w:sz w:val="13"/>
          <w:szCs w:val="13"/>
          <w:i w:val="1"/>
          <w:iCs w:val="1"/>
          <w:color w:val="auto"/>
        </w:rPr>
        <w:t xml:space="preserve">Accounting for Stock Issued to Employees </w:t>
      </w:r>
      <w:r>
        <w:rPr>
          <w:rFonts w:ascii="Arial" w:cs="Arial" w:eastAsia="Arial" w:hAnsi="Arial"/>
          <w:sz w:val="13"/>
          <w:szCs w:val="13"/>
          <w:color w:val="auto"/>
        </w:rPr>
        <w:t>(APB 25), which required the Company to recognize the difference between the exercise price of an employee option and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common stock as of the grant date. The resulting stock-based compensation expense, if any, was recorded on the date of the grant in stockholders’ equity as deferred compensation and amortized to expense over the vesting period of the grant, which was generally four years.</w:t>
      </w:r>
    </w:p>
    <w:p>
      <w:pPr>
        <w:spacing w:after="0" w:line="70" w:lineRule="exact"/>
        <w:rPr>
          <w:sz w:val="20"/>
          <w:szCs w:val="20"/>
          <w:color w:val="auto"/>
        </w:rPr>
      </w:pPr>
    </w:p>
    <w:p>
      <w:pPr>
        <w:ind w:left="680" w:right="820" w:firstLine="399"/>
        <w:spacing w:after="0" w:line="255" w:lineRule="auto"/>
        <w:rPr>
          <w:sz w:val="20"/>
          <w:szCs w:val="20"/>
          <w:color w:val="auto"/>
        </w:rPr>
      </w:pPr>
      <w:r>
        <w:rPr>
          <w:rFonts w:ascii="Arial" w:cs="Arial" w:eastAsia="Arial" w:hAnsi="Arial"/>
          <w:sz w:val="13"/>
          <w:szCs w:val="13"/>
          <w:color w:val="auto"/>
        </w:rPr>
        <w:t xml:space="preserve">In December 2004, the FASB issued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that addresses the accounting for stock-based payment transactions in which a company receives services in exchange for equity instruments, including stock options. The Company adopted SFAS 123(R) beginning January 1, 2006 using the prospective-transition method, as options granted prior to January 1, 2006 were measured using the minimum value method for the pro forma disclosures previously required by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(SFAS 123). Under the prospective-transition method, the Company continues to apply APB 25 to employee equity awards outstanding at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Company’s adoption of SFAS 123(R). Any compensation costs recognized from January 1, 2006 onward consists of: (a) compensation cost for all stock-based awards granted prior to, but not vested as of, December 31, 2005 based on the intrinsic value determined in accordance with the provisions of APB 25; and (b) compensation cost for all stock-based awards granted or modified subsequent to December 31, 2005, net of estimated forfeitures, based on the grant date fair value estimated in accordance with the provisions of SFAS 123(R). The Company recognizes stock-based compensation expense on a straight-line basis over the vesting period of the respective grants. In accordance with the prospective-transition method, results for prior periods have not been restated.</w:t>
      </w:r>
    </w:p>
    <w:p>
      <w:pPr>
        <w:spacing w:after="0" w:line="74" w:lineRule="exact"/>
        <w:rPr>
          <w:sz w:val="20"/>
          <w:szCs w:val="20"/>
          <w:color w:val="auto"/>
        </w:rPr>
      </w:pPr>
    </w:p>
    <w:p>
      <w:pPr>
        <w:jc w:val="both"/>
        <w:ind w:left="680" w:right="920" w:firstLine="399"/>
        <w:spacing w:after="0" w:line="334" w:lineRule="auto"/>
        <w:rPr>
          <w:sz w:val="20"/>
          <w:szCs w:val="20"/>
          <w:color w:val="auto"/>
        </w:rPr>
      </w:pPr>
      <w:r>
        <w:rPr>
          <w:rFonts w:ascii="Arial" w:cs="Arial" w:eastAsia="Arial" w:hAnsi="Arial"/>
          <w:sz w:val="11"/>
          <w:szCs w:val="11"/>
          <w:color w:val="auto"/>
        </w:rPr>
        <w:t xml:space="preserve">The Company applies SFAS 123(R) and EITF Issue No. 96-18, </w:t>
      </w:r>
      <w:r>
        <w:rPr>
          <w:rFonts w:ascii="Arial" w:cs="Arial" w:eastAsia="Arial" w:hAnsi="Arial"/>
          <w:sz w:val="11"/>
          <w:szCs w:val="11"/>
          <w:i w:val="1"/>
          <w:iCs w:val="1"/>
          <w:color w:val="auto"/>
        </w:rPr>
        <w:t>Accounting for Equity Instruments That Are Issued to Other Than Employees for Acquiring, or in Conjunction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Selling, Goods or Services </w:t>
      </w:r>
      <w:r>
        <w:rPr>
          <w:rFonts w:ascii="Arial" w:cs="Arial" w:eastAsia="Arial" w:hAnsi="Arial"/>
          <w:sz w:val="11"/>
          <w:szCs w:val="11"/>
          <w:color w:val="auto"/>
        </w:rPr>
        <w:t>(EITF 96-18), to options and other stock-based awards issued to nonemployees. In accordance with SFAS 123(R) and EITF 96-18, the Company uses the Black-Scholes option-pricing model to measure the fair value of the options at the measurement dates. The nonemployee options are subject to periodic reevaluation over their vesting terms.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Loss</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includes unrealized holding gains and losses on the Company’s available-for-sale securities and foreign currency translation adjustments. Total comprehensive loss for all periods presented has been disclosed in the consolidated statements of convertible preferred stock and stockholders’ equity (deficit).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Accumulated other comprehensive income (loss) consists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(16)</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3"/>
                <w:szCs w:val="13"/>
                <w:color w:val="auto"/>
              </w:rPr>
              <w:t>F-14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Convertible Preferred Stock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Freestanding warrants related to shares that may be redeemable are accounted for in accordance with FASB Staff Position (FSP) No. 150-5, </w:t>
      </w:r>
      <w:r>
        <w:rPr>
          <w:rFonts w:ascii="Arial" w:cs="Arial" w:eastAsia="Arial" w:hAnsi="Arial"/>
          <w:sz w:val="12"/>
          <w:szCs w:val="12"/>
          <w:i w:val="1"/>
          <w:iCs w:val="1"/>
          <w:color w:val="auto"/>
        </w:rPr>
        <w:t>Issuer’s Accounting Under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150 for Freestanding Warrants and Other Similar Instruments on Shares That Are Redeemable </w:t>
      </w:r>
      <w:r>
        <w:rPr>
          <w:rFonts w:ascii="Arial" w:cs="Arial" w:eastAsia="Arial" w:hAnsi="Arial"/>
          <w:sz w:val="12"/>
          <w:szCs w:val="12"/>
          <w:color w:val="auto"/>
        </w:rPr>
        <w:t>(FSP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the Company’s convertible preferred stock are classified as</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consolidated balance sheets and carried at fair value because the warrants may conditionally obligate the Company to transfer assets at some point in the future. The warrants are subject to remeasurement at each balance sheet date, and any change in fair value is recognized as a component of other income (expense), net in the consolidated statements of operations. The Company will continue to adjust the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FSP 150-5 is effective for all periods beginning after June 30, 2005, and accordingly, it was adopted by the Company on July 1, 2005. Upon adoption, the Company reclassified the fair value of its warrants to purchase shares of its convertible preferred stock as of the adoption date from additional paid-in capital to liabilities and recorded a gain of $637,000 as the cumulative effect of a change in an accounting principle in the consolidated statement of operations during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per Share of Common Stock</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those shares subject to repurchase related to stock options that were exercised prior to vesting as they are not deemed to be issued for accounting purposes until they vest. The diluted net loss per share of common stock is computed by dividing the net loss by the weighted-average number of common stock equivalents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common stock equivalents but have been excluded from the calculation of diluted net loss per share of common stock as their effect is anti-dilutive.</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net loss per share of common stock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93"/>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Historical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w w:val="96"/>
              </w:rPr>
              <w:t>Shares used in computing net loss per share of common stock, basic and diluted</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9,018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9,316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9,671</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9,510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before cumulative effect of change in</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principle,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0.07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following outstanding shares of common stock equivalents were excluded from the computation of diluted net loss per share of common stock for the periods presented because including them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80" w:type="dxa"/>
            <w:vAlign w:val="bottom"/>
            <w:gridSpan w:val="2"/>
            <w:vMerge w:val="restart"/>
          </w:tcPr>
          <w:p>
            <w:pPr>
              <w:jc w:val="right"/>
              <w:ind w:right="54"/>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9"/>
                <w:szCs w:val="9"/>
                <w:color w:val="auto"/>
              </w:rPr>
            </w:pPr>
          </w:p>
        </w:tc>
        <w:tc>
          <w:tcPr>
            <w:tcW w:w="980" w:type="dxa"/>
            <w:vAlign w:val="bottom"/>
            <w:gridSpan w:val="2"/>
          </w:tcPr>
          <w:p>
            <w:pPr>
              <w:jc w:val="center"/>
              <w:ind w:right="353"/>
              <w:spacing w:after="0" w:line="108" w:lineRule="exact"/>
              <w:rPr>
                <w:sz w:val="20"/>
                <w:szCs w:val="20"/>
                <w:color w:val="auto"/>
              </w:rPr>
            </w:pPr>
            <w:r>
              <w:rPr>
                <w:rFonts w:ascii="Arial" w:cs="Arial" w:eastAsia="Arial" w:hAnsi="Arial"/>
                <w:sz w:val="10"/>
                <w:szCs w:val="10"/>
                <w:b w:val="1"/>
                <w:bCs w:val="1"/>
                <w:color w:val="auto"/>
                <w:w w:val="99"/>
              </w:rPr>
              <w:t>March 31,</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rPr>
              <w:t>March 29,</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580" w:type="dxa"/>
            <w:vAlign w:val="bottom"/>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37,267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56,671</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46,654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Options to purchase common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6,094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6,050</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7,467</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5,962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repurchase</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Warrants to purchase convertible preferred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1,211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704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699</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704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w w:val="97"/>
              </w:rPr>
              <w:t>Convertible promissory notes convertible into shares of convertible preferred stock</w:t>
            </w:r>
          </w:p>
        </w:tc>
        <w:tc>
          <w:tcPr>
            <w:tcW w:w="1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80" w:type="dxa"/>
            <w:vAlign w:val="bottom"/>
            <w:gridSpan w:val="3"/>
          </w:tcPr>
          <w:p>
            <w:pPr>
              <w:jc w:val="right"/>
              <w:ind w:right="1480"/>
              <w:spacing w:after="0"/>
              <w:rPr>
                <w:sz w:val="20"/>
                <w:szCs w:val="20"/>
                <w:color w:val="auto"/>
              </w:rPr>
            </w:pPr>
            <w:r>
              <w:rPr>
                <w:rFonts w:ascii="Arial" w:cs="Arial" w:eastAsia="Arial" w:hAnsi="Arial"/>
                <w:sz w:val="13"/>
                <w:szCs w:val="13"/>
                <w:color w:val="auto"/>
              </w:rPr>
              <w:t>F-16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September 2006, the FASB issued SFAS 157, which establishes a framework for measuring the fair value of assets and liabilities when required or permitted by other 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(FSP 157-2) which allows companies to delay the effective date of SFAS 157 for all nonfinancial assets and liabilities, except those that are recognized or disclosed at fair value in the financial statements on a recurring basis, until fiscal years beginning after November 15, 2008. Generally, the provisions of this statement should be applied prospectively as of the beginning of the fiscal year in which this statement is initially applied. The Company adopted SFAS 157 in accordance with the provisions in FSP 157-2 as of December 30, 2007. The adoption of SFAS 157 did not have a significant impact on the Company’s consolidated financial statements.</w:t>
      </w:r>
    </w:p>
    <w:p>
      <w:pPr>
        <w:spacing w:after="0" w:line="58"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(SFAS 159), including an amendment of SFAS No. 115, A</w:t>
      </w:r>
      <w:r>
        <w:rPr>
          <w:rFonts w:ascii="Arial" w:cs="Arial" w:eastAsia="Arial" w:hAnsi="Arial"/>
          <w:sz w:val="13"/>
          <w:szCs w:val="13"/>
          <w:i w:val="1"/>
          <w:iCs w:val="1"/>
          <w:color w:val="auto"/>
        </w:rPr>
        <w:t>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 measurements for the financial instruments and liabilities an entity elects to measure at fair value will be recognized in earnings. SFAS 159 also establishes additional disclosure requirements. SFAS 159 is effective for fiscal years beginning after November 15, 2007. The Company adopted SFAS 159 as of December 30, 2007 but chose not to measure the financial instruments and liabilities permitted by the standard to be measured at fair value. Therefore, the adoption of SFAS 159 did not have a significant impact on the Company’s consolidated financial statements.</w:t>
      </w:r>
    </w:p>
    <w:p>
      <w:pPr>
        <w:spacing w:after="0" w:line="72"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xml:space="preserve">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The Company is currently assessing the impact of the adoption of EITF 07-1 on the Company’s consolidated financial statements.</w:t>
      </w:r>
    </w:p>
    <w:p>
      <w:pPr>
        <w:spacing w:after="0" w:line="76"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The Company adopted EITF 07-3 as of December 30, 2007. The adoption of EITF 07-3 did not impact the Company’s consolidated financial statements.</w:t>
      </w:r>
    </w:p>
    <w:p>
      <w:pPr>
        <w:spacing w:after="0" w:line="146" w:lineRule="exact"/>
        <w:rPr>
          <w:sz w:val="20"/>
          <w:szCs w:val="20"/>
          <w:color w:val="auto"/>
        </w:rPr>
      </w:pPr>
    </w:p>
    <w:p>
      <w:pPr>
        <w:ind w:left="680" w:right="6260" w:firstLine="7"/>
        <w:spacing w:after="0" w:line="397" w:lineRule="auto"/>
        <w:tabs>
          <w:tab w:leader="none" w:pos="985"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License, Development, Collaboration and Grant Agreements License Agreements</w:t>
      </w:r>
    </w:p>
    <w:p>
      <w:pPr>
        <w:spacing w:after="0" w:line="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In March 2003, the Company entered into a license agreement to obtain an exclusive worldwide license for certain technology regarding nanovolume crystallization arrays. The Company may, in its sole discretion, cancel the license agreement with a 30-day notice; otherwise, the license terminates at the end of the life of the last patent</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to expire. Under the terms of the agreement, the Company is obligated to issue up to $2,100,000 of shares of the Company’s common or convertible preferred stock if the Company achieves certain milestones. As a result of achieving one of these milestones during 2006, the Company issued 214,285 shares of Series D convertible preferred stock at $2.80 per share for an aggregate value of $597,000, net of issuance costs. During 2003, the Company also entered into a separate research sponsorship agreement under which the Company agreed to pay a total of $900,000 over 5 years in 20 quarterly installments of $45,000 to sponsor certain research. As of March 29, 2008, the entire $900,000 had been paid. Following the final $45,000 payment, which was paid during the three months ended March 29, 2008, the agreement terminated.</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2003, the Company entered into a license agreement to obtain a nonexclusive worldwide license for certain technology regarding submicroliter protein crystallization. The Company may, in its sole discretion, cancel the agreement with a 30-day notice; otherwise, the license terminates at the end of the life of the last licensed patent to expire. Pursuant to the agreement, the Company made four payments for annual nonrefundable license fees, each in the amount of $250,000, beginning in January 2004 with subsequent payments made in January 2005, 2006 and 2007. Also pursuant to the agreement, the Company began making quarterly payments in the amount of $25,000 starting in the first quarter of 2007. These quarterly payments, which are scheduled to continue until the agreement is terminated, could increase in future periods if the Company meets certain sales volumes. The annual nonrefundable license fee payments were recorded as expense during the year in which they were paid.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Development Agreements</w:t>
      </w:r>
    </w:p>
    <w:p>
      <w:pPr>
        <w:spacing w:after="0" w:line="100"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June 2004, the Company entered into a development agreement to evaluate two application areas of interest. Under the agreement, the Company performed research and development services, manufactured prototypes, and licensed certain nonexclusive rights. In addition, the Company issued a fully vested warrant to purchase 507,407 shares of Series D convertible preferred stock at $2.80 per share (see Note 8). As consideration, the Company received payments totaling $1,500,000 during 2004 and 2005. The Company determined that the license, research and development services, and prototypes should be accounted for as a combined unit of accounting and recognized the revenues ratably over the 12-month project period. The fair value of the warrant issued was estimated to be $750,000, as determined using the Black-Scholes option-pricing model, and was recognized as a reduction to the collaboration revenue. The Company recognized collaboration revenue of $366,000 and $384,000 related to this agreement during 2004 and 2005, respectively. The agreement terminated during 2005.</w:t>
      </w:r>
    </w:p>
    <w:p>
      <w:pPr>
        <w:spacing w:after="0" w:line="4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In June 2005, the Company entered into another development agreement to develop another application area of interest. Under the agreement, the Company performed research and development services and manufactured prototype instruments. The agreement provided for payments to the Company in the amount of $942,000, to be paid in installments over the</w:t>
      </w:r>
    </w:p>
    <w:p>
      <w:pPr>
        <w:ind w:left="680" w:right="20"/>
        <w:spacing w:after="0" w:line="256" w:lineRule="auto"/>
        <w:rPr>
          <w:sz w:val="20"/>
          <w:szCs w:val="20"/>
          <w:color w:val="auto"/>
        </w:rPr>
      </w:pPr>
      <w:r>
        <w:rPr>
          <w:rFonts w:ascii="Arial" w:cs="Arial" w:eastAsia="Arial" w:hAnsi="Arial"/>
          <w:sz w:val="13"/>
          <w:szCs w:val="13"/>
          <w:color w:val="auto"/>
        </w:rPr>
        <w:t>30-month life of the agreement. The Company determined that the research and development services and the manufacturing of prototype instruments should be accounted for as a combined unit of accounting and revenue was therefore recognized ratably over the estimated project period. The Company recognized revenue of $94,000, $377,000, $377,000, $94,000 and $94,000 related to this agreement during 2005, 2006, 2007 and the three months ended March 31, 2007 and March 29, 2008, respectively. The agreement terminated during the three months ended March 29, 2008.</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Agreement</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January 2005, the Company entered into a collaborative agreement to develop and commercialize radiopharmaceutical manufacturing products for use in the positron emission tomography field. As consideration, the Company received an up-front fee of $1,000,000, which the Company deferred and recognized over the obligation period of approximately two years, with $458,000 and $542,000 recognized as revenue during 2005 and 2006, respectively. Also, the Company recognized additional revenue of $635,000 and $500,000 during 2005 and 2006, respectively, related to payments for research and development activities under the agreement based on agreed upon rates for time incurred by the research staff. The agreement terminated on December 31, 2006.</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June 2006, the Company was awarded a government grant from the National Institutes of Health (NIH) in the amount of $1,048,000 to be earned over a two-year period. Under the grant, the Company performs research and development activities to design a diffraction capable Topaz screening chip. The agreement provides for quarterly reimbursement of the eligible research and development expenses, including salaries, equipment, scientific consumables, and certain third-party costs. The grant revenue is recognized as the related services are performed and costs associated with this grant are reported as research and development expense in the period incurred. The Company recognized revenue of $184,000, $606,000, $6,000, and $116,000 during 2006 and 2007 and the three months ended March 31, 2007 and March 29, 2008, respectively, under this grant. This agreement terminates in June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Singapore Economic Development Board</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 October 2005, Fluidigm Singapore, a wholly owned subsidiary of the Company, entered into a letter agreement providing for up to SG$10 million (approximately US$7.2 million using March 29, 2008 exchange rates) in grants from the Singapore Economic Development Board (EDB). The grants are payable for the period August 1, 2005 through July 31, 2010 in connection with the establishment and operation by Fluidigm Singapore of a research, development and manufacturing center for IFCs in Singapore. Grant payments are calculated as a portion of qualifying expenses incurred in Singapore relating to salaries, overhead, outsourcing and subcontracting expenses, operating expenses and royalties paid. Fluidigm Singapore is required to submit incentive payment requests for qualifying expenditures on a quarterly basis along with reports regarding its compliance with the incentive payment conditions, as described below, through the end of the applicable quarter.</w:t>
      </w:r>
    </w:p>
    <w:p>
      <w:pPr>
        <w:spacing w:after="0" w:line="72" w:lineRule="exact"/>
        <w:rPr>
          <w:sz w:val="20"/>
          <w:szCs w:val="20"/>
          <w:color w:val="auto"/>
        </w:rPr>
      </w:pPr>
    </w:p>
    <w:p>
      <w:pPr>
        <w:ind w:left="680" w:right="200" w:firstLine="399"/>
        <w:spacing w:after="0" w:line="282" w:lineRule="auto"/>
        <w:rPr>
          <w:sz w:val="20"/>
          <w:szCs w:val="20"/>
          <w:color w:val="auto"/>
        </w:rPr>
      </w:pPr>
      <w:r>
        <w:rPr>
          <w:rFonts w:ascii="Arial" w:cs="Arial" w:eastAsia="Arial" w:hAnsi="Arial"/>
          <w:sz w:val="12"/>
          <w:szCs w:val="12"/>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 These agreements further provide EDB with the right to demand repayment of a portion of past grants in the event the Company does not meet its obligations under the agreements. Based on correspondance with EDB, the Company believes that it has fulfilled its obligations under the grants and it will, therefore, not have to repay any of the grant proceeds received through March 29, 2008.</w:t>
      </w:r>
    </w:p>
    <w:p>
      <w:pPr>
        <w:spacing w:after="0" w:line="59"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Company’s business strategy for its Singapore operations. All ownership rights in the intellectual property developed by Fluidigm Singapore remain with Fluidigm Singapore and no such rights are conveyed to EDB under the agreement.</w:t>
      </w:r>
    </w:p>
    <w:p>
      <w:pPr>
        <w:spacing w:after="0" w:line="45"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In February 2007, Fluidigm Singapore entered into a second letter agreement with EDB which provided for up to an additional SG$3.7 million (approximately US$2.7 million using March 29, 2008 exchange rates) in grants. The terms and conditions of this letter agreement are substantially the same as the October 2005 letter agreement, with the exception of the size of the potential grant, the term of the agreement and the specific levels of research,</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20"/>
        <w:spacing w:after="0" w:line="264" w:lineRule="auto"/>
        <w:rPr>
          <w:sz w:val="20"/>
          <w:szCs w:val="20"/>
          <w:color w:val="auto"/>
        </w:rPr>
      </w:pPr>
      <w:r>
        <w:rPr>
          <w:rFonts w:ascii="Arial" w:cs="Arial" w:eastAsia="Arial" w:hAnsi="Arial"/>
          <w:sz w:val="13"/>
          <w:szCs w:val="13"/>
          <w:color w:val="auto"/>
        </w:rPr>
        <w:t>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67" w:lineRule="exact"/>
        <w:rPr>
          <w:sz w:val="20"/>
          <w:szCs w:val="20"/>
          <w:color w:val="auto"/>
        </w:rPr>
      </w:pPr>
    </w:p>
    <w:p>
      <w:pPr>
        <w:ind w:left="680" w:right="1060" w:firstLine="399"/>
        <w:spacing w:after="0" w:line="289" w:lineRule="auto"/>
        <w:rPr>
          <w:sz w:val="20"/>
          <w:szCs w:val="20"/>
          <w:color w:val="auto"/>
        </w:rPr>
      </w:pPr>
      <w:r>
        <w:rPr>
          <w:rFonts w:ascii="Arial" w:cs="Arial" w:eastAsia="Arial" w:hAnsi="Arial"/>
          <w:sz w:val="12"/>
          <w:szCs w:val="12"/>
          <w:color w:val="auto"/>
        </w:rPr>
        <w:t>The Company recognized revenue of $879,000, $1,758,000, $463,000 and $401,000 related to EDB grants during 2006, 2007 and the three months ended March 31, 2007 and March 29, 2008, respectively. As of December 31, 2006, December 29, 2007 and March 29, 2008, the Company had deferred revenue of $720,000, $635,000 and $566,000, respectively, related to incentive payments for equipment expenditures, which is being recognized ratably over the estimated useful life of the equipment of four years. As of December 31, 2006, December 29, 2007 and March 29, 2008, the Company had accounts receivable from EDB in the amounts of $272,000, $679,000 and $466,000, respectively.</w:t>
      </w:r>
    </w:p>
    <w:p>
      <w:pPr>
        <w:spacing w:after="0" w:line="128"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Balance Sheet Data</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Equivalents and Available-for-Sale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summaries of cash equivalents and available-for-sale securities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Estimated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Cost</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Gain</w:t>
            </w:r>
          </w:p>
        </w:tc>
        <w:tc>
          <w:tcPr>
            <w:tcW w:w="8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As of December 31, 2006:</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Corporate notes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Reported as:</w:t>
            </w:r>
          </w:p>
        </w:tc>
        <w:tc>
          <w:tcPr>
            <w:tcW w:w="2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equivalents</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Available-for-sale securities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As of December 29, 2007:</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Commercial paper</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notes</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Notes from government-sponsored agencies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28,198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Reported as:</w:t>
            </w:r>
          </w:p>
        </w:tc>
        <w:tc>
          <w:tcPr>
            <w:tcW w:w="2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equivalents</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29,985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Available-for-sale securities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6,286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As of March 29, 2008 (unaudited):</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Notes from government-sponsored agencies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Reported as:</w:t>
            </w:r>
          </w:p>
        </w:tc>
        <w:tc>
          <w:tcPr>
            <w:tcW w:w="2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equivalents</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Available-for-sale securities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40" w:type="dxa"/>
            <w:vAlign w:val="bottom"/>
            <w:gridSpan w:val="2"/>
          </w:tcPr>
          <w:p>
            <w:pPr>
              <w:jc w:val="right"/>
              <w:ind w:right="814"/>
              <w:spacing w:after="0"/>
              <w:rPr>
                <w:sz w:val="20"/>
                <w:szCs w:val="20"/>
                <w:color w:val="auto"/>
              </w:rPr>
            </w:pPr>
            <w:r>
              <w:rPr>
                <w:rFonts w:ascii="Arial" w:cs="Arial" w:eastAsia="Arial" w:hAnsi="Arial"/>
                <w:sz w:val="13"/>
                <w:szCs w:val="13"/>
                <w:color w:val="auto"/>
              </w:rPr>
              <w:t>F-20</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2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the contractual maturities of the Company’s available-for-sale securities were less than one year.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Work-in-process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 and demonstration units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3,038</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5,498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6,457</w:t>
            </w:r>
          </w:p>
        </w:tc>
        <w:tc>
          <w:tcPr>
            <w:tcW w:w="0" w:type="dxa"/>
            <w:vAlign w:val="bottom"/>
          </w:tcPr>
          <w:p>
            <w:pPr>
              <w:spacing w:after="0"/>
              <w:rPr>
                <w:sz w:val="1"/>
                <w:szCs w:val="1"/>
                <w:color w:val="auto"/>
              </w:rPr>
            </w:pPr>
          </w:p>
        </w:tc>
      </w:tr>
      <w:tr>
        <w:trPr>
          <w:trHeight w:val="333"/>
        </w:trPr>
        <w:tc>
          <w:tcPr>
            <w:tcW w:w="630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300" w:type="dxa"/>
            <w:vAlign w:val="bottom"/>
          </w:tcPr>
          <w:p>
            <w:pPr>
              <w:ind w:left="400"/>
              <w:spacing w:after="0"/>
              <w:rPr>
                <w:sz w:val="20"/>
                <w:szCs w:val="20"/>
                <w:color w:val="auto"/>
              </w:rPr>
            </w:pPr>
            <w:r>
              <w:rPr>
                <w:rFonts w:ascii="Arial" w:cs="Arial" w:eastAsia="Arial" w:hAnsi="Arial"/>
                <w:sz w:val="13"/>
                <w:szCs w:val="13"/>
                <w:color w:val="auto"/>
              </w:rPr>
              <w:t>Property and equipment consists of the following (in thousands):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Lab and manufacturing equipment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8,271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10,564</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(5,885)</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(7,177)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Depreciation and amortization expense was $1,309,000, $1,379,000, $1,643,000, $426,000 and $416,000 for 2005, 2006, 2007 and the three months ended March 31, 2007 and March 29, 2008, respectively. During 2005, 2006, 2007 and the three months ended March 31, 2007 and March 29, 2008, the Company recognized a loss on retirement of property and equipment of $0, $111,000, $20,000, $0 and $0, respectively.</w:t>
      </w:r>
    </w:p>
    <w:p>
      <w:pPr>
        <w:spacing w:after="0" w:line="142"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In November 2002, the Company entered into a master security agreement with a lender. Per the terms of the agreement, the Company could draw up to $4,000,000 for purchases of capital equipment, software, and tenant improvements. A second master security agreement entered into in March 2004 increased the amount of the allowable draw for the Company to $11,000,000. The draw down period expired on December 31, 2005, at which time the Company had drawn down $3,584,000 under the agreement. The loan, which was secured by the underlying equipment and a letter of credit, carried an interest rate between 8.0% and 10.5% per annum, and each draw under the agreement was to be repaid in 42 varying monthly installments, which was originally scheduled to end on July 1, 2009. In connection with the execution of the second agreement in 2004, the Company issued a warrant to purchase</w:t>
      </w:r>
    </w:p>
    <w:p>
      <w:pPr>
        <w:spacing w:after="0" w:line="1"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37,500 shares of Series D convertible preferred stock at $2.80 per share (see Note 8) which was recorded on the consolidated balance sheet at fair value of $90,000 as a debt discount that was amortized to interest expense over two years. As of December 31, 2006 and December 29, 2007, the outstanding principal balance of this loan was $2,267,000 and $1,130,000, respectively. In February 2008, prior to the due date, the Company paid off the outstanding principal and accrued interest balance and paid a prepayment fee in the amount of $41,000 to the lender. Accordingly, the entire outstanding principal balance for this loan as of December 29, 2007 was classified as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 current liability on the consolidated balance sheet. Upon full payment of this debt, restricted cash in the amount of $500,000 was released by the lender and thus has been classified as a current asset as of December 29, 2007.</w:t>
      </w:r>
    </w:p>
    <w:p>
      <w:pPr>
        <w:spacing w:after="0" w:line="5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In March 2005, the Company entered into a loan and security agreement with another lender. Under this agreement the Company borrowed $13,000,000 during 2005 for general corporate purposes. This loan is secured by the Company’s assets except for intellectual property; however, the security interest does include proceeds from sales of the intellectual property. The loan was originally scheduled to be repaid by 2009; however, the agreement was amended in August 2006 to extend the final repayment date to February 1, 2010. The agreement carried a variable interest rate of prime plus 2.5% through March 2006. Thereafter, the agreement carried a fixed interest rate of 10.0% through July 2006 and a fixed interest rate of 9.75% following the amendment to the agreement in August 2006. In August 2006, the Company began making monthly payments in the amount of $310,000 for principal and interest under the agreement. The agreement also requires payment of fees in March 2009 in the amount of $1,612,500. The fees are accreted as interest expense over the term of the loan. The agreement restricts the Company’s ability to pay dividends. The Company is subject to a prepayment fee in the amount of 1% of the outstanding principal amount being prepaid if paid during 2008 or 2009. In connection with the execution of this loan and security agreement, the Company issued a warrant to purchase 185,714 shares of Series D convertible preferred stock at $2.80 per share (see Note 8) which was recorded on the consolidated balance sheet at fair value of $54,000 as a debt discount. In connection with the final draw down of this loan, the Company issued another warrant to purchase 185,714 shares of Series D convertible preferred stock at $2.80 per share (see Note 8) which was recorded on the consolidated balance sheet at fair value of $50,000 as a debt discount. The debt discounts are amortized to interest expense over the life of the agreement. As of December 31, 2006, December 29, 2007 and March 29, 2008, the outstanding principal balance of this loan was $10,570,000, $8,232,000 and $7,592,000, respectively, net of the unamortized debt discounts of $58,000, $31,000 and $25,000, respectively.</w:t>
      </w:r>
    </w:p>
    <w:p>
      <w:pPr>
        <w:spacing w:after="0" w:line="47" w:lineRule="exact"/>
        <w:rPr>
          <w:sz w:val="20"/>
          <w:szCs w:val="20"/>
          <w:color w:val="auto"/>
        </w:rPr>
      </w:pPr>
    </w:p>
    <w:p>
      <w:pPr>
        <w:ind w:left="680" w:right="60" w:firstLine="399"/>
        <w:spacing w:after="0" w:line="303" w:lineRule="auto"/>
        <w:rPr>
          <w:sz w:val="20"/>
          <w:szCs w:val="20"/>
          <w:color w:val="auto"/>
        </w:rPr>
      </w:pPr>
      <w:r>
        <w:rPr>
          <w:rFonts w:ascii="Arial" w:cs="Arial" w:eastAsia="Arial" w:hAnsi="Arial"/>
          <w:sz w:val="11"/>
          <w:szCs w:val="11"/>
          <w:color w:val="auto"/>
        </w:rPr>
        <w:t>In February 2008, the Company amended this loan and security agreement to provide the Company with an additional credit line in the amount of $10,000,000 that the Company can draw upon until July 1, 2008 for general corporate purposes. In connection with the amendment of this loan and security agreement, the Company issued a warrant to purchase 100,000 shares of Series E convertible preferred stock at $4.00 per share (see Note 8). The warrant was recorded on the consolidated balance sheet as a deferred charge at a fair value of</w:t>
      </w:r>
    </w:p>
    <w:p>
      <w:pPr>
        <w:jc w:val="both"/>
        <w:ind w:left="680" w:right="160"/>
        <w:spacing w:after="0" w:line="290" w:lineRule="auto"/>
        <w:rPr>
          <w:sz w:val="20"/>
          <w:szCs w:val="20"/>
          <w:color w:val="auto"/>
        </w:rPr>
      </w:pPr>
      <w:r>
        <w:rPr>
          <w:rFonts w:ascii="Arial" w:cs="Arial" w:eastAsia="Arial" w:hAnsi="Arial"/>
          <w:sz w:val="12"/>
          <w:szCs w:val="12"/>
          <w:color w:val="auto"/>
        </w:rPr>
        <w:t>$111,000 and will be amortized to interest expense over the period of the availability of the funds. As of March 29, 2008, the Company had not utilized any of this facility. If the Company does borrow from this credit line, the borrowing will bear interest at 11.5% per annum and will be repaid in installments through June 2011. In addition, the Company could be required to issue additional warrants to purchase up to 200,000 shares of Series E convertible preferred stock at $4.00 per share depending on the amounts of draws on the facility, if any.</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amortization of the debt discounts for the Company’s long-term debt agreements was recorded as interest expense in the consolidated statements of operations in the amounts of $9,000, $37,000, $27,000, $7,000 and $6,000 during 2005, 2006, 2007 and the three months ended March 31, 2007 and March 29, 2008, respectively. As of March 29, 2008, the Company was either in compliance with all loan covenants or had obtained waivers from the respective lenders.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does not include principal payments for the master security agreement with a principal balance of $1,130,000 as of December 29, 2007 that was paid off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2008. The scheduled principal payments of the Company’s other long-term debt as of December 29, 2007 are as follows (in thousands):</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2,724</w:t>
            </w: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w:t>
            </w: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609</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principal payments due in future periods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8,262</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Less: debt discounts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8,231</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right="8620" w:firstLine="7"/>
        <w:spacing w:after="0" w:line="397" w:lineRule="auto"/>
        <w:tabs>
          <w:tab w:leader="none" w:pos="985"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Operating Leases</w:t>
      </w:r>
    </w:p>
    <w:p>
      <w:pPr>
        <w:spacing w:after="0" w:line="1" w:lineRule="exact"/>
        <w:rPr>
          <w:sz w:val="20"/>
          <w:szCs w:val="20"/>
          <w:color w:val="auto"/>
        </w:rPr>
      </w:pPr>
    </w:p>
    <w:p>
      <w:pPr>
        <w:ind w:left="680" w:right="1040" w:firstLine="399"/>
        <w:spacing w:after="0" w:line="289" w:lineRule="auto"/>
        <w:rPr>
          <w:sz w:val="20"/>
          <w:szCs w:val="20"/>
          <w:color w:val="auto"/>
        </w:rPr>
      </w:pPr>
      <w:r>
        <w:rPr>
          <w:rFonts w:ascii="Arial" w:cs="Arial" w:eastAsia="Arial" w:hAnsi="Arial"/>
          <w:sz w:val="12"/>
          <w:szCs w:val="12"/>
          <w:color w:val="auto"/>
        </w:rPr>
        <w:t>The Company leases its headquarters in South San Francisco, California, under multiple noncancelable lease agreements that expire in February 2011. These agreements include renewal options which provide the Company with the ability to extend the lease terms for an additional three years. The Company also leases office and manufacturing space under noncancelable leases in Singapore that expire in September 2008. The Company’s other operating leases are for office space in the Netherlands, Japan, and France and are on a month-to-month basis. As of December 29, 2007, future minimum lease payments under noncancelable operating leases were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2011</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The Company’s lease payments are recognized as an expense on a straight-line basis over the life of the lease. Rental expense under operating leases for 2005, 2006, 2007 and the three months ended March 31, 2007 and March 29, 2008 totaled $1,468,000, $1,494,000, $1,574,000, $354,000 and $367,000, respectively.</w:t>
      </w:r>
    </w:p>
    <w:p>
      <w:pPr>
        <w:spacing w:after="0" w:line="59" w:lineRule="exact"/>
        <w:rPr>
          <w:sz w:val="20"/>
          <w:szCs w:val="20"/>
          <w:color w:val="auto"/>
        </w:rPr>
      </w:pPr>
    </w:p>
    <w:p>
      <w:pPr>
        <w:jc w:val="both"/>
        <w:ind w:left="680" w:right="1120" w:firstLine="399"/>
        <w:spacing w:after="0" w:line="334" w:lineRule="auto"/>
        <w:rPr>
          <w:sz w:val="20"/>
          <w:szCs w:val="20"/>
          <w:color w:val="auto"/>
        </w:rPr>
      </w:pPr>
      <w:r>
        <w:rPr>
          <w:rFonts w:ascii="Arial" w:cs="Arial" w:eastAsia="Arial" w:hAnsi="Arial"/>
          <w:sz w:val="11"/>
          <w:szCs w:val="11"/>
          <w:color w:val="auto"/>
        </w:rPr>
        <w:t>The Company has entered into a supply agreement with a vendor to provide inventory components customized to the Company’s specifications. Pursuant to this agreement, the Company has agreed to purchase from the vendor a specified minimum number of units each year in exchange for volume discounts. After April 1, 2010, either party may terminate the supply agreement upon six months prior written notice. As of December 29, 2007, future minimum payments under the supply agreement were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6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20" w:type="dxa"/>
            <w:vAlign w:val="bottom"/>
          </w:tcPr>
          <w:p>
            <w:pPr>
              <w:jc w:val="right"/>
              <w:ind w:right="2654"/>
              <w:spacing w:after="0"/>
              <w:rPr>
                <w:sz w:val="20"/>
                <w:szCs w:val="20"/>
                <w:color w:val="auto"/>
              </w:rPr>
            </w:pPr>
            <w:r>
              <w:rPr>
                <w:rFonts w:ascii="Arial" w:cs="Arial" w:eastAsia="Arial" w:hAnsi="Arial"/>
                <w:sz w:val="13"/>
                <w:szCs w:val="13"/>
                <w:color w:val="auto"/>
              </w:rPr>
              <w:t>2008</w:t>
            </w:r>
          </w:p>
        </w:tc>
        <w:tc>
          <w:tcPr>
            <w:tcW w:w="6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jc w:val="right"/>
              <w:ind w:right="2654"/>
              <w:spacing w:after="0"/>
              <w:rPr>
                <w:sz w:val="20"/>
                <w:szCs w:val="20"/>
                <w:color w:val="auto"/>
              </w:rPr>
            </w:pPr>
            <w:r>
              <w:rPr>
                <w:rFonts w:ascii="Arial" w:cs="Arial" w:eastAsia="Arial" w:hAnsi="Arial"/>
                <w:sz w:val="13"/>
                <w:szCs w:val="13"/>
                <w:color w:val="auto"/>
              </w:rPr>
              <w:t>2009</w:t>
            </w:r>
          </w:p>
        </w:tc>
        <w:tc>
          <w:tcPr>
            <w:tcW w:w="6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20" w:type="dxa"/>
            <w:vAlign w:val="bottom"/>
          </w:tcPr>
          <w:p>
            <w:pPr>
              <w:jc w:val="right"/>
              <w:ind w:right="2654"/>
              <w:spacing w:after="0"/>
              <w:rPr>
                <w:sz w:val="20"/>
                <w:szCs w:val="20"/>
                <w:color w:val="auto"/>
              </w:rPr>
            </w:pPr>
            <w:r>
              <w:rPr>
                <w:rFonts w:ascii="Arial" w:cs="Arial" w:eastAsia="Arial" w:hAnsi="Arial"/>
                <w:sz w:val="13"/>
                <w:szCs w:val="13"/>
                <w:color w:val="auto"/>
              </w:rPr>
              <w:t>2010</w:t>
            </w:r>
          </w:p>
        </w:tc>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6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80" w:type="dxa"/>
            <w:vAlign w:val="bottom"/>
          </w:tcPr>
          <w:p>
            <w:pPr>
              <w:ind w:left="1760"/>
              <w:spacing w:after="0"/>
              <w:rPr>
                <w:sz w:val="20"/>
                <w:szCs w:val="20"/>
                <w:color w:val="auto"/>
              </w:rPr>
            </w:pPr>
            <w:r>
              <w:rPr>
                <w:rFonts w:ascii="Arial" w:cs="Arial" w:eastAsia="Arial" w:hAnsi="Arial"/>
                <w:sz w:val="13"/>
                <w:szCs w:val="13"/>
                <w:color w:val="auto"/>
              </w:rPr>
              <w:t>F-23</w:t>
            </w: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 is party to various claims arising in the ordinary course of business. These claims relate to intellectual property rights and employment matters. While there is no assurance that an adverse determination of any of such matters will not occur, management does not believe, based upon information known to it, that a potential resolution of any of these matters will have a material adverse effect upon the Company’s financial position, results of operations, or cash flows.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has entered into indemnification provisions under certain of its agreements with other companies in the ordinary course of business, typically with business partners, customers, and suppliers. Pursuant to these agreements, the Company may indemnify, hold harmless, and agree to reimburse the indemnified parties on a case by case basis for losses suffered or incurred by the indemnified parties in connection with any patent or other intellectual property infringement claim by any third-party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March 29, 2008, the Company had not accrued a liability for these indemnification provisions because the likelihood of incurring a payment obligation was remote.</w:t>
      </w:r>
    </w:p>
    <w:p>
      <w:pPr>
        <w:spacing w:after="0" w:line="133" w:lineRule="exact"/>
        <w:rPr>
          <w:sz w:val="20"/>
          <w:szCs w:val="20"/>
          <w:color w:val="auto"/>
        </w:rPr>
      </w:pPr>
    </w:p>
    <w:p>
      <w:pPr>
        <w:ind w:left="1000" w:hanging="313"/>
        <w:spacing w:after="0"/>
        <w:tabs>
          <w:tab w:leader="none" w:pos="100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Promissory Notes</w:t>
      </w:r>
    </w:p>
    <w:p>
      <w:pPr>
        <w:spacing w:after="0" w:line="100"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December 2003, the Company entered into a convertible note purchase agreement with the Biomedical Sciences Investment Fund Pte Ltd (BMSIF). BMSIF is wholly-owned by EDB Investments Pte. Ltd., whose parent entity is EDB. Ultimately, each of these entities is controlled by the government of Singapore. Under this agreement BMSIF agreed to provide a $2,000,000 credit facility to be used for general corporate purposes. In December 2003, the Company issued a $2,000,000 convertible promissory note to BMSIF. The note, which was unsecured, carried an interest rate of 8% per year. Per the agreement, principal and interest were convertible into the Company’s Series D convertible preferred stock at $2.80 per share at the lender’s election, at any time, or upon the election of the Company upon the achievement of certain milestones by the Company. In June 2005, the agreement was amended to allow the Company to issue additional convertible promissory notes in the amount of $3,000,000 if the Company achieved certain milestones. In December 2005, upon the successful completion of specified milestones, the $2,000,000 convertible promissory note and interest of $331,000 converted into 832,635 shares of Series D convertible preferred stock at $2.80 per share as settlement of the outstanding balance on the date of the conversion. In June 2006, the Company issued a $3,000,000 convertible promissory note, which was also unsecured, that carried an interest rate of 8% per year. Principal and interest are also convertible into the Company’s Series D convertible preferred stock at $2.80 per share at the lender’s election, at any time, or upon the election of the Company upon the achievement of certain milestones by the Company or upon the completion of an initial public offering in which the convertible preferred stock has converted into common stock. As of December 31, 2006, the outstanding principal and accrued interest balance for the convertible promissory note was $3,128,000. In July 2007, upon the successful completion of specified milestones, the principal balance in the amount of $3,000,000 for the convertible promissory note and accrued interest of $240,000 converted into 1,157,142 shares of Series D convertible preferred stock at $2.80 per share.</w:t>
      </w:r>
    </w:p>
    <w:p>
      <w:pPr>
        <w:spacing w:after="0" w:line="6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August 2006, the Company entered into another convertible note purchase agreement with BMSIF. Under this agreement, BMSIF agreed to provide a $15,000,000 credit facility, to be issued in three separate $5,000,000 tranches, and to be used for general corporate purposes. The Company issued two $5,000,000 convertible promissory notes against equal amounts of borrowings under this facility, each unsecured and carrying an interest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rate of 8% per year, in August and November 2006. In March 2007, BMSIF exercised the conversion provision of the convertible note purchase agreement and the Company issued 2,954,337 shares of Series E convertible preferred stock at $3.60 per share as settlement of the outstanding principal and accrued interest balance on the date of the conversion in the amount of $10,636,000. Upon conversion of these convertible promissory notes, the Company issued the third and final $5,000,000 convertible promissory note against an equal amount of borrowing under this facility with an interest rate of 8% per year in April 2007.</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For these convertible note purchase agreements in which the repayment was in the form of Series E convertible preferred stock, the conversion price of $3.60 per share was a discount to the estimated fair values of $3.71 and $4.00 per share for the Series E convertible preferred stock at the times of the borrowings. The intrinsic value of the embedded beneficial conversion option associated with each borrowing of convertible promissory notes under the arrangement was measured as the difference between the conversion price and the fair value of Series E convertible preferred stock on the commitment date and the resulting debt discount is being amortized to interest expense over the two year contractual term of the debt. Upon conversion of the notes to convertible preferred stock, any remaining unamortized debt discount was immediately recognized as interest expense.</w:t>
      </w:r>
    </w:p>
    <w:p>
      <w:pPr>
        <w:spacing w:after="0" w:line="5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During 2006 and 2007, the Company recognized debt discounts of $306,000 and $485,000, respectively, related to the beneficial conversion feature of the notes. Amortization of the debt discounts for the convertible note purchase agreements was recorded as interest expense in the consolidated statements of operations in the amount of $43,000, $468,000, $0 and $52,000 during 2006, 2007 and the three months ended March 31, 2007 and March 29, 2008, respectively.</w:t>
      </w:r>
    </w:p>
    <w:p>
      <w:pPr>
        <w:spacing w:after="0" w:line="67"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As of December 31, 2006, December 29, 2007 and March 29, 2008, the outstanding principal and accrued interest balance for the convertible note purchase agreements with BMSIF was $9,944,000, $4,997,000 and $5,150,000, respectively, net of the unamortized debt discounts of $263,000, $280,000 and $228,000, respectively.</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 Warrant Liabilities</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Company issued warrants to purchase 1,211,203 shares of the Company’s convertible preferred stock at various times between 2001 and 2005. The Company did not issue any warrants to purchase convertible preferred stock during 2006 or 2007. The convertible preferred stock warrants are generally exercisable immediately and can only be exercised for cash or net share settled. Changes in the fair value of the underlying stock do not affect the settlement amounts of the warrants, therefore, the maximum amount of shares to be issued upon the settlement of these warrants is noted in the table below. As of December 29, 2007, the following warrants were issued and outstanding:</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vMerge w:val="continue"/>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41,284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2.18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57"/>
        </w:trPr>
        <w:tc>
          <w:tcPr>
            <w:tcW w:w="2220" w:type="dxa"/>
            <w:vAlign w:val="bottom"/>
          </w:tcPr>
          <w:p>
            <w:pPr>
              <w:spacing w:after="0"/>
              <w:rPr>
                <w:sz w:val="20"/>
                <w:szCs w:val="20"/>
                <w:color w:val="auto"/>
              </w:rPr>
            </w:pPr>
            <w:r>
              <w:rPr>
                <w:rFonts w:ascii="Arial" w:cs="Arial" w:eastAsia="Arial" w:hAnsi="Arial"/>
                <w:sz w:val="13"/>
                <w:szCs w:val="13"/>
                <w:color w:val="auto"/>
              </w:rPr>
              <w:t>September 2003</w:t>
            </w:r>
          </w:p>
        </w:tc>
        <w:tc>
          <w:tcPr>
            <w:tcW w:w="1400" w:type="dxa"/>
            <w:vAlign w:val="bottom"/>
          </w:tcPr>
          <w:p>
            <w:pPr>
              <w:spacing w:after="0"/>
              <w:rPr>
                <w:sz w:val="20"/>
                <w:szCs w:val="20"/>
                <w:color w:val="auto"/>
              </w:rPr>
            </w:pPr>
            <w:r>
              <w:rPr>
                <w:rFonts w:ascii="Arial" w:cs="Arial" w:eastAsia="Arial" w:hAnsi="Arial"/>
                <w:sz w:val="13"/>
                <w:szCs w:val="13"/>
                <w:color w:val="auto"/>
                <w:w w:val="96"/>
              </w:rPr>
              <w:t>Collaboration agreement</w:t>
            </w:r>
          </w:p>
        </w:tc>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200,000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tcPr>
          <w:p>
            <w:pPr>
              <w:spacing w:after="0"/>
              <w:rPr>
                <w:sz w:val="20"/>
                <w:szCs w:val="20"/>
                <w:color w:val="auto"/>
              </w:rPr>
            </w:pPr>
            <w:r>
              <w:rPr>
                <w:rFonts w:ascii="Arial" w:cs="Arial" w:eastAsia="Arial" w:hAnsi="Arial"/>
                <w:sz w:val="13"/>
                <w:szCs w:val="13"/>
                <w:color w:val="auto"/>
              </w:rPr>
              <w:t>December 31, 2007</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2004</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37,500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698,720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-1459865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2007, warrants to purchase 5,076 shares of Series C convertible preferred stock expired. Upon expiration, the related warrant liability was eliminated and reflected as other income (expense), net. During 2006, warrants, issued in connection with a collaboration agreement (see Note 3), to purchase 507,407 shares of the Series D convertible preferred stock were exercised utilizing a cashless exercise option that allowed the holder to receive 267,857 shares of convertible preferred stock. The fair value of the warrants and the shares of convertible preferred stock issued upon the cashless exercise was $729,000 on the exercise date, calculated as the fair value of the shares of convertible preferred stock issued.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the following warrants were issued and outstanding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8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2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41,284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2.18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2004</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March 2005</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December 2005</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February 2008</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598,720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80" w:firstLine="399"/>
        <w:spacing w:after="0" w:line="371" w:lineRule="auto"/>
        <w:rPr>
          <w:sz w:val="20"/>
          <w:szCs w:val="20"/>
          <w:color w:val="auto"/>
        </w:rPr>
      </w:pPr>
      <w:r>
        <w:rPr>
          <w:rFonts w:ascii="Arial" w:cs="Arial" w:eastAsia="Arial" w:hAnsi="Arial"/>
          <w:sz w:val="11"/>
          <w:szCs w:val="11"/>
          <w:color w:val="auto"/>
        </w:rPr>
        <w:t>During the three months ended March 29, 2008, the Company issued a warrant to purchase 100,000 shares of Series E convertible preferred stock in connection with the amendment of a loan and security agreement (see Note 5). Warrants to purchase 200,000 shares of the Company’s Series C convertible preferred stock expired unexercised on December 31, 2007.</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following is a summary of the warrants to purchase convertible preferred stock outstanding and their fair values as of December 31, 2006, December 29, 2007 and March 29,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900" w:type="dxa"/>
            <w:vAlign w:val="bottom"/>
          </w:tcPr>
          <w:p>
            <w:pPr>
              <w:spacing w:after="0"/>
              <w:rPr>
                <w:sz w:val="20"/>
                <w:szCs w:val="20"/>
                <w:color w:val="auto"/>
              </w:rPr>
            </w:pPr>
            <w:r>
              <w:rPr>
                <w:rFonts w:ascii="Arial" w:cs="Arial" w:eastAsia="Arial" w:hAnsi="Arial"/>
                <w:sz w:val="9"/>
                <w:szCs w:val="9"/>
                <w:b w:val="1"/>
                <w:bCs w:val="1"/>
                <w:color w:val="auto"/>
              </w:rPr>
              <w:t>Outstanding</w:t>
            </w: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Shares as of</w:t>
            </w: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w w:val="96"/>
              </w:rPr>
              <w:t>Fair Value as of</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5"/>
        </w:trPr>
        <w:tc>
          <w:tcPr>
            <w:tcW w:w="680" w:type="dxa"/>
            <w:vAlign w:val="bottom"/>
          </w:tcPr>
          <w:p>
            <w:pPr>
              <w:spacing w:after="0"/>
              <w:rPr>
                <w:sz w:val="6"/>
                <w:szCs w:val="6"/>
                <w:color w:val="auto"/>
              </w:rPr>
            </w:pPr>
          </w:p>
        </w:tc>
        <w:tc>
          <w:tcPr>
            <w:tcW w:w="3900" w:type="dxa"/>
            <w:vAlign w:val="bottom"/>
          </w:tcPr>
          <w:p>
            <w:pPr>
              <w:spacing w:after="0" w:line="75" w:lineRule="exact"/>
              <w:rPr>
                <w:sz w:val="20"/>
                <w:szCs w:val="20"/>
                <w:color w:val="auto"/>
              </w:rPr>
            </w:pPr>
            <w:r>
              <w:rPr>
                <w:rFonts w:ascii="Arial" w:cs="Arial" w:eastAsia="Arial" w:hAnsi="Arial"/>
                <w:sz w:val="8"/>
                <w:szCs w:val="8"/>
                <w:b w:val="1"/>
                <w:bCs w:val="1"/>
                <w:color w:val="auto"/>
              </w:rPr>
              <w:t>Warrants to</w:t>
            </w:r>
          </w:p>
        </w:tc>
        <w:tc>
          <w:tcPr>
            <w:tcW w:w="900" w:type="dxa"/>
            <w:vAlign w:val="bottom"/>
            <w:gridSpan w:val="2"/>
          </w:tcPr>
          <w:p>
            <w:pPr>
              <w:jc w:val="center"/>
              <w:ind w:right="60"/>
              <w:spacing w:after="0" w:line="75" w:lineRule="exact"/>
              <w:rPr>
                <w:sz w:val="20"/>
                <w:szCs w:val="20"/>
                <w:color w:val="auto"/>
              </w:rPr>
            </w:pPr>
            <w:r>
              <w:rPr>
                <w:rFonts w:ascii="Arial" w:cs="Arial" w:eastAsia="Arial" w:hAnsi="Arial"/>
                <w:sz w:val="8"/>
                <w:szCs w:val="8"/>
                <w:b w:val="1"/>
                <w:bCs w:val="1"/>
                <w:color w:val="auto"/>
                <w:w w:val="99"/>
              </w:rPr>
              <w:t>December 31,</w:t>
            </w:r>
          </w:p>
        </w:tc>
        <w:tc>
          <w:tcPr>
            <w:tcW w:w="240" w:type="dxa"/>
            <w:vAlign w:val="bottom"/>
          </w:tcPr>
          <w:p>
            <w:pPr>
              <w:spacing w:after="0"/>
              <w:rPr>
                <w:sz w:val="6"/>
                <w:szCs w:val="6"/>
                <w:color w:val="auto"/>
              </w:rPr>
            </w:pPr>
          </w:p>
        </w:tc>
        <w:tc>
          <w:tcPr>
            <w:tcW w:w="1100" w:type="dxa"/>
            <w:vAlign w:val="bottom"/>
            <w:gridSpan w:val="2"/>
          </w:tcPr>
          <w:p>
            <w:pPr>
              <w:ind w:left="140"/>
              <w:spacing w:after="0" w:line="75" w:lineRule="exact"/>
              <w:rPr>
                <w:sz w:val="20"/>
                <w:szCs w:val="20"/>
                <w:color w:val="auto"/>
              </w:rPr>
            </w:pPr>
            <w:r>
              <w:rPr>
                <w:rFonts w:ascii="Arial" w:cs="Arial" w:eastAsia="Arial" w:hAnsi="Arial"/>
                <w:sz w:val="8"/>
                <w:szCs w:val="8"/>
                <w:b w:val="1"/>
                <w:bCs w:val="1"/>
                <w:color w:val="auto"/>
              </w:rPr>
              <w:t>December 29,</w:t>
            </w:r>
          </w:p>
        </w:tc>
        <w:tc>
          <w:tcPr>
            <w:tcW w:w="5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March 29,</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ind w:left="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Pr>
          <w:p>
            <w:pPr>
              <w:spacing w:after="0"/>
              <w:rPr>
                <w:sz w:val="6"/>
                <w:szCs w:val="6"/>
                <w:color w:val="auto"/>
              </w:rPr>
            </w:pPr>
          </w:p>
        </w:tc>
        <w:tc>
          <w:tcPr>
            <w:tcW w:w="1000" w:type="dxa"/>
            <w:vAlign w:val="bottom"/>
            <w:gridSpan w:val="2"/>
          </w:tcPr>
          <w:p>
            <w:pPr>
              <w:jc w:val="right"/>
              <w:ind w:right="420"/>
              <w:spacing w:after="0" w:line="75" w:lineRule="exact"/>
              <w:rPr>
                <w:sz w:val="20"/>
                <w:szCs w:val="20"/>
                <w:color w:val="auto"/>
              </w:rPr>
            </w:pPr>
            <w:r>
              <w:rPr>
                <w:rFonts w:ascii="Arial" w:cs="Arial" w:eastAsia="Arial" w:hAnsi="Arial"/>
                <w:sz w:val="8"/>
                <w:szCs w:val="8"/>
                <w:b w:val="1"/>
                <w:bCs w:val="1"/>
                <w:color w:val="auto"/>
              </w:rPr>
              <w:t>December 29,</w:t>
            </w:r>
          </w:p>
        </w:tc>
        <w:tc>
          <w:tcPr>
            <w:tcW w:w="80" w:type="dxa"/>
            <w:vAlign w:val="bottom"/>
          </w:tcPr>
          <w:p>
            <w:pPr>
              <w:spacing w:after="0"/>
              <w:rPr>
                <w:sz w:val="6"/>
                <w:szCs w:val="6"/>
                <w:color w:val="auto"/>
              </w:rPr>
            </w:pPr>
          </w:p>
        </w:tc>
        <w:tc>
          <w:tcPr>
            <w:tcW w:w="60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21"/>
        </w:trPr>
        <w:tc>
          <w:tcPr>
            <w:tcW w:w="680" w:type="dxa"/>
            <w:vAlign w:val="bottom"/>
          </w:tcPr>
          <w:p>
            <w:pPr>
              <w:spacing w:after="0"/>
              <w:rPr>
                <w:sz w:val="10"/>
                <w:szCs w:val="10"/>
                <w:color w:val="auto"/>
              </w:rPr>
            </w:pPr>
          </w:p>
        </w:tc>
        <w:tc>
          <w:tcPr>
            <w:tcW w:w="3900" w:type="dxa"/>
            <w:vAlign w:val="bottom"/>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urchase</w:t>
            </w:r>
          </w:p>
        </w:tc>
        <w:tc>
          <w:tcPr>
            <w:tcW w:w="820" w:type="dxa"/>
            <w:vAlign w:val="bottom"/>
          </w:tcPr>
          <w:p>
            <w:pPr>
              <w:jc w:val="right"/>
              <w:ind w:right="242"/>
              <w:spacing w:after="0"/>
              <w:rPr>
                <w:sz w:val="20"/>
                <w:szCs w:val="20"/>
                <w:color w:val="auto"/>
              </w:rPr>
            </w:pPr>
            <w:r>
              <w:rPr>
                <w:rFonts w:ascii="Arial" w:cs="Arial" w:eastAsia="Arial" w:hAnsi="Arial"/>
                <w:sz w:val="9"/>
                <w:szCs w:val="9"/>
                <w:b w:val="1"/>
                <w:bCs w:val="1"/>
                <w:color w:val="auto"/>
              </w:rPr>
              <w:t>2006</w:t>
            </w:r>
          </w:p>
        </w:tc>
        <w:tc>
          <w:tcPr>
            <w:tcW w:w="80" w:type="dxa"/>
            <w:vAlign w:val="bottom"/>
          </w:tcPr>
          <w:p>
            <w:pPr>
              <w:spacing w:after="0"/>
              <w:rPr>
                <w:sz w:val="10"/>
                <w:szCs w:val="10"/>
                <w:color w:val="auto"/>
              </w:rPr>
            </w:pPr>
          </w:p>
        </w:tc>
        <w:tc>
          <w:tcPr>
            <w:tcW w:w="1040" w:type="dxa"/>
            <w:vAlign w:val="bottom"/>
            <w:gridSpan w:val="2"/>
          </w:tcPr>
          <w:p>
            <w:pPr>
              <w:jc w:val="right"/>
              <w:ind w:right="250"/>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89"/>
              </w:rPr>
              <w:t>2008</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62"/>
              <w:spacing w:after="0"/>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42"/>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80"/>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7"/>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5"/>
              </w:rPr>
              <w:t>(Unaudited)</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294,868</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289,792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89,792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101,000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Series D</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408,928</w:t>
            </w:r>
          </w:p>
        </w:tc>
        <w:tc>
          <w:tcPr>
            <w:tcW w:w="1340" w:type="dxa"/>
            <w:vAlign w:val="bottom"/>
            <w:gridSpan w:val="3"/>
          </w:tcPr>
          <w:p>
            <w:pPr>
              <w:jc w:val="right"/>
              <w:ind w:right="300"/>
              <w:spacing w:after="0"/>
              <w:rPr>
                <w:sz w:val="20"/>
                <w:szCs w:val="20"/>
                <w:color w:val="auto"/>
              </w:rPr>
            </w:pPr>
            <w:r>
              <w:rPr>
                <w:rFonts w:ascii="Arial" w:cs="Arial" w:eastAsia="Arial" w:hAnsi="Arial"/>
                <w:sz w:val="13"/>
                <w:szCs w:val="13"/>
                <w:color w:val="auto"/>
              </w:rPr>
              <w:t>408,928</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408,928</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194,000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407,000</w:t>
            </w:r>
          </w:p>
        </w:tc>
        <w:tc>
          <w:tcPr>
            <w:tcW w:w="80" w:type="dxa"/>
            <w:vAlign w:val="bottom"/>
          </w:tcPr>
          <w:p>
            <w:pPr>
              <w:spacing w:after="0"/>
              <w:rPr>
                <w:sz w:val="13"/>
                <w:szCs w:val="13"/>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584,000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166,000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703,796</w:t>
            </w:r>
          </w:p>
        </w:tc>
        <w:tc>
          <w:tcPr>
            <w:tcW w:w="1340" w:type="dxa"/>
            <w:vAlign w:val="bottom"/>
            <w:gridSpan w:val="3"/>
          </w:tcPr>
          <w:p>
            <w:pPr>
              <w:jc w:val="right"/>
              <w:ind w:right="300"/>
              <w:spacing w:after="0"/>
              <w:rPr>
                <w:sz w:val="20"/>
                <w:szCs w:val="20"/>
                <w:color w:val="auto"/>
              </w:rPr>
            </w:pPr>
            <w:r>
              <w:rPr>
                <w:rFonts w:ascii="Arial" w:cs="Arial" w:eastAsia="Arial" w:hAnsi="Arial"/>
                <w:sz w:val="13"/>
                <w:szCs w:val="13"/>
                <w:color w:val="auto"/>
              </w:rPr>
              <w:t>698,720</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598,720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223,000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468,000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851,000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0"/>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3"/>
                <w:szCs w:val="13"/>
                <w:color w:val="auto"/>
              </w:rPr>
              <w:t>F-27</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fair values of the outstanding convertible preferred stock warrants were measured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9"/>
              </w:rPr>
              <w:t>2006</w:t>
            </w:r>
          </w:p>
        </w:tc>
        <w:tc>
          <w:tcPr>
            <w:tcW w:w="140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2007</w:t>
            </w:r>
          </w:p>
        </w:tc>
        <w:tc>
          <w:tcPr>
            <w:tcW w:w="11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2008</w:t>
            </w:r>
          </w:p>
        </w:tc>
      </w:tr>
      <w:tr>
        <w:trPr>
          <w:trHeight w:val="131"/>
        </w:trPr>
        <w:tc>
          <w:tcPr>
            <w:tcW w:w="6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63.6%</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2"/>
              </w:rPr>
              <w:t>49.7%</w:t>
            </w:r>
          </w:p>
        </w:tc>
        <w:tc>
          <w:tcPr>
            <w:tcW w:w="11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50.0%</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 (equals the remaining contractual term)</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3.7 years</w:t>
            </w:r>
          </w:p>
        </w:tc>
        <w:tc>
          <w:tcPr>
            <w:tcW w:w="3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2.8 years</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4.3 years</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3.2%</w:t>
            </w:r>
          </w:p>
        </w:tc>
        <w:tc>
          <w:tcPr>
            <w:tcW w:w="11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2.2%</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1100" w:type="dxa"/>
            <w:vAlign w:val="bottom"/>
          </w:tcPr>
          <w:p>
            <w:pPr>
              <w:jc w:val="center"/>
              <w:spacing w:after="0"/>
              <w:rPr>
                <w:sz w:val="20"/>
                <w:szCs w:val="20"/>
                <w:color w:val="auto"/>
              </w:rPr>
            </w:pPr>
            <w:r>
              <w:rPr>
                <w:rFonts w:ascii="Arial" w:cs="Arial" w:eastAsia="Arial" w:hAnsi="Arial"/>
                <w:sz w:val="13"/>
                <w:szCs w:val="13"/>
                <w:color w:val="auto"/>
                <w:w w:val="84"/>
              </w:rPr>
              <w:t>0%</w:t>
            </w:r>
          </w:p>
        </w:tc>
        <w:tc>
          <w:tcPr>
            <w:tcW w:w="1400" w:type="dxa"/>
            <w:vAlign w:val="bottom"/>
            <w:gridSpan w:val="2"/>
          </w:tcPr>
          <w:p>
            <w:pPr>
              <w:jc w:val="center"/>
              <w:ind w:left="238"/>
              <w:spacing w:after="0"/>
              <w:rPr>
                <w:sz w:val="20"/>
                <w:szCs w:val="20"/>
                <w:color w:val="auto"/>
              </w:rPr>
            </w:pPr>
            <w:r>
              <w:rPr>
                <w:rFonts w:ascii="Arial" w:cs="Arial" w:eastAsia="Arial" w:hAnsi="Arial"/>
                <w:sz w:val="13"/>
                <w:szCs w:val="13"/>
                <w:color w:val="auto"/>
                <w:w w:val="95"/>
              </w:rPr>
              <w:t>0%</w:t>
            </w:r>
          </w:p>
        </w:tc>
        <w:tc>
          <w:tcPr>
            <w:tcW w:w="11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A decrease in fair value of the convertible preferred stock warrant liabilities in the amount of $72,000 and $16,000 during 2005 and the three months ended March 31, 2007, and increases in fair value in the amounts of $138,000, $245,000 and $272,000 during 2006, 2007 and the three months ended March 29, 2008, respectively, were recognized as other income (expense), net in the consolidated statements of operations. Upon adoption of FSP 150-5 on July 1, 2005, the Company recorded a gain of $637,000 as a cumulative effect of a change in accounting principle in the consolidated statement of operations during 2005.</w:t>
      </w:r>
    </w:p>
    <w:p>
      <w:pPr>
        <w:spacing w:after="0" w:line="144" w:lineRule="exact"/>
        <w:rPr>
          <w:sz w:val="20"/>
          <w:szCs w:val="20"/>
          <w:color w:val="auto"/>
        </w:rPr>
      </w:pPr>
    </w:p>
    <w:p>
      <w:pPr>
        <w:ind w:left="1000" w:hanging="313"/>
        <w:spacing w:after="0"/>
        <w:tabs>
          <w:tab w:leader="none" w:pos="100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(unaudited) convertible preferred stock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2006</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w w:val="97"/>
              </w:rPr>
              <w:t>December 29, 2007 and March 29, 2008</w:t>
            </w: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10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90"/>
              </w:rPr>
              <w:t>Net Proceeds</w:t>
            </w:r>
          </w:p>
        </w:tc>
        <w:tc>
          <w:tcPr>
            <w:tcW w:w="200" w:type="dxa"/>
            <w:vAlign w:val="bottom"/>
            <w:tcBorders>
              <w:right w:val="single" w:sz="8" w:color="auto"/>
            </w:tcBorders>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Net Proceeds</w:t>
            </w:r>
          </w:p>
        </w:tc>
        <w:tc>
          <w:tcPr>
            <w:tcW w:w="20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Liquidation</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Designated</w:t>
            </w:r>
          </w:p>
        </w:tc>
        <w:tc>
          <w:tcPr>
            <w:tcW w:w="2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96"/>
              </w:rPr>
              <w:t>Designated</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B</w:t>
            </w:r>
          </w:p>
        </w:tc>
        <w:tc>
          <w:tcPr>
            <w:tcW w:w="720" w:type="dxa"/>
            <w:vAlign w:val="bottom"/>
          </w:tcPr>
          <w:p>
            <w:pPr>
              <w:jc w:val="right"/>
              <w:spacing w:after="0"/>
              <w:rPr>
                <w:sz w:val="20"/>
                <w:szCs w:val="20"/>
                <w:color w:val="auto"/>
              </w:rPr>
            </w:pPr>
            <w:r>
              <w:rPr>
                <w:rFonts w:ascii="Arial" w:cs="Arial" w:eastAsia="Arial" w:hAnsi="Arial"/>
                <w:sz w:val="12"/>
                <w:szCs w:val="12"/>
                <w:color w:val="auto"/>
              </w:rPr>
              <w:t>6,461</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11,479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11,479</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11,500</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42,221</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D</w:t>
            </w:r>
          </w:p>
        </w:tc>
        <w:tc>
          <w:tcPr>
            <w:tcW w:w="720" w:type="dxa"/>
            <w:vAlign w:val="bottom"/>
          </w:tcPr>
          <w:p>
            <w:pPr>
              <w:jc w:val="right"/>
              <w:spacing w:after="0"/>
              <w:rPr>
                <w:sz w:val="20"/>
                <w:szCs w:val="20"/>
                <w:color w:val="auto"/>
              </w:rPr>
            </w:pPr>
            <w:r>
              <w:rPr>
                <w:rFonts w:ascii="Arial" w:cs="Arial" w:eastAsia="Arial" w:hAnsi="Arial"/>
                <w:sz w:val="12"/>
                <w:szCs w:val="12"/>
                <w:color w:val="auto"/>
              </w:rPr>
              <w:t>15,500</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12,196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33,794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15,500</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13,353</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37,034</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37,388</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22,003</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17,765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68,550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71,060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52,438</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43,284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112,295</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61,798</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56,671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162,082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165,169</w:t>
            </w: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The Company’s convertible preferred stock had been classified as temporary equity on the consolidated balance sheet instead of in stockholders’ equity (deficit) in accordance with EITF Abstracts Topic No. D-98, </w:t>
      </w:r>
      <w:r>
        <w:rPr>
          <w:rFonts w:ascii="Arial" w:cs="Arial" w:eastAsia="Arial" w:hAnsi="Arial"/>
          <w:sz w:val="13"/>
          <w:szCs w:val="13"/>
          <w:i w:val="1"/>
          <w:iCs w:val="1"/>
          <w:color w:val="auto"/>
        </w:rPr>
        <w:t>Classification and Measurement of Redeemable Securities</w:t>
      </w:r>
      <w:r>
        <w:rPr>
          <w:rFonts w:ascii="Arial" w:cs="Arial" w:eastAsia="Arial" w:hAnsi="Arial"/>
          <w:sz w:val="13"/>
          <w:szCs w:val="13"/>
          <w:color w:val="auto"/>
        </w:rPr>
        <w:t>. 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The Company has not adjusted the carrying values of the convertible preferred stock to their redemption values since it is uncertain whether or when a redemption event will occur. Subsequent adjustments to increase the carrying values to the redemption values would be made if it becomes probable that such redemption will occur. The significant rights, privileges, and preferences of the convertible preferred stock are as follows: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Each share of convertible preferred stock is convertible, at any time at the option of the holder, into common stock based upon a conversion rate of one share of common stock for each share of convertible preferred stock regardless of the series.</w:t>
      </w:r>
    </w:p>
    <w:p>
      <w:pPr>
        <w:spacing w:after="0" w:line="59"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Conversion is automatic upon: (i) the closing of an underwritten initial public offering of the Company’s common stock at an offering price of not less that $5.69 per share (appropriately adjusted for any stock splits, stock</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dividends, recapitalization, or similar events) and with aggregate gross proceeds of not less than $25,000,000, (ii) the closing of an underwritten initial public offering of the Company’s common stock at an offering price of less than $5.69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 convertible preferred stock voting separately is required for Series E convertible preferred stock to convert if such conversion is not in connection with the closing of an underwritten initial public offering of the Company’s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Holders of Series A, B, C, D, and E convertible preferred stock are entitled to noncumulative dividends of $0.11, $0.18, $0.26, $0.30, and $0.43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March 29,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Preferences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the event of a liquidation, dissolution, or winding up of the Company, holders of Series E convertible preferred stock shall be entitled to receive a liquidation preference of $4.00 per share, together with any declared but unpaid dividends, prior to any payment or distribution to holders of Series A, B, C, or D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E convertible preferred stock, holders of Series D convertible preferred stock shall be entitled to receive a liquidation preference of $2.80 per share, together with any declared but unpaid dividends, prior to any payment or distribution to holders of Series A, B, or C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D convertible preferred stock, holders of Series C convertible preferred stock shall be entitled to receive a liquidation preference of $2.58 per share, together with any declared but unpaid dividends, prior to any payment or distribution to holders of Series A or B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C convertible preferred stock, holders of Series B convertible preferred stock shall be entitled to receive a liquidation preference of $1.78 per share, together with any declared but unpaid dividends, prior to any payment or distribution to holders of Series A convertible preferred stock or common stock.</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B convertible preferred stock, holders of Series A convertible preferred stock shall be entitled to receive a liquidation preference of $1.10 per share, together with any declared but unpaid dividends, prior to any payment or distribution to holders of common stock.</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After the payment to the holders of convertible preferred stock or their respective liquidation preferences, the entire remaining assets of the Company shall be distributed on a pro rata basis to the holders of common stock. A change of control or a sale, transfer, or lease of all or substantially all of the assets of the Company is considered to be a liquidation event.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Holders of convertible preferred stock are entitled to the number of votes they would have upon conversion of their convertible preferred stock into common stock on the applicable record date. So long as 2,000,000 shares of Series D convertible preferred stock remain outstanding, the holders of Series D convertible preferred stock are entitled to elect two members to the Company’s Board of Directors, and so long as 2,000,000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146"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Activity</w:t>
      </w:r>
    </w:p>
    <w:p>
      <w:pPr>
        <w:spacing w:after="0" w:line="9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1999 Stock Option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May 12, 1999, the Board of Directors adopted the 1999 Stock Option Plan (the Stock Plan) under which incentive stock options and nonstatutory stock options may be granted to employees, officers, and directors of, or consultants to, the Company.</w:t>
      </w:r>
    </w:p>
    <w:p>
      <w:pPr>
        <w:spacing w:after="0" w:line="59" w:lineRule="exact"/>
        <w:rPr>
          <w:sz w:val="20"/>
          <w:szCs w:val="20"/>
          <w:color w:val="auto"/>
        </w:rPr>
      </w:pPr>
    </w:p>
    <w:p>
      <w:pPr>
        <w:ind w:left="680" w:firstLine="399"/>
        <w:spacing w:after="0" w:line="265" w:lineRule="auto"/>
        <w:rPr>
          <w:sz w:val="20"/>
          <w:szCs w:val="20"/>
          <w:color w:val="auto"/>
        </w:rPr>
      </w:pPr>
      <w:r>
        <w:rPr>
          <w:rFonts w:ascii="Arial" w:cs="Arial" w:eastAsia="Arial" w:hAnsi="Arial"/>
          <w:sz w:val="12"/>
          <w:szCs w:val="12"/>
          <w:color w:val="auto"/>
        </w:rPr>
        <w:t xml:space="preserve">Options granted under the Stock Plan expire no later than ten years from the date of grant. The exercise price of each incentive stock option granted to an employee shall be at least 110% of the fair market value of the underlying common stock on the date of grant if, on the grant date, the employee owns stock representing more than 10% of the voting power of all classes of the Company’s capital stock; otherwise, the exercise price shall be at least 100% of the fair market value of the underlying common stock on the date of grant. The exercise price for each nonstatutory stock option granted to a service provider shall be at least 110% of the fair market value of the underlying common stock on the date of grant if, on the grant date, the service provider owns stock representing more than 10% of the voting power of all classes of the Company’s capital stock; otherwise, the exercise price shall be at least 85% of the fair market value of the underlying common stock on the date of grant. The fair market value of the underlying common stock shall be determined by the Board of Directors until such time as the Company’s common stock is listed on any established stock exchange or national market system. Options may be granted with different vesting terms from time to time, but the vesting terms may not exceed five years from the date of grant. Generally, outstanding options are immediately exercisable and vest at a rate of 25% on the first anniversary of the option grant date and </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48</w:t>
      </w:r>
      <w:r>
        <w:rPr>
          <w:rFonts w:ascii="Arial" w:cs="Arial" w:eastAsia="Arial" w:hAnsi="Arial"/>
          <w:sz w:val="12"/>
          <w:szCs w:val="12"/>
          <w:color w:val="auto"/>
        </w:rPr>
        <w:t xml:space="preserve"> of the total grant each month thereafter.</w:t>
      </w:r>
    </w:p>
    <w:p>
      <w:pPr>
        <w:spacing w:after="0" w:line="6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of December 29, 2007, the Stock Plan is the Company’s only stock-based compensation plan and a total of 12,800,000 shares of common stock have been authorized for issuance under the Stock Plan.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Stock Plan is as follows (in thousands, except per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89"/>
              </w:rPr>
              <w:t>Shares</w:t>
            </w: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 of</w:t>
            </w:r>
          </w:p>
        </w:tc>
        <w:tc>
          <w:tcPr>
            <w:tcW w:w="340" w:type="dxa"/>
            <w:vAlign w:val="bottom"/>
          </w:tcPr>
          <w:p>
            <w:pPr>
              <w:spacing w:after="0"/>
              <w:rPr>
                <w:sz w:val="7"/>
                <w:szCs w:val="7"/>
                <w:color w:val="auto"/>
              </w:rPr>
            </w:pPr>
          </w:p>
        </w:tc>
        <w:tc>
          <w:tcPr>
            <w:tcW w:w="114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Weighted-Average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Available for</w:t>
            </w: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4"/>
              </w:rPr>
              <w:t>Exercise Price per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Grant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0"/>
                <w:szCs w:val="10"/>
                <w:color w:val="auto"/>
              </w:rPr>
            </w:pPr>
          </w:p>
        </w:tc>
        <w:tc>
          <w:tcPr>
            <w:tcW w:w="1140" w:type="dxa"/>
            <w:vAlign w:val="bottom"/>
          </w:tcPr>
          <w:p>
            <w:pPr>
              <w:jc w:val="center"/>
              <w:ind w:left="189"/>
              <w:spacing w:after="0"/>
              <w:rPr>
                <w:sz w:val="20"/>
                <w:szCs w:val="20"/>
                <w:color w:val="auto"/>
              </w:rPr>
            </w:pPr>
            <w:r>
              <w:rPr>
                <w:rFonts w:ascii="Arial" w:cs="Arial" w:eastAsia="Arial" w:hAnsi="Arial"/>
                <w:sz w:val="10"/>
                <w:szCs w:val="10"/>
                <w:b w:val="1"/>
                <w:bCs w:val="1"/>
                <w:color w:val="auto"/>
                <w:w w:val="93"/>
              </w:rPr>
              <w:t>Share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3,858</w:t>
            </w:r>
          </w:p>
        </w:tc>
        <w:tc>
          <w:tcPr>
            <w:tcW w:w="1480" w:type="dxa"/>
            <w:vAlign w:val="bottom"/>
            <w:gridSpan w:val="2"/>
            <w:shd w:val="clear" w:color="auto" w:fill="CCEEFF"/>
          </w:tcPr>
          <w:p>
            <w:pPr>
              <w:jc w:val="right"/>
              <w:ind w:right="1029"/>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0.37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2,500</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2,559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0.31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2005</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0.45</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1,277</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6,094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1,216</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0.83</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(443)</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2006</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6,050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(2,042)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2,042</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1.53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tcPr>
          <w:p>
            <w:pPr>
              <w:jc w:val="right"/>
              <w:spacing w:after="0"/>
              <w:rPr>
                <w:sz w:val="20"/>
                <w:szCs w:val="20"/>
                <w:color w:val="auto"/>
              </w:rPr>
            </w:pPr>
            <w:r>
              <w:rPr>
                <w:rFonts w:ascii="Arial" w:cs="Arial" w:eastAsia="Arial" w:hAnsi="Arial"/>
                <w:sz w:val="13"/>
                <w:szCs w:val="13"/>
                <w:color w:val="auto"/>
              </w:rPr>
              <w:t>361</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(361)</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29,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7,467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0.79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granted (unaudited)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(724)</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724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 (unaudited)</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canceled (unaudited)</w:t>
            </w: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1.33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8,103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0.93</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Options exercised during 2005, 2006, 2007 and the three months ended March 29, 2008 exclude options that are exercised prior to vesting. These shares generally vest over a four-year period. Unvested shares, which amount to 65,000, 33,334 and 27,084 as of December 31, 2006, December 29, 2007 and March 29, 2008, respectively, are subject to a repurchase option held by the Company at the original exercise price and are not deemed to be issued for accounting purposes until those shares vest.</w:t>
      </w:r>
    </w:p>
    <w:p>
      <w:pPr>
        <w:spacing w:after="0" w:line="5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Effective January 1, 2006, the Company adopted the provisions of SFAS 123(R). The fair value of each new option awarded was estimated on the grant date using the Black-Scholes option-pricing model using the following weighted-average assumptions. No options were granted during the three months ended March 31, 2007.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520" w:type="dxa"/>
            <w:vAlign w:val="bottom"/>
            <w:gridSpan w:val="2"/>
            <w:vMerge w:val="restart"/>
          </w:tcPr>
          <w:p>
            <w:pPr>
              <w:jc w:val="center"/>
              <w:ind w:left="2677"/>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7"/>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 March 29,</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3520" w:type="dxa"/>
            <w:vAlign w:val="bottom"/>
            <w:gridSpan w:val="2"/>
            <w:shd w:val="clear" w:color="auto" w:fill="CCEEFF"/>
          </w:tcPr>
          <w:p>
            <w:pPr>
              <w:jc w:val="center"/>
              <w:ind w:left="2677"/>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63.0%</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Expected life</w:t>
            </w:r>
          </w:p>
        </w:tc>
        <w:tc>
          <w:tcPr>
            <w:tcW w:w="2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5.9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3520" w:type="dxa"/>
            <w:vAlign w:val="bottom"/>
            <w:gridSpan w:val="2"/>
            <w:shd w:val="clear" w:color="auto" w:fill="CCEEFF"/>
          </w:tcPr>
          <w:p>
            <w:pPr>
              <w:jc w:val="center"/>
              <w:ind w:left="2657"/>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4"/>
              </w:rPr>
              <w:t>4.4%</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7"/>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Dividend yield</w:t>
            </w:r>
          </w:p>
        </w:tc>
        <w:tc>
          <w:tcPr>
            <w:tcW w:w="3520" w:type="dxa"/>
            <w:vAlign w:val="bottom"/>
            <w:gridSpan w:val="2"/>
          </w:tcPr>
          <w:p>
            <w:pPr>
              <w:jc w:val="center"/>
              <w:ind w:left="2677"/>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17"/>
              <w:spacing w:after="0"/>
              <w:rPr>
                <w:sz w:val="20"/>
                <w:szCs w:val="20"/>
                <w:color w:val="auto"/>
              </w:rPr>
            </w:pPr>
            <w:r>
              <w:rPr>
                <w:rFonts w:ascii="Arial" w:cs="Arial" w:eastAsia="Arial" w:hAnsi="Arial"/>
                <w:sz w:val="13"/>
                <w:szCs w:val="13"/>
                <w:color w:val="auto"/>
                <w:w w:val="95"/>
              </w:rPr>
              <w:t>0%</w:t>
            </w:r>
          </w:p>
        </w:tc>
        <w:tc>
          <w:tcPr>
            <w:tcW w:w="16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3520" w:type="dxa"/>
            <w:vAlign w:val="bottom"/>
            <w:gridSpan w:val="2"/>
            <w:shd w:val="clear" w:color="auto" w:fill="CCEEFF"/>
          </w:tcPr>
          <w:p>
            <w:pPr>
              <w:jc w:val="center"/>
              <w:ind w:left="2677"/>
              <w:spacing w:after="0"/>
              <w:rPr>
                <w:sz w:val="20"/>
                <w:szCs w:val="20"/>
                <w:color w:val="auto"/>
              </w:rPr>
            </w:pPr>
            <w:r>
              <w:rPr>
                <w:rFonts w:ascii="Arial" w:cs="Arial" w:eastAsia="Arial" w:hAnsi="Arial"/>
                <w:sz w:val="13"/>
                <w:szCs w:val="13"/>
                <w:color w:val="auto"/>
                <w:w w:val="92"/>
              </w:rPr>
              <w:t>$0.55</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$0.92</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20" w:type="dxa"/>
            <w:vAlign w:val="bottom"/>
            <w:gridSpan w:val="2"/>
          </w:tcPr>
          <w:p>
            <w:pPr>
              <w:ind w:left="1200"/>
              <w:spacing w:after="0"/>
              <w:rPr>
                <w:sz w:val="20"/>
                <w:szCs w:val="20"/>
                <w:color w:val="auto"/>
              </w:rPr>
            </w:pPr>
            <w:r>
              <w:rPr>
                <w:rFonts w:ascii="Arial" w:cs="Arial" w:eastAsia="Arial" w:hAnsi="Arial"/>
                <w:sz w:val="13"/>
                <w:szCs w:val="13"/>
                <w:color w:val="auto"/>
              </w:rPr>
              <w:t>F-31</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2"/>
          <w:szCs w:val="12"/>
          <w:color w:val="auto"/>
        </w:rPr>
        <w:t xml:space="preserve">Expected volatility is derived from historical volatilities of several unrelated public companies within the biomedical instrument and system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as provided by the SEC Staff Accounting Bulletin No. 107, </w:t>
      </w:r>
      <w:r>
        <w:rPr>
          <w:rFonts w:ascii="Arial" w:cs="Arial" w:eastAsia="Arial" w:hAnsi="Arial"/>
          <w:sz w:val="12"/>
          <w:szCs w:val="12"/>
          <w:i w:val="1"/>
          <w:iCs w:val="1"/>
          <w:color w:val="auto"/>
        </w:rPr>
        <w:t>Share 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Payment </w:t>
      </w:r>
      <w:r>
        <w:rPr>
          <w:rFonts w:ascii="Arial" w:cs="Arial" w:eastAsia="Arial" w:hAnsi="Arial"/>
          <w:sz w:val="12"/>
          <w:szCs w:val="12"/>
          <w:color w:val="auto"/>
        </w:rPr>
        <w:t>(SAB 107). The “simplified” method is calculated as the average of the time-to-vesting and the contractual life of the options. The Company estimates its forfeiture rate based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its actual forfeitures and will continue to evaluate the 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 Adjustments to the forfeiture rates have not had a significant impact on any of the periods presented. Each of these inputs is subjective and generally requires significant judgment to determine.</w:t>
      </w:r>
    </w:p>
    <w:p>
      <w:pPr>
        <w:spacing w:after="0" w:line="6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The absence of an active market for the Company’s common stock required the Company’s Board of Directors, with input from management, to estimate the fair value of the common stock for purposes of granting options and for determining stock-based compensation expense for the periods presented. In response to these requirements, the Company’s Board of Directors estimated the fair value of the common stock at each meeting at which options were granted based on factors such as the price of the most recent convertible preferred stock sales to investors, the preferences held by the convertible preferred stock classes in favor of common stock, the valuations of comparable companies, the hiring of key personnel, the status of the Company’s development and sales efforts, revenue growth and additional objective, and subjective factors relating to the Company’s business. The Company has historically granted stock options at not less than the fair value of the underlying common stock as determined at the time of grant by the Company’s Board of Directors.</w:t>
      </w:r>
    </w:p>
    <w:p>
      <w:pPr>
        <w:spacing w:after="0" w:line="59"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Information regarding the Company’s stock option grants during 2007 and the three months ended March 29, 2008, including the grant date; the number of stock options issued with each grant; and the exercise price, which equals the grant date fair value of the underlying common stock for each grant of stock options, is summarized as follows (in thousands,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450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101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February 7, 2008 (unaudited)</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724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0" w:type="dxa"/>
            <w:vAlign w:val="bottom"/>
            <w:gridSpan w:val="3"/>
          </w:tcPr>
          <w:p>
            <w:pPr>
              <w:jc w:val="right"/>
              <w:ind w:right="3680"/>
              <w:spacing w:after="0"/>
              <w:rPr>
                <w:sz w:val="20"/>
                <w:szCs w:val="20"/>
                <w:color w:val="auto"/>
              </w:rPr>
            </w:pPr>
            <w:r>
              <w:rPr>
                <w:rFonts w:ascii="Arial" w:cs="Arial" w:eastAsia="Arial" w:hAnsi="Arial"/>
                <w:sz w:val="13"/>
                <w:szCs w:val="13"/>
                <w:color w:val="auto"/>
              </w:rPr>
              <w:t>F-32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Company’s stock options outstanding and exercisable as of December 29, 2007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1,719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2,296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2,057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1,587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Options exercisable as of December 29, 2007 had a weighted-average remaining contractual life of 7.4 years, a weighted-average exercise price per share of $0.74, and an aggregate intrinsic value of $3,662,000.</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Additional information regarding the Company’s stock options outstanding and exercisable as of March 29, 2008 is summarized in the following table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1,628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2,271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2,062</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1,565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1,152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8,103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7,259</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Options exercisable as of March 29, 2008 had a weighted-average remaining contractual life of 7.4 years, a weighted-average exercise price per share of $0.91, and an aggregate intrinsic value of $16,565,000.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December 29, 2007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4,307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3,049</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1.16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7,356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11,878</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underlying options and the fair value of the Company’s common stock in the amount of $2.40 per share as of December 29, 2007.</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March 29, 2008 are summarized as follows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0.57</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3,388</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1.43</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7,986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0.93</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11,695</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options and the fair value of the Company’s common stock in the amount of $3.19 per share as of March 29, 2008.</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2006, 2007 and the three months ended March 29, 2008 was $167,000, $259,000 and $39,000, respectively.</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There were no stock-based compensation tax benefits during 2005, 2006, 2007 or the three months ended March 29, 2008. Capitalized stock-based compensation costs were insignificant during 2005, 2006, 2007 and the three months ended March 29, 2008.</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recognized stock-based compensation expense of $5,000, $145,000, $708,000, $122,000 and $218,000 during 2005, 2006, 2007 and the three months ended March 31, 2007 and March 29, 2008. Included in these amounts was employee stock-based compensation expense of $0, $86,000, $526,000, $64,000 and $168,000 and nonemployee stock-based compensation expense of $5,000, $59,000, $182,000, $58,000 and $50,000 during 2005, 2006, 2007 and the three months ended March 31, 2007 and March 29, 2008, respectively. As of December 29, 2007 and March 29, 2008, there was $1,698,000 and $2,474,000 of total unrecognized compensation costs related to stock-based compensation arrangements granted under the Stock Plan, which is expected to be recognized over an average period of 2.9 and 2.6 years, respectively.</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Granted to Nonemployees</w:t>
      </w:r>
    </w:p>
    <w:p>
      <w:pPr>
        <w:spacing w:after="0" w:line="100"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The Company accounts for options granted to nonemployees under the fair value method in accordance with SFAS 123(R) and EITF 96-18. The fair value of these options was estimated using the Black-Scholes option-pricing model with the following assumptions for 2005, 2006 and 2007 and the three months ended March 31, 2007 and March 29, 2008: risk-free interest rates of 3.5% to 5.0%, dividend yield of 0%, expected volatility of 54.7% to 82.9%, and an expected life of the options equal to the remaining contractual terms of one to ten years. In accordance with EITF 96-18, options granted to nonemployees are remeasured at each accounting period-end until the award is vested.</w:t>
      </w:r>
    </w:p>
    <w:p>
      <w:pPr>
        <w:spacing w:after="0" w:line="53" w:lineRule="exact"/>
        <w:rPr>
          <w:sz w:val="20"/>
          <w:szCs w:val="20"/>
          <w:color w:val="auto"/>
        </w:rPr>
      </w:pPr>
    </w:p>
    <w:p>
      <w:pPr>
        <w:ind w:left="680" w:right="920" w:firstLine="399"/>
        <w:spacing w:after="0" w:line="334" w:lineRule="auto"/>
        <w:rPr>
          <w:sz w:val="20"/>
          <w:szCs w:val="20"/>
          <w:color w:val="auto"/>
        </w:rPr>
      </w:pPr>
      <w:r>
        <w:rPr>
          <w:rFonts w:ascii="Arial" w:cs="Arial" w:eastAsia="Arial" w:hAnsi="Arial"/>
          <w:sz w:val="11"/>
          <w:szCs w:val="11"/>
          <w:color w:val="auto"/>
        </w:rPr>
        <w:t>The Company granted options to nonemployees to purchase 17,050, 88,250 and 236,000 shares of common stock during 2005, 2006 and 2007, respectively. No such options were granted during the three months ended March 31, 2007 and March 29, 2008. As of December 29, 2007 and March 29, 2008, there were 127,085 and 112,453 shares, respectively, subject to unvested options held by nonemployees with a weighted-average exercise price of $1.63 and $2.12, respectively, and an average remaining vesting period of 2.7 years for both periods.</w:t>
      </w:r>
    </w:p>
    <w:p>
      <w:pPr>
        <w:spacing w:after="0" w:line="107"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Shares Reserved for Issuance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and March 29, 2008, the Company has reserved shares of common stock for future issuance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29,</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77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(unaudited)</w:t>
            </w:r>
          </w:p>
        </w:tc>
        <w:tc>
          <w:tcPr>
            <w:tcW w:w="100" w:type="dxa"/>
            <w:vAlign w:val="bottom"/>
          </w:tcPr>
          <w:p>
            <w:pPr>
              <w:spacing w:after="0"/>
              <w:rPr>
                <w:sz w:val="8"/>
                <w:szCs w:val="8"/>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8,103</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Options available for grant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1,197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outstanding convertible preferred stock</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56,671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Conversion of convertible preferred stock upon exercise of 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699</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65,913</w:t>
            </w:r>
          </w:p>
        </w:tc>
      </w:tr>
      <w:tr>
        <w:trPr>
          <w:trHeight w:val="29"/>
        </w:trPr>
        <w:tc>
          <w:tcPr>
            <w:tcW w:w="7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The above table does not include shares of common stock reserved for potential conversions of the convertible promissory notes (see Note 7) into shares of convertible preferred stock. The only outstanding convertible promissory note as of December 29, 2007 and March 29, 2008 was converted in April 2008, at which time the Company issued 1,503,945 shares of Series E convertible preferred stock.</w:t>
      </w:r>
    </w:p>
    <w:p>
      <w:pPr>
        <w:spacing w:after="0" w:line="142"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net loss before the provision for income taxes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(15,181)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(21,816)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International</w:t>
            </w: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(1,204)</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(1,737)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(2,079)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loss before provision for income taxes</w:t>
            </w:r>
          </w:p>
        </w:tc>
        <w:tc>
          <w:tcPr>
            <w:tcW w:w="34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(25,451)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40" w:type="dxa"/>
            <w:vAlign w:val="bottom"/>
          </w:tcPr>
          <w:p>
            <w:pPr>
              <w:ind w:left="1320"/>
              <w:spacing w:after="0"/>
              <w:rPr>
                <w:sz w:val="20"/>
                <w:szCs w:val="20"/>
                <w:color w:val="auto"/>
              </w:rPr>
            </w:pPr>
            <w:r>
              <w:rPr>
                <w:rFonts w:ascii="Arial" w:cs="Arial" w:eastAsia="Arial" w:hAnsi="Arial"/>
                <w:sz w:val="13"/>
                <w:szCs w:val="13"/>
                <w:color w:val="auto"/>
              </w:rPr>
              <w:t>F-35</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provision for income taxes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34"/>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provision</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Reconciliation of the benefits for income taxes at the statutory rate to the provision for income taxes is as follows:</w:t>
            </w: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2006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1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Tax benefit at federal statutory rate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77"/>
              </w:rPr>
              <w:t>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ind w:right="14"/>
              <w:spacing w:after="0"/>
              <w:rPr>
                <w:sz w:val="20"/>
                <w:szCs w:val="20"/>
                <w:color w:val="auto"/>
              </w:rPr>
            </w:pPr>
            <w:r>
              <w:rPr>
                <w:rFonts w:ascii="Arial" w:cs="Arial" w:eastAsia="Arial" w:hAnsi="Arial"/>
                <w:sz w:val="13"/>
                <w:szCs w:val="13"/>
                <w:color w:val="auto"/>
                <w:w w:val="88"/>
              </w:rPr>
              <w:t>(34.0)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56"/>
              <w:spacing w:after="0"/>
              <w:rPr>
                <w:sz w:val="20"/>
                <w:szCs w:val="20"/>
                <w:color w:val="auto"/>
              </w:rPr>
            </w:pPr>
            <w:r>
              <w:rPr>
                <w:rFonts w:ascii="Arial" w:cs="Arial" w:eastAsia="Arial" w:hAnsi="Arial"/>
                <w:sz w:val="13"/>
                <w:szCs w:val="13"/>
                <w:color w:val="auto"/>
                <w:w w:val="99"/>
              </w:rPr>
              <w:t>(34.0)</w:t>
            </w:r>
          </w:p>
        </w:tc>
        <w:tc>
          <w:tcPr>
            <w:tcW w:w="4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8"/>
              </w:rPr>
              <w:t>December 29,</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0"/>
                <w:szCs w:val="10"/>
                <w:b w:val="1"/>
                <w:bCs w:val="1"/>
                <w:color w:val="auto"/>
              </w:rPr>
              <w:t>2006</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866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37,557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47,467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43,177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(43,177)</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Recognition of deferred tax assets is appropriate when realization of these assets is more likely than not. The Company has incurred losses since its inception; accordingly, the net deferred tax assets have been fully offset by a valuation allowance. The valuation allowance increased by $5,954,000, $8,534,000 and $9,570,000 during 2005, 2006 and 2007, respectively.</w:t>
      </w:r>
    </w:p>
    <w:p>
      <w:pPr>
        <w:spacing w:after="0" w:line="1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As of December 29, 2007, the Company had net operating loss carryforwards for federal income tax purposes of $121,531,000 which expire in the years 2019 through 2026 and federal research and development tax credits of $2,749,000 which expire in the years 2008 through 2016. As of December 29, 2007, the Company had net operating</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loss carryforwards for state income tax purposes of $119,340,000 which expire in the years 2012 through 2016 and state research and development tax credits of $2,722,000 which do not expire. As of December 29, 2007, the Company had foreign net operating loss carryforwards of $4,768,000. A significant portion of the foreign net operating losses relate to activity in Singapore that has an indefinite carryforward period.</w:t>
      </w:r>
    </w:p>
    <w:p>
      <w:pPr>
        <w:spacing w:after="0" w:line="67" w:lineRule="exact"/>
        <w:rPr>
          <w:sz w:val="20"/>
          <w:szCs w:val="20"/>
          <w:color w:val="auto"/>
        </w:rPr>
      </w:pPr>
    </w:p>
    <w:p>
      <w:pPr>
        <w:ind w:left="680" w:right="280" w:firstLine="399"/>
        <w:spacing w:after="0" w:line="334" w:lineRule="auto"/>
        <w:rPr>
          <w:sz w:val="20"/>
          <w:szCs w:val="20"/>
          <w:color w:val="auto"/>
        </w:rPr>
      </w:pPr>
      <w:r>
        <w:rPr>
          <w:rFonts w:ascii="Arial" w:cs="Arial" w:eastAsia="Arial" w:hAnsi="Arial"/>
          <w:sz w:val="11"/>
          <w:szCs w:val="11"/>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at different dates or in addition to the dates preliminarily identified, the utilization of net operation loss and credit carryforwards could be significantly reduced.</w:t>
      </w:r>
    </w:p>
    <w:p>
      <w:pPr>
        <w:spacing w:after="0" w:line="3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has not provided for U.S. federal and state income taxes on all of the non U.S. subsidiaries’ undistributed earnings as of December 29, 2007, because such earnings are intended to be indefinitely reinvested under APB 23. Upon distribution of those earnings in the form of dividends or otherwise, the Company would be subject to applicable U.S. federal and state income taxes.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 Tax Positions</w:t>
      </w:r>
    </w:p>
    <w:p>
      <w:pPr>
        <w:spacing w:after="0" w:line="10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Effective January 1, 2007, the Company adopted the provisions of FIN 48. As a result,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during 2007 were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Increases in balances related to tax provisions taken during current periods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1,922</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Accrued interest and penalties related to unrecognized tax benefits are classified as income tax expense and were immaterial. As of December 29, 2007, unrecognized tax benefits of $162,000, if recognized, would affect the Company’s effective tax rate. The remaining unrecognized tax benefits were netted against deferred tax assets with a full valuation allowance, and if recognized, would not affect the Company’s effective tax rate. The Company does not anticipate that the amount of existing unrecognized tax benefits will significantly increase or decrease within the next 12 months. The Company files income tax returns in the United States, various states and certain foreign jurisdictions. The tax years 1999 through 2007 remain open in most jurisdictions.</w:t>
      </w:r>
    </w:p>
    <w:p>
      <w:pPr>
        <w:spacing w:after="0" w:line="146" w:lineRule="exact"/>
        <w:rPr>
          <w:sz w:val="20"/>
          <w:szCs w:val="20"/>
          <w:color w:val="auto"/>
        </w:rPr>
      </w:pPr>
    </w:p>
    <w:p>
      <w:pPr>
        <w:ind w:left="1180" w:hanging="493"/>
        <w:spacing w:after="0"/>
        <w:tabs>
          <w:tab w:leader="none" w:pos="118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a 401(k) plan that stipulates that eligible employees can elect to contribute to the plan, subject to certain limitations, up to the lesser of 60% of eligible compensation or the maximum amount allowed by the IRS on a pretax basis annually. The Company has not made contributions to this plan since its inception.</w:t>
      </w:r>
    </w:p>
    <w:p>
      <w:pPr>
        <w:spacing w:after="0" w:line="110" w:lineRule="exact"/>
        <w:rPr>
          <w:sz w:val="20"/>
          <w:szCs w:val="20"/>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discussed further in Note 7, the Company has entered into multiple Convertible Note Purchase Agreements with BMSIF pursuant to which the Company issued convertible notes and received proceeds in the amount of $20.0 million. Principal and interest on the notes is convertible into shares of Series E convertible preferred stock at the lender’s election, at any time, and automatically convert upon the achievement of certain targets or upon the completion of an initial public offering in which the convertible preferred stock has converted into common stock. Through March 29, 2008, $15.0 million of these notes had been converted to shares of Series E convertible preferred stock.</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BMSIF and its related companies held 7,505,022 shares of the Company’s common stock as of March 29, 2008, which constitutes 9.7% of the outstanding shares on a fully diluted basis. In addition, the Company’s manufacturing operations in Singapore, which commenced operations in October 2005, have been supported by grants from EDB which provide incentive payments for research, development and manufacturing activity in Singapore by the Company. These agreements are discussed further in Note 3.</w:t>
      </w:r>
    </w:p>
    <w:p>
      <w:pPr>
        <w:spacing w:after="0" w:line="50"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In January 2004, the Company loaned an officer of the Company $250,000 in connection with the purchase of a new home, which is secured by 833,334 shares of the Company’s common stock held by the officer. The loan carried an interest rate of 3.52% per annum. The outstanding balance of this loan, including accrued interest, was $277,000, $287,000 and $290,000 as of December 31, 2006, December 29, 2007 and March 29, 2008, respectively. On April 10, 2008, the principal amount of this note and all accrued interest was settled with 90,913 shares held by the officer at fair value of the common stock, which was determined by the Board of Directors to be $3.19 per share.</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Dr. Stephen Quake, who is a professor of bioengineering at Stanford University, is one of the Company’s founding stockholders and as such held 2,326,000 shares of common stock as of December 31, 2006, December 29, 2007 and March 29, 2008. In June 2006, the Company repurchased 124,000 shares of the Company’s common stock held by Dr. Quake for $0.56 per share.</w:t>
      </w:r>
    </w:p>
    <w:p>
      <w:pPr>
        <w:spacing w:after="0" w:line="67" w:lineRule="exact"/>
        <w:rPr>
          <w:sz w:val="20"/>
          <w:szCs w:val="20"/>
          <w:color w:val="auto"/>
        </w:rPr>
      </w:pPr>
    </w:p>
    <w:p>
      <w:pPr>
        <w:ind w:left="680" w:right="260" w:firstLine="399"/>
        <w:spacing w:after="0" w:line="257" w:lineRule="auto"/>
        <w:rPr>
          <w:sz w:val="20"/>
          <w:szCs w:val="20"/>
          <w:color w:val="auto"/>
        </w:rPr>
      </w:pPr>
      <w:r>
        <w:rPr>
          <w:rFonts w:ascii="Arial" w:cs="Arial" w:eastAsia="Arial" w:hAnsi="Arial"/>
          <w:sz w:val="13"/>
          <w:szCs w:val="13"/>
          <w:color w:val="auto"/>
        </w:rPr>
        <w:t>Dr. Quake also serves as a consultant to the Company and is a member of the Company’s Scientific Advisory Board. The Company paid consulting fees of $45,000, $97,000, $67,000, $25,000 and $50,000 to Dr. Quake during 2005, 2006, 2007 and the three months ended March 31, 2007 and March 29, 2008, respectively, and accrued amounts payable to Dr. Quake related to these payments were $0, $33,000 and $8,000 as of December 31, 2006, December 29, 2007 and March 29, 2008, respectively. The Company recognized $205,000, $241,000, $15,000, $0 and $19,000 in revenue related to products and services sold to Stanford University during 2005, 2006, 2007 and the three months ended March 31, 2007 and March 29, 2008, respectively, and had accounts receivable balances related to these sales of $0, $11,000 and $15,000 as of December 31, 2006, December 29, 2007 and March 29, 2008, respectively.</w:t>
      </w:r>
    </w:p>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Company’s general counsel was also a member of a law firm whose services are utilized by the Company. On April 1, 2008, the Company’s general counsel resigned his position from such law firm. Amounts paid to the law firm for services and direct patent fees were $880,000, $960,000, $576,000, $208,000 and $180,000 for 2005, 2006, 2007 and the three months ended March 31, 2007 and March 29, 2008, respectively, and accrued amounts payable to the law firm were $174,000, $257,000 and $175,000 as of December 31, 2006, December 29, 2007 and March 29, 2008, respectively.</w:t>
      </w:r>
    </w:p>
    <w:p>
      <w:pPr>
        <w:spacing w:after="0" w:line="144"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Information about Geographic Areas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establishes standards for reporting information about operating segments. Operating segments are defined as components of an enterprise about which separate financial information is available that is evaluated regularly by a company’s chief operating decision maker, or decision making group,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reporting segment and operating unit structure which is the development, manufacturing and commercialization of IFCs and complementary laboratory instruments.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by geography is based on the billing address of the customer. The following tables set forth revenue and long-lived assets by geographic area (in thousands):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7"/>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0"/>
                <w:szCs w:val="10"/>
                <w:b w:val="1"/>
                <w:bCs w:val="1"/>
                <w:color w:val="auto"/>
                <w:w w:val="98"/>
              </w:rPr>
              <w:t>2006</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vMerge w:val="restart"/>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right"/>
              <w:ind w:right="333"/>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3,807</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left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3,492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879</w:t>
            </w:r>
          </w:p>
        </w:tc>
        <w:tc>
          <w:tcPr>
            <w:tcW w:w="340" w:type="dxa"/>
            <w:vAlign w:val="bottom"/>
          </w:tcPr>
          <w:p>
            <w:pPr>
              <w:spacing w:after="0"/>
              <w:rPr>
                <w:sz w:val="13"/>
                <w:szCs w:val="13"/>
                <w:color w:val="auto"/>
              </w:rPr>
            </w:pPr>
          </w:p>
        </w:tc>
        <w:tc>
          <w:tcPr>
            <w:tcW w:w="540" w:type="dxa"/>
            <w:vAlign w:val="bottom"/>
            <w:gridSpan w:val="2"/>
          </w:tcPr>
          <w:p>
            <w:pPr>
              <w:jc w:val="right"/>
              <w:ind w:right="71"/>
              <w:spacing w:after="0"/>
              <w:rPr>
                <w:sz w:val="20"/>
                <w:szCs w:val="20"/>
                <w:color w:val="auto"/>
              </w:rPr>
            </w:pPr>
            <w:r>
              <w:rPr>
                <w:rFonts w:ascii="Arial" w:cs="Arial" w:eastAsia="Arial" w:hAnsi="Arial"/>
                <w:sz w:val="13"/>
                <w:szCs w:val="13"/>
                <w:color w:val="auto"/>
              </w:rPr>
              <w:t>1,972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233"/>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1,492</w:t>
            </w:r>
          </w:p>
        </w:tc>
        <w:tc>
          <w:tcPr>
            <w:tcW w:w="34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732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Europe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189</w:t>
            </w:r>
          </w:p>
        </w:tc>
        <w:tc>
          <w:tcPr>
            <w:tcW w:w="340" w:type="dxa"/>
            <w:vAlign w:val="bottom"/>
          </w:tcPr>
          <w:p>
            <w:pPr>
              <w:spacing w:after="0"/>
              <w:rPr>
                <w:sz w:val="13"/>
                <w:szCs w:val="13"/>
                <w:color w:val="auto"/>
              </w:rPr>
            </w:pPr>
          </w:p>
        </w:tc>
        <w:tc>
          <w:tcPr>
            <w:tcW w:w="540" w:type="dxa"/>
            <w:vAlign w:val="bottom"/>
            <w:gridSpan w:val="2"/>
          </w:tcPr>
          <w:p>
            <w:pPr>
              <w:jc w:val="right"/>
              <w:ind w:right="71"/>
              <w:spacing w:after="0"/>
              <w:rPr>
                <w:sz w:val="20"/>
                <w:szCs w:val="20"/>
                <w:color w:val="auto"/>
              </w:rPr>
            </w:pPr>
            <w:r>
              <w:rPr>
                <w:rFonts w:ascii="Arial" w:cs="Arial" w:eastAsia="Arial" w:hAnsi="Arial"/>
                <w:sz w:val="13"/>
                <w:szCs w:val="13"/>
                <w:color w:val="auto"/>
              </w:rPr>
              <w:t>735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233"/>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7,674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6,398</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71"/>
              <w:spacing w:after="0"/>
              <w:rPr>
                <w:sz w:val="20"/>
                <w:szCs w:val="20"/>
                <w:color w:val="auto"/>
              </w:rPr>
            </w:pPr>
            <w:r>
              <w:rPr>
                <w:rFonts w:ascii="Arial" w:cs="Arial" w:eastAsia="Arial" w:hAnsi="Arial"/>
                <w:sz w:val="13"/>
                <w:szCs w:val="13"/>
                <w:color w:val="auto"/>
              </w:rPr>
              <w:t>7,275</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33"/>
              <w:spacing w:after="0"/>
              <w:rPr>
                <w:sz w:val="20"/>
                <w:szCs w:val="20"/>
                <w:color w:val="auto"/>
              </w:rPr>
            </w:pPr>
            <w:r>
              <w:rPr>
                <w:rFonts w:ascii="Arial" w:cs="Arial" w:eastAsia="Arial" w:hAnsi="Arial"/>
                <w:sz w:val="13"/>
                <w:szCs w:val="13"/>
                <w:color w:val="auto"/>
              </w:rPr>
              <w:t>1,568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333"/>
        </w:trPr>
        <w:tc>
          <w:tcPr>
            <w:tcW w:w="540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ind w:right="54"/>
              <w:spacing w:after="0"/>
              <w:rPr>
                <w:sz w:val="20"/>
                <w:szCs w:val="20"/>
                <w:color w:val="auto"/>
              </w:rPr>
            </w:pPr>
            <w:r>
              <w:rPr>
                <w:rFonts w:ascii="Arial" w:cs="Arial" w:eastAsia="Arial" w:hAnsi="Arial"/>
                <w:sz w:val="10"/>
                <w:szCs w:val="10"/>
                <w:b w:val="1"/>
                <w:bCs w:val="1"/>
                <w:color w:val="auto"/>
                <w:w w:val="95"/>
              </w:rPr>
              <w:t>December 31,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5"/>
          </w:tcPr>
          <w:p>
            <w:pPr>
              <w:jc w:val="right"/>
              <w:ind w:right="533"/>
              <w:spacing w:after="0"/>
              <w:rPr>
                <w:sz w:val="20"/>
                <w:szCs w:val="20"/>
                <w:color w:val="auto"/>
              </w:rPr>
            </w:pPr>
            <w:r>
              <w:rPr>
                <w:rFonts w:ascii="Arial" w:cs="Arial" w:eastAsia="Arial" w:hAnsi="Arial"/>
                <w:sz w:val="10"/>
                <w:szCs w:val="10"/>
                <w:b w:val="1"/>
                <w:bCs w:val="1"/>
                <w:color w:val="auto"/>
                <w:w w:val="98"/>
              </w:rPr>
              <w:t>December 29,</w:t>
            </w:r>
          </w:p>
        </w:tc>
        <w:tc>
          <w:tcPr>
            <w:tcW w:w="120" w:type="dxa"/>
            <w:vAlign w:val="bottom"/>
          </w:tcPr>
          <w:p>
            <w:pPr>
              <w:spacing w:after="0"/>
              <w:rPr>
                <w:sz w:val="16"/>
                <w:szCs w:val="16"/>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3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38"/>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54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2,240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2,009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2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4,068</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April 2008, the Company’s Board of Directors approved the filing of a registration statement with the Securities and Exchange Commission for an initial public offering of the Company’s common stock.</w:t>
      </w:r>
    </w:p>
    <w:p>
      <w:pPr>
        <w:spacing w:after="0" w:line="59"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April 2008, BMSIF exercised the conversion provision for the third and final convertible promissory note and the Company issued 1,503,945 shares of Series E convertible preferred stock at $3.60 per share as settlement of the outstanding principal and accrued interest balance on the date of the conversion in the amount of $5,414,000.</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June 2008, the Company received a letter from a competitor asserting that the Company had infringed upon a patent currently held by the competitor. In response, the Company filed a countersuit against the competitor seeking declaratory judgments of non-infringement and invalidity of the patent.</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June 2008, the Company drew down the $10 million available under an existing loan and security agreement. In accordance with the terms of the agreement, the Company issued warrants to purchase 200,000 shares of Series E convertible preferred stock to the lender.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5127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512762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9" w:name="page170"/>
    <w:bookmarkEnd w:id="169"/>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0" w:name="page171"/>
    <w:bookmarkEnd w:id="17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3,390</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NASD filing fee</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9,125</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Printing and engraving</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Accounting fees and expenses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Transfer agent and registrar fees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gridSpan w:val="2"/>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400" w:type="dxa"/>
            <w:vAlign w:val="bottom"/>
            <w:gridSpan w:val="2"/>
          </w:tcPr>
          <w:p>
            <w:pPr>
              <w:ind w:left="220"/>
              <w:spacing w:after="0"/>
              <w:rPr>
                <w:sz w:val="20"/>
                <w:szCs w:val="20"/>
                <w:color w:val="auto"/>
              </w:rPr>
            </w:pPr>
            <w:r>
              <w:rPr>
                <w:rFonts w:ascii="Arial" w:cs="Arial" w:eastAsia="Arial" w:hAnsi="Arial"/>
                <w:sz w:val="13"/>
                <w:szCs w:val="13"/>
                <w:color w:val="auto"/>
              </w:rPr>
              <w:t>*  To be provided by amendment.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1280" w:right="200" w:hanging="190"/>
        <w:spacing w:after="0" w:line="260"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1080" w:right="40" w:firstLine="389"/>
        <w:spacing w:after="0" w:line="258" w:lineRule="auto"/>
        <w:tabs>
          <w:tab w:leader="none" w:pos="164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470,965 shares of its common stock upon the exercise of options issued to certain employees, directors and consultants under the registrant’s 1999 Stock Option Plan, as amended, at exercise prices ranging from $0.30 to $0.83, for aggregate consideration of $188,442. From July 18, 2007 through May 22, 2008, the registrant issued and sold an aggregate of 250,720 shares of its common stock upon the exercise of options issued to certain employees, directors and consultants under the registrant’s 1999 Stock Option Plan, as amended, at exercise prices ranging from $0.30 to $1.36 per share, for aggregate consideration of $123,346.</w:t>
      </w:r>
    </w:p>
    <w:p>
      <w:pPr>
        <w:spacing w:after="0" w:line="71" w:lineRule="exact"/>
        <w:rPr>
          <w:rFonts w:ascii="Arial" w:cs="Arial" w:eastAsia="Arial" w:hAnsi="Arial"/>
          <w:sz w:val="13"/>
          <w:szCs w:val="13"/>
          <w:color w:val="auto"/>
        </w:rPr>
      </w:pPr>
    </w:p>
    <w:p>
      <w:pPr>
        <w:ind w:left="1080" w:right="20" w:firstLine="389"/>
        <w:spacing w:after="0" w:line="289" w:lineRule="auto"/>
        <w:tabs>
          <w:tab w:leader="none" w:pos="1649" w:val="left"/>
        </w:tabs>
        <w:numPr>
          <w:ilvl w:val="0"/>
          <w:numId w:val="110"/>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3,986,044 shares of its common stock at exercise prices ranging from $0.30 to $1.36 per share. From July 18, 2007 through May 22, 2008, the registrant granted to certain of its employees, directors and consultants under the registrant’s 1999 Stock Option Plan, as amended, options to purchase an aggregate of 452,200 shares of the registrant’s common stock at exercise prices ranging from $1.38 to $2.40 per share.</w:t>
      </w:r>
    </w:p>
    <w:p>
      <w:pPr>
        <w:spacing w:after="0" w:line="52" w:lineRule="exact"/>
        <w:rPr>
          <w:rFonts w:ascii="Arial" w:cs="Arial" w:eastAsia="Arial" w:hAnsi="Arial"/>
          <w:sz w:val="12"/>
          <w:szCs w:val="12"/>
          <w:color w:val="auto"/>
        </w:rPr>
      </w:pPr>
    </w:p>
    <w:p>
      <w:pPr>
        <w:ind w:left="1080" w:right="80" w:firstLine="389"/>
        <w:spacing w:after="0" w:line="264" w:lineRule="auto"/>
        <w:tabs>
          <w:tab w:leader="none" w:pos="164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 March 2005, Fluidigm Corporation, a California corporation, pursuant to a loan and security agreement, issued and sold a warrant to purchase 371,428 shares of its Series D Preferred Stock to one accredited investor at an exercise price of $2.80 per share. In connection with the registrant’s reincorporation into the State of Delaware on July 18, 2007, the warrant was converted into a warrant to purchase an equal number of shares of the registrant’s Series D Preferred Stock.</w:t>
      </w:r>
    </w:p>
    <w:p>
      <w:pPr>
        <w:spacing w:after="0" w:line="66" w:lineRule="exact"/>
        <w:rPr>
          <w:rFonts w:ascii="Arial" w:cs="Arial" w:eastAsia="Arial" w:hAnsi="Arial"/>
          <w:sz w:val="13"/>
          <w:szCs w:val="13"/>
          <w:color w:val="auto"/>
        </w:rPr>
      </w:pPr>
    </w:p>
    <w:p>
      <w:pPr>
        <w:ind w:left="1080" w:right="100" w:firstLine="389"/>
        <w:spacing w:after="0" w:line="264" w:lineRule="auto"/>
        <w:tabs>
          <w:tab w:leader="none" w:pos="164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70,000 shares of its common stock to one accredited investor at an issuance price of $0.56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firstLine="389"/>
        <w:spacing w:after="0" w:line="276" w:lineRule="auto"/>
        <w:tabs>
          <w:tab w:leader="none" w:pos="164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832,635 shares of its Series D Preferred Stock to one accredited investor in connection with the conversion of a convertible promissory note at a conversion price per share of $2.80.</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1080" w:right="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1,157,142 shares of Series D Preferred Stock at a conversion price per share of $2.80.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40" w:firstLine="389"/>
        <w:spacing w:after="0" w:line="264" w:lineRule="auto"/>
        <w:tabs>
          <w:tab w:leader="none" w:pos="16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214,285 shares of its Series D Preferred Stock to one accredited investor at an issuance price of $2.80 per share, for aggregate monetary consideration of $599,998,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360" w:firstLine="389"/>
        <w:spacing w:after="0" w:line="276" w:lineRule="auto"/>
        <w:tabs>
          <w:tab w:leader="none" w:pos="16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267,858 shares of its Series D Preferred Stock to one accredited investor in connection with the exercise of a warrant to purchase shares of its Series D Preferred Stock at an exercise price per share of $2.80.</w:t>
      </w:r>
    </w:p>
    <w:p>
      <w:pPr>
        <w:spacing w:after="0" w:line="59" w:lineRule="exact"/>
        <w:rPr>
          <w:rFonts w:ascii="Arial" w:cs="Arial" w:eastAsia="Arial" w:hAnsi="Arial"/>
          <w:sz w:val="13"/>
          <w:szCs w:val="13"/>
          <w:color w:val="auto"/>
        </w:rPr>
      </w:pPr>
    </w:p>
    <w:p>
      <w:pPr>
        <w:ind w:left="1080" w:firstLine="389"/>
        <w:spacing w:after="0" w:line="289" w:lineRule="auto"/>
        <w:tabs>
          <w:tab w:leader="none" w:pos="16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2,954,337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left="1080" w:right="300" w:firstLine="389"/>
        <w:spacing w:after="0" w:line="264" w:lineRule="auto"/>
        <w:tabs>
          <w:tab w:leader="none" w:pos="16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March 2007, Fluidigm Corporation, a California corporation, issued 100,000 shares of its common stock to one accredited investor at an issuance price of $0.83 per share, for aggregate monetary consideration of $83,000,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767,000 shares of its common stock at an exercise price of $1.36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9,695,998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left="1080" w:right="220" w:firstLine="389"/>
        <w:spacing w:after="0" w:line="371" w:lineRule="auto"/>
        <w:tabs>
          <w:tab w:leader="none" w:pos="1685"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2,727,273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6,460,675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16,364,832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12,196,191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8,969,836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1640" w:hanging="171"/>
        <w:spacing w:after="0"/>
        <w:tabs>
          <w:tab w:leader="none" w:pos="16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8,794,945 shares of Series E Preferred Stock to a total of seven investors at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$4.00 per share, for aggregate proceeds of $35,179,780.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80" w:firstLine="389"/>
        <w:spacing w:after="0" w:line="320" w:lineRule="auto"/>
        <w:tabs>
          <w:tab w:leader="none" w:pos="1634"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December 2007, the registrant issued 6,000 shares of its common stock to one accredited investor at an issuance price of $1.36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1080" w:right="700" w:firstLine="389"/>
        <w:spacing w:after="0" w:line="276" w:lineRule="auto"/>
        <w:tabs>
          <w:tab w:leader="none" w:pos="16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100,000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80" w:firstLine="389"/>
        <w:spacing w:after="0" w:line="276" w:lineRule="auto"/>
        <w:tabs>
          <w:tab w:leader="none" w:pos="164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 February 2008, the registrant issued a warrant to purchase 100,000 shares of the registrant’s Series E Preferred Stock to one accredited investor at an exercise price of $4.00 per share.</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4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600,000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7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 April 2008, the registrant granted to six of its employees and directors under the registrant’s 1999 Stock Option Plan, as amended, options to purchase an aggregate of 1,090,000 shares of its common stock at an exercise price of $3.19 per share.</w:t>
      </w:r>
    </w:p>
    <w:p>
      <w:pPr>
        <w:spacing w:after="0" w:line="59" w:lineRule="exact"/>
        <w:rPr>
          <w:rFonts w:ascii="Arial" w:cs="Arial" w:eastAsia="Arial" w:hAnsi="Arial"/>
          <w:sz w:val="13"/>
          <w:szCs w:val="13"/>
          <w:color w:val="auto"/>
        </w:rPr>
      </w:pPr>
    </w:p>
    <w:p>
      <w:pPr>
        <w:ind w:left="1080" w:firstLine="389"/>
        <w:spacing w:after="0" w:line="276" w:lineRule="auto"/>
        <w:tabs>
          <w:tab w:leader="none" w:pos="164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On May 12, 2008, the registrant issued 16,422 shares of its Series C Preferred Stock to Imperial Bank pursuant to Imperial Bank’s net exercise of its warrant to purchase up to 41,284 shares of Series C Preferred Stock. The remainder of the warrant was cancelled pursuant to the terms of the net exercise.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1280" w:right="420" w:hanging="190"/>
        <w:spacing w:after="0" w:line="276" w:lineRule="auto"/>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1280" w:hanging="190"/>
        <w:spacing w:after="0" w:line="329" w:lineRule="auto"/>
        <w:tabs>
          <w:tab w:leader="none" w:pos="128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1280" w:right="140" w:hanging="190"/>
        <w:spacing w:after="0" w:line="258" w:lineRule="auto"/>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(x),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18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1760" w:type="dxa"/>
            <w:vAlign w:val="bottom"/>
          </w:tcPr>
          <w:p>
            <w:pPr>
              <w:spacing w:after="0"/>
              <w:rPr>
                <w:sz w:val="15"/>
                <w:szCs w:val="15"/>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w w:val="92"/>
              </w:rPr>
              <w:t>Form of Restated Certificate of Incorporation of the Registrant, to be in effect upon the completion of this offering.</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w w:val="99"/>
              </w:rPr>
              <w:t>Form of Amended and Restated Bylaws of the Registrant, to be in effect upon completion of this offering.</w:t>
            </w: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-628650</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3"/>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-3325495</wp:posOffset>
            </wp:positionV>
            <wp:extent cx="635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w w:val="90"/>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-1228090</wp:posOffset>
            </wp:positionV>
            <wp:extent cx="635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1280" w:hanging="194"/>
        <w:spacing w:after="0"/>
        <w:tabs>
          <w:tab w:leader="none" w:pos="1280" w:val="left"/>
        </w:tabs>
        <w:numPr>
          <w:ilvl w:val="1"/>
          <w:numId w:val="114"/>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1080" w:firstLine="389"/>
        <w:spacing w:after="0" w:line="264"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220" w:firstLine="389"/>
        <w:spacing w:after="0" w:line="276"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of 1933, each post effective amendment that contains a form of prospectus shall be deemed to be a new registration statement relating to</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securities offered therein, and the offering of such securities at that time shall be deemed to be the initial bona fide offering thereof.</w:t>
      </w:r>
    </w:p>
    <w:p>
      <w:pPr>
        <w:spacing w:after="0" w:line="96" w:lineRule="exact"/>
        <w:rPr>
          <w:sz w:val="20"/>
          <w:szCs w:val="20"/>
          <w:color w:val="auto"/>
        </w:rPr>
      </w:pPr>
    </w:p>
    <w:p>
      <w:pPr>
        <w:ind w:left="1080" w:firstLine="389"/>
        <w:spacing w:after="0" w:line="282" w:lineRule="auto"/>
        <w:tabs>
          <w:tab w:leader="none" w:pos="1649" w:val="left"/>
        </w:tabs>
        <w:numPr>
          <w:ilvl w:val="0"/>
          <w:numId w:val="116"/>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9" w:lineRule="exact"/>
        <w:rPr>
          <w:rFonts w:ascii="Arial" w:cs="Arial" w:eastAsia="Arial" w:hAnsi="Arial"/>
          <w:sz w:val="12"/>
          <w:szCs w:val="12"/>
          <w:color w:val="auto"/>
        </w:rPr>
      </w:pPr>
    </w:p>
    <w:p>
      <w:pPr>
        <w:ind w:left="1080" w:right="40" w:firstLine="389"/>
        <w:spacing w:after="0" w:line="260" w:lineRule="auto"/>
        <w:tabs>
          <w:tab w:leader="none" w:pos="164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116"/>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116"/>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3 to the registration statement to be signed on its behalf by the undersigned, thereunto duly authorized, in the City of South San Francisco, State of California, on the 7th day of July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3 to the registration statement has been signed by the following persons in the capacities indicated on the 7th day of July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3800" w:type="dxa"/>
            <w:vAlign w:val="bottom"/>
          </w:tcPr>
          <w:p>
            <w:pPr>
              <w:ind w:left="1480"/>
              <w:spacing w:after="0"/>
              <w:rPr>
                <w:sz w:val="20"/>
                <w:szCs w:val="20"/>
                <w:color w:val="auto"/>
              </w:rPr>
            </w:pPr>
            <w:r>
              <w:rPr>
                <w:rFonts w:ascii="Arial" w:cs="Arial" w:eastAsia="Arial" w:hAnsi="Arial"/>
                <w:sz w:val="13"/>
                <w:szCs w:val="13"/>
                <w:b w:val="1"/>
                <w:bCs w:val="1"/>
                <w:color w:val="auto"/>
              </w:rPr>
              <w:t>Signature</w:t>
            </w:r>
          </w:p>
        </w:tc>
        <w:tc>
          <w:tcPr>
            <w:tcW w:w="4260" w:type="dxa"/>
            <w:vAlign w:val="bottom"/>
          </w:tcPr>
          <w:p>
            <w:pPr>
              <w:ind w:left="2160"/>
              <w:spacing w:after="0"/>
              <w:rPr>
                <w:sz w:val="20"/>
                <w:szCs w:val="20"/>
                <w:color w:val="auto"/>
              </w:rPr>
            </w:pPr>
            <w:r>
              <w:rPr>
                <w:rFonts w:ascii="Arial" w:cs="Arial" w:eastAsia="Arial" w:hAnsi="Arial"/>
                <w:sz w:val="13"/>
                <w:szCs w:val="13"/>
                <w:b w:val="1"/>
                <w:bCs w:val="1"/>
                <w:color w:val="auto"/>
              </w:rPr>
              <w:t>Title</w:t>
            </w:r>
          </w:p>
        </w:tc>
        <w:tc>
          <w:tcPr>
            <w:tcW w:w="940" w:type="dxa"/>
            <w:vAlign w:val="bottom"/>
          </w:tcPr>
          <w:p>
            <w:pPr>
              <w:ind w:left="600"/>
              <w:spacing w:after="0"/>
              <w:rPr>
                <w:sz w:val="20"/>
                <w:szCs w:val="20"/>
                <w:color w:val="auto"/>
              </w:rPr>
            </w:pPr>
            <w:r>
              <w:rPr>
                <w:rFonts w:ascii="Arial" w:cs="Arial" w:eastAsia="Arial" w:hAnsi="Arial"/>
                <w:sz w:val="13"/>
                <w:szCs w:val="13"/>
                <w:b w:val="1"/>
                <w:bCs w:val="1"/>
                <w:color w:val="auto"/>
              </w:rPr>
              <w:t>Date</w:t>
            </w:r>
          </w:p>
        </w:tc>
      </w:tr>
      <w:tr>
        <w:trPr>
          <w:trHeight w:val="334"/>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3"/>
              </w:rPr>
              <w:t>President, Chief Executive Officer and Director (Principal Executive</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6"/>
        </w:trPr>
        <w:tc>
          <w:tcPr>
            <w:tcW w:w="4620" w:type="dxa"/>
            <w:vAlign w:val="bottom"/>
            <w:gridSpan w:val="2"/>
          </w:tcPr>
          <w:p>
            <w:pPr>
              <w:spacing w:after="0"/>
              <w:rPr>
                <w:sz w:val="20"/>
                <w:szCs w:val="20"/>
                <w:color w:val="auto"/>
              </w:rPr>
            </w:pPr>
            <w:r>
              <w:rPr>
                <w:rFonts w:ascii="Arial" w:cs="Arial" w:eastAsia="Arial" w:hAnsi="Arial"/>
                <w:sz w:val="13"/>
                <w:szCs w:val="13"/>
                <w:color w:val="auto"/>
              </w:rPr>
              <w:t>Gajus V. Worthington</w:t>
            </w:r>
          </w:p>
        </w:tc>
        <w:tc>
          <w:tcPr>
            <w:tcW w:w="426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8"/>
              </w:rPr>
              <w:t>Officer)</w:t>
            </w: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4"/>
              </w:rPr>
              <w:t>Chief Financial Officer (Principal Accounting and Financial Officer)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820" w:type="dxa"/>
            <w:vAlign w:val="bottom"/>
          </w:tcPr>
          <w:p>
            <w:pPr>
              <w:spacing w:after="0"/>
              <w:rPr>
                <w:sz w:val="20"/>
                <w:szCs w:val="20"/>
                <w:color w:val="auto"/>
              </w:rPr>
            </w:pPr>
            <w:r>
              <w:rPr>
                <w:rFonts w:ascii="Arial" w:cs="Arial" w:eastAsia="Arial" w:hAnsi="Arial"/>
                <w:sz w:val="13"/>
                <w:szCs w:val="13"/>
                <w:color w:val="auto"/>
              </w:rPr>
              <w:t>Vikram Jog</w:t>
            </w:r>
          </w:p>
        </w:tc>
        <w:tc>
          <w:tcPr>
            <w:tcW w:w="3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820" w:type="dxa"/>
            <w:vAlign w:val="bottom"/>
          </w:tcPr>
          <w:p>
            <w:pPr>
              <w:spacing w:after="0"/>
              <w:rPr>
                <w:sz w:val="20"/>
                <w:szCs w:val="20"/>
                <w:color w:val="auto"/>
              </w:rPr>
            </w:pPr>
            <w:r>
              <w:rPr>
                <w:rFonts w:ascii="Arial" w:cs="Arial" w:eastAsia="Arial" w:hAnsi="Arial"/>
                <w:sz w:val="13"/>
                <w:szCs w:val="13"/>
                <w:color w:val="auto"/>
                <w:w w:val="91"/>
              </w:rPr>
              <w:t>Samuel Colella</w:t>
            </w:r>
          </w:p>
        </w:tc>
        <w:tc>
          <w:tcPr>
            <w:tcW w:w="3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4620" w:type="dxa"/>
            <w:vAlign w:val="bottom"/>
            <w:gridSpan w:val="2"/>
          </w:tcPr>
          <w:p>
            <w:pPr>
              <w:spacing w:after="0"/>
              <w:rPr>
                <w:sz w:val="20"/>
                <w:szCs w:val="20"/>
                <w:color w:val="auto"/>
              </w:rPr>
            </w:pPr>
            <w:r>
              <w:rPr>
                <w:rFonts w:ascii="Arial" w:cs="Arial" w:eastAsia="Arial" w:hAnsi="Arial"/>
                <w:sz w:val="13"/>
                <w:szCs w:val="13"/>
                <w:color w:val="auto"/>
              </w:rPr>
              <w:t>Michael W. Hunkapiller</w:t>
            </w: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820" w:type="dxa"/>
            <w:vAlign w:val="bottom"/>
          </w:tcPr>
          <w:p>
            <w:pPr>
              <w:spacing w:after="0"/>
              <w:rPr>
                <w:sz w:val="20"/>
                <w:szCs w:val="20"/>
                <w:color w:val="auto"/>
              </w:rPr>
            </w:pPr>
            <w:r>
              <w:rPr>
                <w:rFonts w:ascii="Arial" w:cs="Arial" w:eastAsia="Arial" w:hAnsi="Arial"/>
                <w:sz w:val="13"/>
                <w:szCs w:val="13"/>
                <w:color w:val="auto"/>
                <w:w w:val="88"/>
              </w:rPr>
              <w:t>Elaine V. Jones</w:t>
            </w:r>
          </w:p>
        </w:tc>
        <w:tc>
          <w:tcPr>
            <w:tcW w:w="3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4620" w:type="dxa"/>
            <w:vAlign w:val="bottom"/>
            <w:gridSpan w:val="2"/>
          </w:tcPr>
          <w:p>
            <w:pPr>
              <w:spacing w:after="0"/>
              <w:rPr>
                <w:sz w:val="20"/>
                <w:szCs w:val="20"/>
                <w:color w:val="auto"/>
              </w:rPr>
            </w:pPr>
            <w:r>
              <w:rPr>
                <w:rFonts w:ascii="Arial" w:cs="Arial" w:eastAsia="Arial" w:hAnsi="Arial"/>
                <w:sz w:val="13"/>
                <w:szCs w:val="13"/>
                <w:color w:val="auto"/>
              </w:rPr>
              <w:t>Kenneth Nussbacher</w:t>
            </w: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0" w:type="dxa"/>
            <w:vAlign w:val="bottom"/>
            <w:tcBorders>
              <w:bottom w:val="single" w:sz="8" w:color="auto"/>
            </w:tcBorders>
          </w:tcPr>
          <w:p>
            <w:pPr>
              <w:spacing w:after="0"/>
              <w:rPr>
                <w:sz w:val="19"/>
                <w:szCs w:val="19"/>
                <w:color w:val="auto"/>
              </w:rPr>
            </w:pPr>
          </w:p>
        </w:tc>
        <w:tc>
          <w:tcPr>
            <w:tcW w:w="426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940" w:type="dxa"/>
            <w:vAlign w:val="bottom"/>
          </w:tcPr>
          <w:p>
            <w:pPr>
              <w:ind w:left="280"/>
              <w:spacing w:after="0"/>
              <w:rPr>
                <w:sz w:val="20"/>
                <w:szCs w:val="20"/>
                <w:color w:val="auto"/>
              </w:rPr>
            </w:pPr>
            <w:r>
              <w:rPr>
                <w:rFonts w:ascii="Arial" w:cs="Arial" w:eastAsia="Arial" w:hAnsi="Arial"/>
                <w:sz w:val="13"/>
                <w:szCs w:val="13"/>
                <w:color w:val="auto"/>
                <w:w w:val="91"/>
              </w:rPr>
              <w:t>July 7, 2008</w:t>
            </w:r>
          </w:p>
        </w:tc>
      </w:tr>
      <w:tr>
        <w:trPr>
          <w:trHeight w:val="155"/>
        </w:trPr>
        <w:tc>
          <w:tcPr>
            <w:tcW w:w="820" w:type="dxa"/>
            <w:vAlign w:val="bottom"/>
          </w:tcPr>
          <w:p>
            <w:pPr>
              <w:spacing w:after="0"/>
              <w:rPr>
                <w:sz w:val="20"/>
                <w:szCs w:val="20"/>
                <w:color w:val="auto"/>
              </w:rPr>
            </w:pPr>
            <w:r>
              <w:rPr>
                <w:rFonts w:ascii="Arial" w:cs="Arial" w:eastAsia="Arial" w:hAnsi="Arial"/>
                <w:sz w:val="13"/>
                <w:szCs w:val="13"/>
                <w:color w:val="auto"/>
                <w:w w:val="93"/>
              </w:rPr>
              <w:t>John A. Young</w:t>
            </w:r>
          </w:p>
        </w:tc>
        <w:tc>
          <w:tcPr>
            <w:tcW w:w="3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8"/>
        </w:trPr>
        <w:tc>
          <w:tcPr>
            <w:tcW w:w="820" w:type="dxa"/>
            <w:vAlign w:val="bottom"/>
          </w:tcPr>
          <w:p>
            <w:pPr>
              <w:ind w:left="240"/>
              <w:spacing w:after="0"/>
              <w:rPr>
                <w:sz w:val="20"/>
                <w:szCs w:val="20"/>
                <w:color w:val="auto"/>
              </w:rPr>
            </w:pPr>
            <w:r>
              <w:rPr>
                <w:rFonts w:ascii="Arial" w:cs="Arial" w:eastAsia="Arial" w:hAnsi="Arial"/>
                <w:sz w:val="13"/>
                <w:szCs w:val="13"/>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39"/>
        </w:trPr>
        <w:tc>
          <w:tcPr>
            <w:tcW w:w="820" w:type="dxa"/>
            <w:vAlign w:val="bottom"/>
          </w:tcPr>
          <w:p>
            <w:pPr>
              <w:spacing w:after="0"/>
              <w:rPr>
                <w:sz w:val="12"/>
                <w:szCs w:val="12"/>
                <w:color w:val="auto"/>
              </w:rPr>
            </w:pPr>
          </w:p>
        </w:tc>
        <w:tc>
          <w:tcPr>
            <w:tcW w:w="3800" w:type="dxa"/>
            <w:vAlign w:val="bottom"/>
          </w:tcPr>
          <w:p>
            <w:pPr>
              <w:spacing w:after="0" w:line="139" w:lineRule="exact"/>
              <w:rPr>
                <w:sz w:val="20"/>
                <w:szCs w:val="20"/>
                <w:color w:val="auto"/>
              </w:rPr>
            </w:pPr>
            <w:r>
              <w:rPr>
                <w:rFonts w:ascii="Arial" w:cs="Arial" w:eastAsia="Arial" w:hAnsi="Arial"/>
                <w:sz w:val="13"/>
                <w:szCs w:val="13"/>
                <w:color w:val="auto"/>
              </w:rPr>
              <w:t>Gajus V. Worthington</w:t>
            </w:r>
          </w:p>
        </w:tc>
        <w:tc>
          <w:tcPr>
            <w:tcW w:w="4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5"/>
        </w:trPr>
        <w:tc>
          <w:tcPr>
            <w:tcW w:w="8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Attorney-in-Fact</w:t>
            </w: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-2201545</wp:posOffset>
            </wp:positionV>
            <wp:extent cx="3111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-2201545</wp:posOffset>
            </wp:positionV>
            <wp:extent cx="2476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-2201545</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-2026920</wp:posOffset>
            </wp:positionV>
            <wp:extent cx="635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10500"/>
          </w:cols>
          <w:pgMar w:left="220" w:top="343" w:right="117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Exhibit 21.1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Subsidiaries of Fluidigm Corporation (Delaware):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Fluidigm Japan K.K (Japan)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Fluidigm Europe, BV (Netherlands)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Fluidigm Singapore Pte. Ltd. (Singapore)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Subsidiaries of Fluidigm Europe, BV (Netherlands):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Fluidigm France SARL (France)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Fluidigm UK Limited (UK)</w:t>
      </w:r>
    </w:p>
    <w:p>
      <w:pPr>
        <w:sectPr>
          <w:pgSz w:w="11900" w:h="16838" w:orient="portrait"/>
          <w:cols w:equalWidth="0" w:num="1">
            <w:col w:w="11460"/>
          </w:cols>
          <w:pgMar w:left="220" w:top="127" w:right="2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April 12, 2008 in Amendment No. 3 to the Registration Statement (Form S-1 No. 333-150227) and related Prospectus of Fluidigm Corporation for the registration of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27,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1)"/>
      <w:numFmt w:val="decimal"/>
      <w:start w:val="3"/>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decimal"/>
      <w:start w:val="2"/>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1)"/>
      <w:numFmt w:val="decimal"/>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decimal"/>
      <w:start w:val="10"/>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1)"/>
      <w:numFmt w:val="decimal"/>
      <w:start w:val="1"/>
    </w:lvl>
  </w:abstractNum>
  <w:abstractNum w:abstractNumId="72">
    <w:nsid w:val="7F01579B"/>
    <w:multiLevelType w:val="hybridMultilevel"/>
    <w:lvl w:ilvl="0">
      <w:lvlJc w:val="left"/>
      <w:lvlText w:val="(%1)"/>
      <w:numFmt w:val="decimal"/>
      <w:start w:val="2"/>
    </w:lvl>
  </w:abstractNum>
  <w:abstractNum w:abstractNumId="73">
    <w:nsid w:val="49DA307D"/>
    <w:multiLevelType w:val="hybridMultilevel"/>
    <w:lvl w:ilvl="0">
      <w:lvlJc w:val="left"/>
      <w:lvlText w:val="(%1)"/>
      <w:numFmt w:val="decimal"/>
      <w:start w:val="9"/>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1."/>
      <w:numFmt w:val="decimal"/>
      <w:start w:val="1"/>
    </w:lvl>
  </w:abstractNum>
  <w:abstractNum w:abstractNumId="92">
    <w:nsid w:val="9DAF632"/>
    <w:multiLevelType w:val="hybridMultilevel"/>
    <w:lvl w:ilvl="0">
      <w:lvlJc w:val="left"/>
      <w:lvlText w:val="%1."/>
      <w:numFmt w:val="decimal"/>
      <w:start w:val="2"/>
    </w:lvl>
  </w:abstractNum>
  <w:abstractNum w:abstractNumId="93">
    <w:nsid w:val="53299938"/>
    <w:multiLevelType w:val="hybridMultilevel"/>
    <w:lvl w:ilvl="0">
      <w:lvlJc w:val="left"/>
      <w:lvlText w:val="%1."/>
      <w:numFmt w:val="decimal"/>
      <w:start w:val="3"/>
    </w:lvl>
  </w:abstractNum>
  <w:abstractNum w:abstractNumId="94">
    <w:nsid w:val="1FBFE8E0"/>
    <w:multiLevelType w:val="hybridMultilevel"/>
    <w:lvl w:ilvl="0">
      <w:lvlJc w:val="left"/>
      <w:lvlText w:val="%1."/>
      <w:numFmt w:val="decimal"/>
      <w:start w:val="4"/>
    </w:lvl>
  </w:abstractNum>
  <w:abstractNum w:abstractNumId="95">
    <w:nsid w:val="5092CA79"/>
    <w:multiLevelType w:val="hybridMultilevel"/>
    <w:lvl w:ilvl="0">
      <w:lvlJc w:val="left"/>
      <w:lvlText w:val="%1."/>
      <w:numFmt w:val="decimal"/>
      <w:start w:val="5"/>
    </w:lvl>
  </w:abstractNum>
  <w:abstractNum w:abstractNumId="96">
    <w:nsid w:val="1D545C4D"/>
    <w:multiLevelType w:val="hybridMultilevel"/>
    <w:lvl w:ilvl="0">
      <w:lvlJc w:val="left"/>
      <w:lvlText w:val="%1."/>
      <w:numFmt w:val="decimal"/>
      <w:start w:val="6"/>
    </w:lvl>
  </w:abstractNum>
  <w:abstractNum w:abstractNumId="97">
    <w:nsid w:val="59ADEA3D"/>
    <w:multiLevelType w:val="hybridMultilevel"/>
    <w:lvl w:ilvl="0">
      <w:lvlJc w:val="left"/>
      <w:lvlText w:val="%1."/>
      <w:numFmt w:val="decimal"/>
      <w:start w:val="7"/>
    </w:lvl>
  </w:abstractNum>
  <w:abstractNum w:abstractNumId="98">
    <w:nsid w:val="288F1A34"/>
    <w:multiLevelType w:val="hybridMultilevel"/>
    <w:lvl w:ilvl="0">
      <w:lvlJc w:val="left"/>
      <w:lvlText w:val="%1."/>
      <w:numFmt w:val="decimal"/>
      <w:start w:val="8"/>
    </w:lvl>
  </w:abstractNum>
  <w:abstractNum w:abstractNumId="99">
    <w:nsid w:val="2A155DBC"/>
    <w:multiLevelType w:val="hybridMultilevel"/>
    <w:lvl w:ilvl="0">
      <w:lvlJc w:val="left"/>
      <w:lvlText w:val="%1."/>
      <w:numFmt w:val="decimal"/>
      <w:start w:val="9"/>
    </w:lvl>
  </w:abstractNum>
  <w:abstractNum w:abstractNumId="100">
    <w:nsid w:val="1D9F6E5F"/>
    <w:multiLevelType w:val="hybridMultilevel"/>
    <w:lvl w:ilvl="0">
      <w:lvlJc w:val="left"/>
      <w:lvlText w:val="%1."/>
      <w:numFmt w:val="decimal"/>
      <w:start w:val="10"/>
    </w:lvl>
  </w:abstractNum>
  <w:abstractNum w:abstractNumId="101">
    <w:nsid w:val="97E1B4E"/>
    <w:multiLevelType w:val="hybridMultilevel"/>
    <w:lvl w:ilvl="0">
      <w:lvlJc w:val="left"/>
      <w:lvlText w:val="%1."/>
      <w:numFmt w:val="decimal"/>
      <w:start w:val="11"/>
    </w:lvl>
  </w:abstractNum>
  <w:abstractNum w:abstractNumId="102">
    <w:nsid w:val="51088277"/>
    <w:multiLevelType w:val="hybridMultilevel"/>
    <w:lvl w:ilvl="0">
      <w:lvlJc w:val="left"/>
      <w:lvlText w:val="%1."/>
      <w:numFmt w:val="decimal"/>
      <w:start w:val="12"/>
    </w:lvl>
  </w:abstractNum>
  <w:abstractNum w:abstractNumId="103">
    <w:nsid w:val="1CA0C5FA"/>
    <w:multiLevelType w:val="hybridMultilevel"/>
    <w:lvl w:ilvl="0">
      <w:lvlJc w:val="left"/>
      <w:lvlText w:val="%1."/>
      <w:numFmt w:val="decimal"/>
      <w:start w:val="13"/>
    </w:lvl>
  </w:abstractNum>
  <w:abstractNum w:abstractNumId="104">
    <w:nsid w:val="53584BCB"/>
    <w:multiLevelType w:val="hybridMultilevel"/>
    <w:lvl w:ilvl="0">
      <w:lvlJc w:val="left"/>
      <w:lvlText w:val="%1."/>
      <w:numFmt w:val="decimal"/>
      <w:start w:val="14"/>
    </w:lvl>
  </w:abstractNum>
  <w:abstractNum w:abstractNumId="105">
    <w:nsid w:val="415E286C"/>
    <w:multiLevelType w:val="hybridMultilevel"/>
    <w:lvl w:ilvl="0">
      <w:lvlJc w:val="left"/>
      <w:lvlText w:val="%1."/>
      <w:numFmt w:val="decimal"/>
      <w:start w:val="15"/>
    </w:lvl>
  </w:abstractNum>
  <w:abstractNum w:abstractNumId="106">
    <w:nsid w:val="7C58FD05"/>
    <w:multiLevelType w:val="hybridMultilevel"/>
    <w:lvl w:ilvl="0">
      <w:lvlJc w:val="left"/>
      <w:lvlText w:val="%1."/>
      <w:numFmt w:val="decimal"/>
      <w:start w:val="16"/>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
      <w:numFmt w:val="bullet"/>
      <w:start w:val="1"/>
    </w:lvl>
  </w:abstractNum>
  <w:abstractNum w:abstractNumId="109">
    <w:nsid w:val="5C10FE21"/>
    <w:multiLevelType w:val="hybridMultilevel"/>
    <w:lvl w:ilvl="0">
      <w:lvlJc w:val="left"/>
      <w:lvlText w:val="(%1)"/>
      <w:numFmt w:val="lowerLetter"/>
      <w:start w:val="1"/>
    </w:lvl>
  </w:abstractNum>
  <w:abstractNum w:abstractNumId="110">
    <w:nsid w:val="E7FFA2B"/>
    <w:multiLevelType w:val="hybridMultilevel"/>
    <w:lvl w:ilvl="0">
      <w:lvlJc w:val="left"/>
      <w:lvlText w:val="(%1)"/>
      <w:numFmt w:val="lowerLetter"/>
      <w:start w:val="7"/>
    </w:lvl>
  </w:abstractNum>
  <w:abstractNum w:abstractNumId="111">
    <w:nsid w:val="3C5991AA"/>
    <w:multiLevelType w:val="hybridMultilevel"/>
    <w:lvl w:ilvl="0">
      <w:lvlJc w:val="left"/>
      <w:lvlText w:val="(%1)"/>
      <w:numFmt w:val="lowerLetter"/>
      <w:start w:val="19"/>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lvl w:ilvl="1">
      <w:lvlJc w:val="left"/>
      <w:lvlText w:val="(%2)"/>
      <w:numFmt w:val="lowerLetter"/>
      <w:start w:val="2"/>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1)"/>
      <w:numFmt w:val="decimal"/>
      <w:start w:val="3"/>
    </w:lvl>
    <w:lvl w:ilvl="1">
      <w:lvlJc w:val="left"/>
      <w:lvlText w:val="(%2)"/>
      <w:numFmt w:val="lowerRoman"/>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2019-12-15T06:29:20Z</dcterms:created>
  <dcterms:modified xsi:type="dcterms:W3CDTF">2019-12-15T06:29:20Z</dcterms:modified>
</cp:coreProperties>
</file>