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2"/>
          <w:szCs w:val="22"/>
          <w:color w:val="auto"/>
        </w:rPr>
        <w:t>SECURITIES AND EXCHANGE COMMISSION</w:t>
      </w:r>
    </w:p>
    <w:p>
      <w:pPr>
        <w:spacing w:after="0" w:line="8" w:lineRule="exact"/>
        <w:rPr>
          <w:sz w:val="24"/>
          <w:szCs w:val="24"/>
          <w:color w:val="auto"/>
        </w:rPr>
      </w:pPr>
    </w:p>
    <w:p>
      <w:pPr>
        <w:jc w:val="center"/>
        <w:ind w:right="60"/>
        <w:spacing w:after="0"/>
        <w:rPr>
          <w:sz w:val="20"/>
          <w:szCs w:val="20"/>
          <w:color w:val="auto"/>
        </w:rPr>
      </w:pPr>
      <w:r>
        <w:rPr>
          <w:rFonts w:ascii="Arial" w:cs="Arial" w:eastAsia="Arial" w:hAnsi="Arial"/>
          <w:sz w:val="22"/>
          <w:szCs w:val="22"/>
          <w:color w:val="auto"/>
        </w:rPr>
        <w:t>Washington, D.C. 20549</w:t>
      </w:r>
    </w:p>
    <w:p>
      <w:pPr>
        <w:spacing w:after="0" w:line="220"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SCHEDULE 13D/A</w:t>
      </w:r>
    </w:p>
    <w:p>
      <w:pPr>
        <w:spacing w:after="0" w:line="243" w:lineRule="exact"/>
        <w:rPr>
          <w:sz w:val="24"/>
          <w:szCs w:val="24"/>
          <w:color w:val="auto"/>
        </w:rPr>
      </w:pPr>
    </w:p>
    <w:p>
      <w:pPr>
        <w:jc w:val="center"/>
        <w:ind w:left="380" w:right="2360"/>
        <w:spacing w:after="0" w:line="250" w:lineRule="auto"/>
        <w:rPr>
          <w:sz w:val="20"/>
          <w:szCs w:val="20"/>
          <w:color w:val="auto"/>
        </w:rPr>
      </w:pPr>
      <w:r>
        <w:rPr>
          <w:rFonts w:ascii="Arial" w:cs="Arial" w:eastAsia="Arial" w:hAnsi="Arial"/>
          <w:sz w:val="20"/>
          <w:szCs w:val="20"/>
          <w:color w:val="auto"/>
        </w:rPr>
        <w:t>INFORMATION TO BE INCLUDED IN STATEMENTS FILED PURSUANT TO RULE 13d-1(a) AND AMENDMENTS THERETO FILED PURSUANT TO RULE 13d-2(a)</w:t>
      </w: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Under the Securities Exchange Act of 1934</w:t>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(Amendment No. 6)*</w:t>
      </w:r>
    </w:p>
    <w:p>
      <w:pPr>
        <w:spacing w:after="0" w:line="227"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Standard BioTools,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20"/>
          <w:szCs w:val="20"/>
          <w:color w:val="auto"/>
        </w:rPr>
        <w:t>(Name of Issuer)</w:t>
      </w:r>
    </w:p>
    <w:p>
      <w:pPr>
        <w:spacing w:after="0" w:line="235"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20"/>
          <w:szCs w:val="20"/>
          <w:color w:val="auto"/>
        </w:rPr>
        <w:t>(Title of Class of Securities)</w:t>
      </w:r>
    </w:p>
    <w:p>
      <w:pPr>
        <w:spacing w:after="0" w:line="235"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34385P108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20"/>
          <w:szCs w:val="20"/>
          <w:color w:val="auto"/>
        </w:rPr>
        <w:t>(CUSIP Number)</w:t>
      </w:r>
    </w:p>
    <w:p>
      <w:pPr>
        <w:spacing w:after="0" w:line="235"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David Johnson</w:t>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Caligan Partners LP</w:t>
      </w:r>
    </w:p>
    <w:p>
      <w:pPr>
        <w:spacing w:after="0" w:line="3" w:lineRule="exact"/>
        <w:rPr>
          <w:sz w:val="24"/>
          <w:szCs w:val="24"/>
          <w:color w:val="auto"/>
        </w:rPr>
      </w:pPr>
    </w:p>
    <w:p>
      <w:pPr>
        <w:ind w:left="4760" w:right="4320" w:hanging="377"/>
        <w:spacing w:after="0" w:line="241" w:lineRule="auto"/>
        <w:tabs>
          <w:tab w:leader="none" w:pos="4727" w:val="left"/>
        </w:tabs>
        <w:numPr>
          <w:ilvl w:val="0"/>
          <w:numId w:val="1"/>
        </w:numPr>
        <w:rPr>
          <w:rFonts w:ascii="Arial" w:cs="Arial" w:eastAsia="Arial" w:hAnsi="Arial"/>
          <w:sz w:val="17"/>
          <w:szCs w:val="17"/>
          <w:color w:val="auto"/>
        </w:rPr>
      </w:pPr>
      <w:r>
        <w:rPr>
          <w:rFonts w:ascii="Arial" w:cs="Arial" w:eastAsia="Arial" w:hAnsi="Arial"/>
          <w:sz w:val="17"/>
          <w:szCs w:val="17"/>
          <w:color w:val="auto"/>
        </w:rPr>
        <w:t>Madison Avenue, 8</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 New York, NY 10022</w:t>
      </w:r>
    </w:p>
    <w:p>
      <w:pPr>
        <w:spacing w:after="0" w:line="1" w:lineRule="exact"/>
        <w:rPr>
          <w:rFonts w:ascii="Arial" w:cs="Arial" w:eastAsia="Arial" w:hAnsi="Arial"/>
          <w:sz w:val="17"/>
          <w:szCs w:val="17"/>
          <w:color w:val="auto"/>
        </w:rPr>
      </w:pPr>
    </w:p>
    <w:p>
      <w:pPr>
        <w:ind w:left="5540" w:hanging="487"/>
        <w:spacing w:after="0"/>
        <w:tabs>
          <w:tab w:leader="none" w:pos="5540" w:val="left"/>
        </w:tabs>
        <w:numPr>
          <w:ilvl w:val="1"/>
          <w:numId w:val="1"/>
        </w:numPr>
        <w:rPr>
          <w:rFonts w:ascii="Arial" w:cs="Arial" w:eastAsia="Arial" w:hAnsi="Arial"/>
          <w:sz w:val="20"/>
          <w:szCs w:val="20"/>
          <w:color w:val="auto"/>
        </w:rPr>
      </w:pPr>
      <w:r>
        <w:rPr>
          <w:rFonts w:ascii="Arial" w:cs="Arial" w:eastAsia="Arial" w:hAnsi="Arial"/>
          <w:sz w:val="20"/>
          <w:szCs w:val="20"/>
          <w:color w:val="auto"/>
        </w:rPr>
        <w:t>859-8204</w:t>
      </w:r>
    </w:p>
    <w:p>
      <w:pPr>
        <w:spacing w:after="0" w:line="227" w:lineRule="exact"/>
        <w:rPr>
          <w:sz w:val="24"/>
          <w:szCs w:val="24"/>
          <w:color w:val="auto"/>
        </w:rPr>
      </w:pPr>
    </w:p>
    <w:p>
      <w:pPr>
        <w:ind w:left="4900"/>
        <w:spacing w:after="0"/>
        <w:rPr>
          <w:sz w:val="20"/>
          <w:szCs w:val="20"/>
          <w:color w:val="auto"/>
        </w:rPr>
      </w:pPr>
      <w:r>
        <w:rPr>
          <w:rFonts w:ascii="Arial" w:cs="Arial" w:eastAsia="Arial" w:hAnsi="Arial"/>
          <w:sz w:val="20"/>
          <w:szCs w:val="20"/>
          <w:color w:val="auto"/>
        </w:rPr>
        <w:t>Eleazer Klein, Esq.</w:t>
      </w:r>
    </w:p>
    <w:p>
      <w:pPr>
        <w:spacing w:after="0" w:line="15" w:lineRule="exact"/>
        <w:rPr>
          <w:sz w:val="24"/>
          <w:szCs w:val="24"/>
          <w:color w:val="auto"/>
        </w:rPr>
      </w:pPr>
    </w:p>
    <w:p>
      <w:pPr>
        <w:ind w:left="4600"/>
        <w:spacing w:after="0"/>
        <w:rPr>
          <w:sz w:val="20"/>
          <w:szCs w:val="20"/>
          <w:color w:val="auto"/>
        </w:rPr>
      </w:pPr>
      <w:r>
        <w:rPr>
          <w:rFonts w:ascii="Arial" w:cs="Arial" w:eastAsia="Arial" w:hAnsi="Arial"/>
          <w:sz w:val="20"/>
          <w:szCs w:val="20"/>
          <w:color w:val="auto"/>
        </w:rPr>
        <w:t>Schulte Roth &amp; Zabel LLP</w:t>
      </w:r>
    </w:p>
    <w:p>
      <w:pPr>
        <w:ind w:left="4960"/>
        <w:spacing w:after="0"/>
        <w:rPr>
          <w:sz w:val="20"/>
          <w:szCs w:val="20"/>
          <w:color w:val="auto"/>
        </w:rPr>
      </w:pPr>
      <w:r>
        <w:rPr>
          <w:rFonts w:ascii="Arial" w:cs="Arial" w:eastAsia="Arial" w:hAnsi="Arial"/>
          <w:sz w:val="20"/>
          <w:szCs w:val="20"/>
          <w:color w:val="auto"/>
        </w:rPr>
        <w:t>919 Third Avenue</w:t>
      </w:r>
    </w:p>
    <w:p>
      <w:pPr>
        <w:ind w:left="4800"/>
        <w:spacing w:after="0"/>
        <w:rPr>
          <w:sz w:val="20"/>
          <w:szCs w:val="20"/>
          <w:color w:val="auto"/>
        </w:rPr>
      </w:pPr>
      <w:r>
        <w:rPr>
          <w:rFonts w:ascii="Arial" w:cs="Arial" w:eastAsia="Arial" w:hAnsi="Arial"/>
          <w:sz w:val="20"/>
          <w:szCs w:val="20"/>
          <w:color w:val="auto"/>
        </w:rPr>
        <w:t>New York, NY 10022</w:t>
      </w:r>
    </w:p>
    <w:p>
      <w:pPr>
        <w:ind w:left="5000"/>
        <w:spacing w:after="0"/>
        <w:rPr>
          <w:sz w:val="20"/>
          <w:szCs w:val="20"/>
          <w:color w:val="auto"/>
        </w:rPr>
      </w:pPr>
      <w:r>
        <w:rPr>
          <w:rFonts w:ascii="Arial" w:cs="Arial" w:eastAsia="Arial" w:hAnsi="Arial"/>
          <w:sz w:val="20"/>
          <w:szCs w:val="20"/>
          <w:color w:val="auto"/>
        </w:rPr>
        <w:t>(212) 756-2000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20"/>
          <w:szCs w:val="20"/>
          <w:color w:val="auto"/>
        </w:rPr>
        <w:t>(Name, Address and Telephone Number of Person</w:t>
      </w:r>
    </w:p>
    <w:p>
      <w:pPr>
        <w:spacing w:after="0" w:line="8"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Authorized to Receive Notices and Communications)</w:t>
      </w:r>
    </w:p>
    <w:p>
      <w:pPr>
        <w:spacing w:after="0" w:line="227"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July 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20"/>
          <w:szCs w:val="20"/>
          <w:color w:val="auto"/>
        </w:rPr>
        <w:t>(Date of Event Which Requires Filing of This Statement)</w:t>
      </w:r>
    </w:p>
    <w:p>
      <w:pPr>
        <w:spacing w:after="0" w:line="235" w:lineRule="exact"/>
        <w:rPr>
          <w:sz w:val="24"/>
          <w:szCs w:val="24"/>
          <w:color w:val="auto"/>
        </w:rPr>
      </w:pPr>
    </w:p>
    <w:p>
      <w:pPr>
        <w:ind w:right="80"/>
        <w:spacing w:after="0" w:line="287" w:lineRule="auto"/>
        <w:rPr>
          <w:sz w:val="20"/>
          <w:szCs w:val="20"/>
          <w:color w:val="auto"/>
        </w:rPr>
      </w:pPr>
      <w:r>
        <w:rPr>
          <w:rFonts w:ascii="Arial" w:cs="Arial" w:eastAsia="Arial" w:hAnsi="Arial"/>
          <w:sz w:val="19"/>
          <w:szCs w:val="19"/>
          <w:color w:val="auto"/>
        </w:rPr>
        <w:t>If the filing person has previously filed a statement on Schedule 13G to report the acquisition that is the subject of this Schedule 13D, and is filing this schedule because of Rule 13d-1(e), Rule 13d-1(f) or Rule 13d-1(g), check the following box. [ ]</w:t>
      </w:r>
    </w:p>
    <w:p>
      <w:pPr>
        <w:spacing w:after="0" w:line="166"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(Page 1 of 5 Pages)</w:t>
      </w:r>
    </w:p>
    <w:p>
      <w:pPr>
        <w:spacing w:after="0" w:line="15" w:lineRule="exact"/>
        <w:rPr>
          <w:sz w:val="24"/>
          <w:szCs w:val="24"/>
          <w:color w:val="auto"/>
        </w:rPr>
      </w:pPr>
    </w:p>
    <w:p>
      <w:pPr>
        <w:spacing w:after="0"/>
        <w:rPr>
          <w:sz w:val="20"/>
          <w:szCs w:val="20"/>
          <w:color w:val="auto"/>
        </w:rPr>
      </w:pPr>
      <w:r>
        <w:rPr>
          <w:rFonts w:ascii="Arial" w:cs="Arial" w:eastAsia="Arial" w:hAnsi="Arial"/>
          <w:sz w:val="20"/>
          <w:szCs w:val="20"/>
          <w:color w:val="auto"/>
        </w:rPr>
        <w:t>______________________________</w:t>
      </w:r>
    </w:p>
    <w:p>
      <w:pPr>
        <w:ind w:right="320" w:firstLine="8"/>
        <w:spacing w:after="0" w:line="297" w:lineRule="auto"/>
        <w:tabs>
          <w:tab w:leader="none" w:pos="14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0" w:lineRule="exact"/>
        <w:rPr>
          <w:sz w:val="24"/>
          <w:szCs w:val="24"/>
          <w:color w:val="auto"/>
        </w:rPr>
      </w:pPr>
    </w:p>
    <w:p>
      <w:pPr>
        <w:jc w:val="both"/>
        <w:spacing w:after="0" w:line="250" w:lineRule="auto"/>
        <w:rPr>
          <w:sz w:val="20"/>
          <w:szCs w:val="20"/>
          <w:color w:val="auto"/>
        </w:rPr>
      </w:pPr>
      <w:r>
        <w:rPr>
          <w:rFonts w:ascii="Arial" w:cs="Arial" w:eastAsia="Arial" w:hAnsi="Arial"/>
          <w:sz w:val="20"/>
          <w:szCs w:val="20"/>
          <w:color w:val="auto"/>
        </w:rPr>
        <w:t>The information required on the remainder of this cover page shall not be deemed to be "filed" for the purpose of Section 18 of the Securities Exchange Act of 1934 ("</w:t>
      </w:r>
      <w:r>
        <w:rPr>
          <w:rFonts w:ascii="Arial" w:cs="Arial" w:eastAsia="Arial" w:hAnsi="Arial"/>
          <w:sz w:val="20"/>
          <w:szCs w:val="20"/>
          <w:u w:val="single" w:color="auto"/>
          <w:color w:val="auto"/>
        </w:rPr>
        <w:t>Act</w:t>
      </w:r>
      <w:r>
        <w:rPr>
          <w:rFonts w:ascii="Arial" w:cs="Arial" w:eastAsia="Arial" w:hAnsi="Arial"/>
          <w:sz w:val="20"/>
          <w:szCs w:val="20"/>
          <w:color w:val="auto"/>
        </w:rPr>
        <w:t>") or otherwise subject to the liabilities of that section of the Act but shall be subject to all other provisions of the Act (however, see the Notes).</w:t>
      </w:r>
    </w:p>
    <w:p>
      <w:pPr>
        <w:sectPr>
          <w:pgSz w:w="11900" w:h="16838" w:orient="portrait"/>
          <w:cols w:equalWidth="0" w:num="1">
            <w:col w:w="11180"/>
          </w:cols>
          <w:pgMar w:left="320" w:top="429" w:right="3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CUSIP No. 34385P108</w:t>
            </w:r>
          </w:p>
        </w:tc>
        <w:tc>
          <w:tcPr>
            <w:tcW w:w="3720" w:type="dxa"/>
            <w:vAlign w:val="bottom"/>
          </w:tcPr>
          <w:p>
            <w:pPr>
              <w:ind w:left="420"/>
              <w:spacing w:after="0"/>
              <w:rPr>
                <w:sz w:val="20"/>
                <w:szCs w:val="20"/>
                <w:color w:val="auto"/>
              </w:rPr>
            </w:pPr>
            <w:r>
              <w:rPr>
                <w:rFonts w:ascii="Arial" w:cs="Arial" w:eastAsia="Arial" w:hAnsi="Arial"/>
                <w:sz w:val="18"/>
                <w:szCs w:val="18"/>
                <w:b w:val="1"/>
                <w:bCs w:val="1"/>
                <w:color w:val="auto"/>
              </w:rPr>
              <w:t>SCHEDULE 13D/A</w:t>
            </w:r>
          </w:p>
        </w:tc>
        <w:tc>
          <w:tcPr>
            <w:tcW w:w="3080" w:type="dxa"/>
            <w:vAlign w:val="bottom"/>
          </w:tcPr>
          <w:p>
            <w:pPr>
              <w:ind w:left="1760"/>
              <w:spacing w:after="0"/>
              <w:rPr>
                <w:sz w:val="20"/>
                <w:szCs w:val="20"/>
                <w:color w:val="auto"/>
              </w:rPr>
            </w:pPr>
            <w:r>
              <w:rPr>
                <w:rFonts w:ascii="Arial" w:cs="Arial" w:eastAsia="Arial" w:hAnsi="Arial"/>
                <w:sz w:val="18"/>
                <w:szCs w:val="18"/>
                <w:b w:val="1"/>
                <w:bCs w:val="1"/>
                <w:color w:val="auto"/>
                <w:w w:val="84"/>
              </w:rPr>
              <w:t>Page 2 of 5 Pages</w:t>
            </w:r>
          </w:p>
        </w:tc>
        <w:tc>
          <w:tcPr>
            <w:tcW w:w="0" w:type="dxa"/>
            <w:vAlign w:val="bottom"/>
          </w:tcPr>
          <w:p>
            <w:pPr>
              <w:spacing w:after="0"/>
              <w:rPr>
                <w:sz w:val="1"/>
                <w:szCs w:val="1"/>
                <w:color w:val="auto"/>
              </w:rPr>
            </w:pPr>
          </w:p>
        </w:tc>
      </w:tr>
      <w:tr>
        <w:trPr>
          <w:trHeight w:val="351"/>
        </w:trPr>
        <w:tc>
          <w:tcPr>
            <w:tcW w:w="12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280" w:type="dxa"/>
            <w:vAlign w:val="bottom"/>
            <w:vMerge w:val="restart"/>
          </w:tcPr>
          <w:p>
            <w:pPr>
              <w:jc w:val="right"/>
              <w:ind w:right="274"/>
              <w:spacing w:after="0"/>
              <w:rPr>
                <w:sz w:val="20"/>
                <w:szCs w:val="20"/>
                <w:color w:val="auto"/>
              </w:rPr>
            </w:pPr>
            <w:r>
              <w:rPr>
                <w:rFonts w:ascii="Arial" w:cs="Arial" w:eastAsia="Arial" w:hAnsi="Arial"/>
                <w:sz w:val="29"/>
                <w:szCs w:val="29"/>
                <w:b w:val="1"/>
                <w:bCs w:val="1"/>
                <w:color w:val="auto"/>
              </w:rPr>
              <w:t>1</w:t>
            </w:r>
          </w:p>
        </w:tc>
        <w:tc>
          <w:tcPr>
            <w:tcW w:w="3160" w:type="dxa"/>
            <w:vAlign w:val="bottom"/>
          </w:tcPr>
          <w:p>
            <w:pPr>
              <w:ind w:left="420"/>
              <w:spacing w:after="0"/>
              <w:rPr>
                <w:sz w:val="20"/>
                <w:szCs w:val="20"/>
                <w:color w:val="auto"/>
              </w:rPr>
            </w:pPr>
            <w:r>
              <w:rPr>
                <w:rFonts w:ascii="Arial" w:cs="Arial" w:eastAsia="Arial" w:hAnsi="Arial"/>
                <w:sz w:val="16"/>
                <w:szCs w:val="16"/>
                <w:color w:val="auto"/>
              </w:rPr>
              <w:t>NAME OF REPORTING PERSON</w:t>
            </w:r>
          </w:p>
        </w:tc>
        <w:tc>
          <w:tcPr>
            <w:tcW w:w="37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280" w:type="dxa"/>
            <w:vAlign w:val="bottom"/>
            <w:vMerge w:val="continue"/>
          </w:tcPr>
          <w:p>
            <w:pPr>
              <w:spacing w:after="0"/>
              <w:rPr>
                <w:sz w:val="14"/>
                <w:szCs w:val="14"/>
                <w:color w:val="auto"/>
              </w:rPr>
            </w:pPr>
          </w:p>
        </w:tc>
        <w:tc>
          <w:tcPr>
            <w:tcW w:w="3160" w:type="dxa"/>
            <w:vAlign w:val="bottom"/>
            <w:vMerge w:val="restart"/>
          </w:tcPr>
          <w:p>
            <w:pPr>
              <w:ind w:left="740"/>
              <w:spacing w:after="0"/>
              <w:rPr>
                <w:sz w:val="20"/>
                <w:szCs w:val="20"/>
                <w:color w:val="auto"/>
              </w:rPr>
            </w:pPr>
            <w:r>
              <w:rPr>
                <w:rFonts w:ascii="Arial" w:cs="Arial" w:eastAsia="Arial" w:hAnsi="Arial"/>
                <w:sz w:val="20"/>
                <w:szCs w:val="20"/>
                <w:color w:val="auto"/>
              </w:rPr>
              <w:t>Caligan Partners LP</w:t>
            </w:r>
          </w:p>
        </w:tc>
        <w:tc>
          <w:tcPr>
            <w:tcW w:w="37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280" w:type="dxa"/>
            <w:vAlign w:val="bottom"/>
          </w:tcPr>
          <w:p>
            <w:pPr>
              <w:spacing w:after="0"/>
              <w:rPr>
                <w:sz w:val="6"/>
                <w:szCs w:val="6"/>
                <w:color w:val="auto"/>
              </w:rPr>
            </w:pPr>
          </w:p>
        </w:tc>
        <w:tc>
          <w:tcPr>
            <w:tcW w:w="3160" w:type="dxa"/>
            <w:vAlign w:val="bottom"/>
            <w:vMerge w:val="continue"/>
          </w:tcPr>
          <w:p>
            <w:pPr>
              <w:spacing w:after="0"/>
              <w:rPr>
                <w:sz w:val="6"/>
                <w:szCs w:val="6"/>
                <w:color w:val="auto"/>
              </w:rPr>
            </w:pPr>
          </w:p>
        </w:tc>
        <w:tc>
          <w:tcPr>
            <w:tcW w:w="3720" w:type="dxa"/>
            <w:vAlign w:val="bottom"/>
          </w:tcPr>
          <w:p>
            <w:pPr>
              <w:spacing w:after="0"/>
              <w:rPr>
                <w:sz w:val="6"/>
                <w:szCs w:val="6"/>
                <w:color w:val="auto"/>
              </w:rPr>
            </w:pPr>
          </w:p>
        </w:tc>
        <w:tc>
          <w:tcPr>
            <w:tcW w:w="3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280" w:type="dxa"/>
            <w:vAlign w:val="bottom"/>
            <w:tcBorders>
              <w:bottom w:val="single" w:sz="8" w:color="auto"/>
            </w:tcBorders>
          </w:tcPr>
          <w:p>
            <w:pPr>
              <w:spacing w:after="0"/>
              <w:rPr>
                <w:sz w:val="9"/>
                <w:szCs w:val="9"/>
                <w:color w:val="auto"/>
              </w:rPr>
            </w:pPr>
          </w:p>
        </w:tc>
        <w:tc>
          <w:tcPr>
            <w:tcW w:w="6880" w:type="dxa"/>
            <w:vAlign w:val="bottom"/>
            <w:tcBorders>
              <w:bottom w:val="single" w:sz="8" w:color="auto"/>
            </w:tcBorders>
            <w:gridSpan w:val="2"/>
          </w:tcPr>
          <w:p>
            <w:pPr>
              <w:spacing w:after="0"/>
              <w:rPr>
                <w:sz w:val="9"/>
                <w:szCs w:val="9"/>
                <w:color w:val="auto"/>
              </w:rPr>
            </w:pPr>
          </w:p>
        </w:tc>
        <w:tc>
          <w:tcPr>
            <w:tcW w:w="30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280" w:type="dxa"/>
            <w:vAlign w:val="bottom"/>
            <w:vMerge w:val="restart"/>
          </w:tcPr>
          <w:p>
            <w:pPr>
              <w:jc w:val="right"/>
              <w:ind w:right="274"/>
              <w:spacing w:after="0"/>
              <w:rPr>
                <w:sz w:val="20"/>
                <w:szCs w:val="20"/>
                <w:color w:val="auto"/>
              </w:rPr>
            </w:pPr>
            <w:r>
              <w:rPr>
                <w:rFonts w:ascii="Arial" w:cs="Arial" w:eastAsia="Arial" w:hAnsi="Arial"/>
                <w:sz w:val="29"/>
                <w:szCs w:val="29"/>
                <w:b w:val="1"/>
                <w:bCs w:val="1"/>
                <w:color w:val="auto"/>
              </w:rPr>
              <w:t>2</w:t>
            </w:r>
          </w:p>
        </w:tc>
        <w:tc>
          <w:tcPr>
            <w:tcW w:w="6880" w:type="dxa"/>
            <w:vAlign w:val="bottom"/>
            <w:gridSpan w:val="2"/>
          </w:tcPr>
          <w:p>
            <w:pPr>
              <w:ind w:left="420"/>
              <w:spacing w:after="0"/>
              <w:rPr>
                <w:sz w:val="20"/>
                <w:szCs w:val="20"/>
                <w:color w:val="auto"/>
              </w:rPr>
            </w:pPr>
            <w:r>
              <w:rPr>
                <w:rFonts w:ascii="Arial" w:cs="Arial" w:eastAsia="Arial" w:hAnsi="Arial"/>
                <w:sz w:val="16"/>
                <w:szCs w:val="16"/>
                <w:color w:val="auto"/>
              </w:rPr>
              <w:t>CHECK THE APPROPRIATE BOX IF A MEMBER OF A GROUP</w:t>
            </w:r>
          </w:p>
        </w:tc>
        <w:tc>
          <w:tcPr>
            <w:tcW w:w="3080" w:type="dxa"/>
            <w:vAlign w:val="bottom"/>
            <w:vMerge w:val="restart"/>
          </w:tcPr>
          <w:p>
            <w:pPr>
              <w:ind w:left="2060"/>
              <w:spacing w:after="0" w:line="322" w:lineRule="exact"/>
              <w:rPr>
                <w:sz w:val="20"/>
                <w:szCs w:val="20"/>
                <w:color w:val="auto"/>
              </w:rPr>
            </w:pPr>
            <w:r>
              <w:rPr>
                <w:rFonts w:ascii="Arial" w:cs="Arial" w:eastAsia="Arial" w:hAnsi="Arial"/>
                <w:sz w:val="22"/>
                <w:szCs w:val="22"/>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130"/>
        </w:trPr>
        <w:tc>
          <w:tcPr>
            <w:tcW w:w="1280" w:type="dxa"/>
            <w:vAlign w:val="bottom"/>
            <w:vMerge w:val="continue"/>
          </w:tcPr>
          <w:p>
            <w:pPr>
              <w:spacing w:after="0"/>
              <w:rPr>
                <w:sz w:val="11"/>
                <w:szCs w:val="11"/>
                <w:color w:val="auto"/>
              </w:rPr>
            </w:pPr>
          </w:p>
        </w:tc>
        <w:tc>
          <w:tcPr>
            <w:tcW w:w="316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3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67"/>
        </w:trPr>
        <w:tc>
          <w:tcPr>
            <w:tcW w:w="12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080" w:type="dxa"/>
            <w:vAlign w:val="bottom"/>
          </w:tcPr>
          <w:p>
            <w:pPr>
              <w:ind w:left="2060"/>
              <w:spacing w:after="0"/>
              <w:rPr>
                <w:sz w:val="20"/>
                <w:szCs w:val="20"/>
                <w:color w:val="auto"/>
              </w:rPr>
            </w:pPr>
            <w:r>
              <w:rPr>
                <w:rFonts w:ascii="Arial" w:cs="Arial" w:eastAsia="Arial" w:hAnsi="Arial"/>
                <w:sz w:val="22"/>
                <w:szCs w:val="22"/>
                <w:color w:val="auto"/>
              </w:rPr>
              <w:t xml:space="preserve">(b) </w:t>
            </w:r>
            <w:r>
              <w:rPr>
                <w:rFonts w:ascii="Arial" w:cs="Arial" w:eastAsia="Arial" w:hAnsi="Arial"/>
                <w:sz w:val="28"/>
                <w:szCs w:val="28"/>
                <w:color w:val="auto"/>
              </w:rPr>
              <w:t>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-868045</wp:posOffset>
            </wp:positionV>
            <wp:extent cx="7132320" cy="52978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5297805"/>
                    </a:xfrm>
                    <a:prstGeom prst="rect">
                      <a:avLst/>
                    </a:prstGeom>
                    <a:noFill/>
                  </pic:spPr>
                </pic:pic>
              </a:graphicData>
            </a:graphic>
          </wp:anchor>
        </w:drawing>
      </w:r>
    </w:p>
    <w:p>
      <w:pPr>
        <w:ind w:left="1700" w:hanging="972"/>
        <w:spacing w:after="0" w:line="180" w:lineRule="auto"/>
        <w:tabs>
          <w:tab w:leader="none" w:pos="1700" w:val="left"/>
        </w:tabs>
        <w:numPr>
          <w:ilvl w:val="0"/>
          <w:numId w:val="3"/>
        </w:numPr>
        <w:rPr>
          <w:rFonts w:ascii="Arial" w:cs="Arial" w:eastAsia="Arial" w:hAnsi="Arial"/>
          <w:sz w:val="30"/>
          <w:szCs w:val="30"/>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8"/>
              </w:rPr>
              <w:t>4</w:t>
            </w:r>
          </w:p>
        </w:tc>
        <w:tc>
          <w:tcPr>
            <w:tcW w:w="8100" w:type="dxa"/>
            <w:vAlign w:val="bottom"/>
            <w:gridSpan w:val="2"/>
          </w:tcPr>
          <w:p>
            <w:pPr>
              <w:ind w:left="120"/>
              <w:spacing w:after="0"/>
              <w:rPr>
                <w:sz w:val="20"/>
                <w:szCs w:val="20"/>
                <w:color w:val="auto"/>
              </w:rPr>
            </w:pPr>
            <w:r>
              <w:rPr>
                <w:rFonts w:ascii="Arial" w:cs="Arial" w:eastAsia="Arial" w:hAnsi="Arial"/>
                <w:sz w:val="16"/>
                <w:szCs w:val="16"/>
                <w:color w:val="auto"/>
              </w:rPr>
              <w:t>SOURCE OF FUNDS</w:t>
            </w: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580" w:type="dxa"/>
            <w:vAlign w:val="bottom"/>
            <w:vMerge w:val="continue"/>
          </w:tcPr>
          <w:p>
            <w:pPr>
              <w:spacing w:after="0"/>
              <w:rPr>
                <w:sz w:val="14"/>
                <w:szCs w:val="14"/>
                <w:color w:val="auto"/>
              </w:rPr>
            </w:pPr>
          </w:p>
        </w:tc>
        <w:tc>
          <w:tcPr>
            <w:tcW w:w="1260" w:type="dxa"/>
            <w:vAlign w:val="bottom"/>
            <w:vMerge w:val="restart"/>
          </w:tcPr>
          <w:p>
            <w:pPr>
              <w:ind w:left="440"/>
              <w:spacing w:after="0"/>
              <w:rPr>
                <w:sz w:val="20"/>
                <w:szCs w:val="20"/>
                <w:color w:val="auto"/>
              </w:rPr>
            </w:pPr>
            <w:r>
              <w:rPr>
                <w:rFonts w:ascii="Arial" w:cs="Arial" w:eastAsia="Arial" w:hAnsi="Arial"/>
                <w:sz w:val="20"/>
                <w:szCs w:val="20"/>
                <w:color w:val="auto"/>
              </w:rPr>
              <w:t>AF</w:t>
            </w:r>
          </w:p>
        </w:tc>
        <w:tc>
          <w:tcPr>
            <w:tcW w:w="68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6840" w:type="dxa"/>
            <w:vAlign w:val="bottom"/>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84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580" w:type="dxa"/>
            <w:vAlign w:val="bottom"/>
          </w:tcPr>
          <w:p>
            <w:pPr>
              <w:jc w:val="center"/>
              <w:spacing w:after="0" w:line="195" w:lineRule="exact"/>
              <w:rPr>
                <w:sz w:val="20"/>
                <w:szCs w:val="20"/>
                <w:color w:val="auto"/>
              </w:rPr>
            </w:pPr>
            <w:r>
              <w:rPr>
                <w:rFonts w:ascii="Arial" w:cs="Arial" w:eastAsia="Arial" w:hAnsi="Arial"/>
                <w:sz w:val="22"/>
                <w:szCs w:val="22"/>
                <w:b w:val="1"/>
                <w:bCs w:val="1"/>
                <w:color w:val="auto"/>
              </w:rPr>
              <w:t>5</w:t>
            </w:r>
          </w:p>
        </w:tc>
        <w:tc>
          <w:tcPr>
            <w:tcW w:w="8100" w:type="dxa"/>
            <w:vAlign w:val="bottom"/>
            <w:gridSpan w:val="2"/>
            <w:vMerge w:val="restart"/>
          </w:tcPr>
          <w:p>
            <w:pPr>
              <w:ind w:left="20"/>
              <w:spacing w:after="0"/>
              <w:rPr>
                <w:sz w:val="20"/>
                <w:szCs w:val="20"/>
                <w:color w:val="auto"/>
              </w:rPr>
            </w:pPr>
            <w:r>
              <w:rPr>
                <w:rFonts w:ascii="Arial" w:cs="Arial" w:eastAsia="Arial" w:hAnsi="Arial"/>
                <w:sz w:val="16"/>
                <w:szCs w:val="16"/>
                <w:color w:val="auto"/>
              </w:rPr>
              <w:t>CHECK BOX IF DISCLOSURE OF LEGAL PROCEEDING IS REQUIRED PURSUANT TO ITEMS 2(d) or 2(e)</w:t>
            </w:r>
          </w:p>
        </w:tc>
        <w:tc>
          <w:tcPr>
            <w:tcW w:w="1560" w:type="dxa"/>
            <w:vAlign w:val="bottom"/>
          </w:tcPr>
          <w:p>
            <w:pPr>
              <w:ind w:left="54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580" w:type="dxa"/>
            <w:vAlign w:val="bottom"/>
          </w:tcPr>
          <w:p>
            <w:pPr>
              <w:spacing w:after="0"/>
              <w:rPr>
                <w:sz w:val="4"/>
                <w:szCs w:val="4"/>
                <w:color w:val="auto"/>
              </w:rPr>
            </w:pPr>
          </w:p>
        </w:tc>
        <w:tc>
          <w:tcPr>
            <w:tcW w:w="8100" w:type="dxa"/>
            <w:vAlign w:val="bottom"/>
            <w:gridSpan w:val="2"/>
            <w:vMerge w:val="continue"/>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5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68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58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8"/>
              </w:rPr>
              <w:t>6</w:t>
            </w:r>
          </w:p>
        </w:tc>
        <w:tc>
          <w:tcPr>
            <w:tcW w:w="8100" w:type="dxa"/>
            <w:vAlign w:val="bottom"/>
            <w:gridSpan w:val="2"/>
          </w:tcPr>
          <w:p>
            <w:pPr>
              <w:ind w:left="120"/>
              <w:spacing w:after="0"/>
              <w:rPr>
                <w:sz w:val="20"/>
                <w:szCs w:val="20"/>
                <w:color w:val="auto"/>
              </w:rPr>
            </w:pPr>
            <w:r>
              <w:rPr>
                <w:rFonts w:ascii="Arial" w:cs="Arial" w:eastAsia="Arial" w:hAnsi="Arial"/>
                <w:sz w:val="16"/>
                <w:szCs w:val="16"/>
                <w:color w:val="auto"/>
              </w:rPr>
              <w:t>CITIZENSHIP OR PLACE OF ORGANIZATION</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580" w:type="dxa"/>
            <w:vAlign w:val="bottom"/>
            <w:vMerge w:val="continue"/>
          </w:tcPr>
          <w:p>
            <w:pPr>
              <w:spacing w:after="0"/>
              <w:rPr>
                <w:sz w:val="14"/>
                <w:szCs w:val="14"/>
                <w:color w:val="auto"/>
              </w:rPr>
            </w:pPr>
          </w:p>
        </w:tc>
        <w:tc>
          <w:tcPr>
            <w:tcW w:w="1260" w:type="dxa"/>
            <w:vAlign w:val="bottom"/>
            <w:vMerge w:val="restart"/>
          </w:tcPr>
          <w:p>
            <w:pPr>
              <w:ind w:left="440"/>
              <w:spacing w:after="0"/>
              <w:rPr>
                <w:sz w:val="20"/>
                <w:szCs w:val="20"/>
                <w:color w:val="auto"/>
              </w:rPr>
            </w:pPr>
            <w:r>
              <w:rPr>
                <w:rFonts w:ascii="Arial" w:cs="Arial" w:eastAsia="Arial" w:hAnsi="Arial"/>
                <w:sz w:val="20"/>
                <w:szCs w:val="20"/>
                <w:color w:val="auto"/>
                <w:w w:val="92"/>
              </w:rPr>
              <w:t>Delaware</w:t>
            </w:r>
          </w:p>
        </w:tc>
        <w:tc>
          <w:tcPr>
            <w:tcW w:w="68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6840" w:type="dxa"/>
            <w:vAlign w:val="bottom"/>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84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580" w:type="dxa"/>
            <w:vAlign w:val="bottom"/>
          </w:tcPr>
          <w:p>
            <w:pPr>
              <w:spacing w:after="0"/>
              <w:rPr>
                <w:sz w:val="20"/>
                <w:szCs w:val="20"/>
                <w:color w:val="auto"/>
              </w:rPr>
            </w:pPr>
          </w:p>
        </w:tc>
        <w:tc>
          <w:tcPr>
            <w:tcW w:w="1260" w:type="dxa"/>
            <w:vAlign w:val="bottom"/>
            <w:tcBorders>
              <w:right w:val="single" w:sz="8" w:color="auto"/>
            </w:tcBorders>
            <w:vMerge w:val="restart"/>
          </w:tcPr>
          <w:p>
            <w:pPr>
              <w:jc w:val="right"/>
              <w:ind w:right="458"/>
              <w:spacing w:after="0"/>
              <w:rPr>
                <w:sz w:val="20"/>
                <w:szCs w:val="20"/>
                <w:color w:val="auto"/>
              </w:rPr>
            </w:pPr>
            <w:r>
              <w:rPr>
                <w:rFonts w:ascii="Arial" w:cs="Arial" w:eastAsia="Arial" w:hAnsi="Arial"/>
                <w:sz w:val="29"/>
                <w:szCs w:val="29"/>
                <w:b w:val="1"/>
                <w:bCs w:val="1"/>
                <w:color w:val="auto"/>
              </w:rPr>
              <w:t>7</w:t>
            </w:r>
          </w:p>
        </w:tc>
        <w:tc>
          <w:tcPr>
            <w:tcW w:w="684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580" w:type="dxa"/>
            <w:vAlign w:val="bottom"/>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684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9"/>
              </w:rPr>
              <w:t>NUMBER OF</w:t>
            </w:r>
          </w:p>
        </w:tc>
        <w:tc>
          <w:tcPr>
            <w:tcW w:w="1260" w:type="dxa"/>
            <w:vAlign w:val="bottom"/>
            <w:tcBorders>
              <w:right w:val="single" w:sz="8" w:color="auto"/>
            </w:tcBorders>
          </w:tcPr>
          <w:p>
            <w:pPr>
              <w:spacing w:after="0"/>
              <w:rPr>
                <w:sz w:val="6"/>
                <w:szCs w:val="6"/>
                <w:color w:val="auto"/>
              </w:rPr>
            </w:pPr>
          </w:p>
        </w:tc>
        <w:tc>
          <w:tcPr>
            <w:tcW w:w="6840" w:type="dxa"/>
            <w:vAlign w:val="bottom"/>
            <w:vMerge w:val="continue"/>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80" w:type="dxa"/>
            <w:vAlign w:val="bottom"/>
            <w:vMerge w:val="continue"/>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684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1580" w:type="dxa"/>
            <w:vAlign w:val="bottom"/>
            <w:vMerge w:val="continue"/>
          </w:tcPr>
          <w:p>
            <w:pPr>
              <w:spacing w:after="0"/>
              <w:rPr>
                <w:sz w:val="5"/>
                <w:szCs w:val="5"/>
                <w:color w:val="auto"/>
              </w:rPr>
            </w:pPr>
          </w:p>
        </w:tc>
        <w:tc>
          <w:tcPr>
            <w:tcW w:w="1260" w:type="dxa"/>
            <w:vAlign w:val="bottom"/>
            <w:tcBorders>
              <w:right w:val="single" w:sz="8" w:color="auto"/>
            </w:tcBorders>
            <w:vMerge w:val="restart"/>
          </w:tcPr>
          <w:p>
            <w:pPr>
              <w:jc w:val="right"/>
              <w:ind w:right="458"/>
              <w:spacing w:after="0"/>
              <w:rPr>
                <w:sz w:val="20"/>
                <w:szCs w:val="20"/>
                <w:color w:val="auto"/>
              </w:rPr>
            </w:pPr>
            <w:r>
              <w:rPr>
                <w:rFonts w:ascii="Arial" w:cs="Arial" w:eastAsia="Arial" w:hAnsi="Arial"/>
                <w:sz w:val="29"/>
                <w:szCs w:val="29"/>
                <w:b w:val="1"/>
                <w:bCs w:val="1"/>
                <w:color w:val="auto"/>
              </w:rPr>
              <w:t>8</w:t>
            </w:r>
          </w:p>
        </w:tc>
        <w:tc>
          <w:tcPr>
            <w:tcW w:w="6840" w:type="dxa"/>
            <w:vAlign w:val="bottom"/>
            <w:vMerge w:val="restart"/>
          </w:tcPr>
          <w:p>
            <w:pPr>
              <w:ind w:left="100"/>
              <w:spacing w:after="0"/>
              <w:rPr>
                <w:sz w:val="20"/>
                <w:szCs w:val="20"/>
                <w:color w:val="auto"/>
              </w:rPr>
            </w:pPr>
            <w:r>
              <w:rPr>
                <w:rFonts w:ascii="Arial" w:cs="Arial" w:eastAsia="Arial" w:hAnsi="Arial"/>
                <w:sz w:val="16"/>
                <w:szCs w:val="16"/>
                <w:color w:val="auto"/>
              </w:rPr>
              <w:t>SHARED VOTING POWER</w:t>
            </w: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1580" w:type="dxa"/>
            <w:vAlign w:val="bottom"/>
          </w:tcPr>
          <w:p>
            <w:pPr>
              <w:jc w:val="center"/>
              <w:spacing w:after="0" w:line="168" w:lineRule="exact"/>
              <w:rPr>
                <w:sz w:val="20"/>
                <w:szCs w:val="20"/>
                <w:color w:val="auto"/>
              </w:rPr>
            </w:pPr>
            <w:r>
              <w:rPr>
                <w:rFonts w:ascii="Arial" w:cs="Arial" w:eastAsia="Arial" w:hAnsi="Arial"/>
                <w:sz w:val="16"/>
                <w:szCs w:val="16"/>
                <w:color w:val="auto"/>
                <w:w w:val="97"/>
              </w:rPr>
              <w:t>SHARES</w:t>
            </w:r>
          </w:p>
        </w:tc>
        <w:tc>
          <w:tcPr>
            <w:tcW w:w="1260" w:type="dxa"/>
            <w:vAlign w:val="bottom"/>
            <w:tcBorders>
              <w:right w:val="single" w:sz="8" w:color="auto"/>
            </w:tcBorders>
            <w:vMerge w:val="continue"/>
          </w:tcPr>
          <w:p>
            <w:pPr>
              <w:spacing w:after="0"/>
              <w:rPr>
                <w:sz w:val="14"/>
                <w:szCs w:val="14"/>
                <w:color w:val="auto"/>
              </w:rPr>
            </w:pPr>
          </w:p>
        </w:tc>
        <w:tc>
          <w:tcPr>
            <w:tcW w:w="6840" w:type="dxa"/>
            <w:vAlign w:val="bottom"/>
            <w:vMerge w:val="continue"/>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580" w:type="dxa"/>
            <w:vAlign w:val="bottom"/>
            <w:vMerge w:val="restart"/>
          </w:tcPr>
          <w:p>
            <w:pPr>
              <w:jc w:val="center"/>
              <w:spacing w:after="0"/>
              <w:rPr>
                <w:sz w:val="20"/>
                <w:szCs w:val="20"/>
                <w:color w:val="auto"/>
              </w:rPr>
            </w:pPr>
            <w:r>
              <w:rPr>
                <w:rFonts w:ascii="Arial" w:cs="Arial" w:eastAsia="Arial" w:hAnsi="Arial"/>
                <w:sz w:val="16"/>
                <w:szCs w:val="16"/>
                <w:color w:val="auto"/>
              </w:rPr>
              <w:t>BENEFICIALLY</w:t>
            </w:r>
          </w:p>
        </w:tc>
        <w:tc>
          <w:tcPr>
            <w:tcW w:w="1260" w:type="dxa"/>
            <w:vAlign w:val="bottom"/>
            <w:tcBorders>
              <w:right w:val="single" w:sz="8" w:color="auto"/>
            </w:tcBorders>
            <w:vMerge w:val="continue"/>
          </w:tcPr>
          <w:p>
            <w:pPr>
              <w:spacing w:after="0"/>
              <w:rPr>
                <w:sz w:val="14"/>
                <w:szCs w:val="14"/>
                <w:color w:val="auto"/>
              </w:rPr>
            </w:pPr>
          </w:p>
        </w:tc>
        <w:tc>
          <w:tcPr>
            <w:tcW w:w="6840" w:type="dxa"/>
            <w:vAlign w:val="bottom"/>
            <w:vMerge w:val="restart"/>
          </w:tcPr>
          <w:p>
            <w:pPr>
              <w:ind w:left="460"/>
              <w:spacing w:after="0"/>
              <w:rPr>
                <w:sz w:val="20"/>
                <w:szCs w:val="20"/>
                <w:color w:val="auto"/>
              </w:rPr>
            </w:pPr>
            <w:r>
              <w:rPr>
                <w:rFonts w:ascii="Arial" w:cs="Arial" w:eastAsia="Arial" w:hAnsi="Arial"/>
                <w:sz w:val="20"/>
                <w:szCs w:val="20"/>
                <w:color w:val="auto"/>
              </w:rPr>
              <w:t>7,797,454 shares of Common Stock</w:t>
            </w: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1580" w:type="dxa"/>
            <w:vAlign w:val="bottom"/>
            <w:vMerge w:val="continue"/>
          </w:tcPr>
          <w:p>
            <w:pPr>
              <w:spacing w:after="0"/>
              <w:rPr>
                <w:sz w:val="5"/>
                <w:szCs w:val="5"/>
                <w:color w:val="auto"/>
              </w:rPr>
            </w:pPr>
          </w:p>
        </w:tc>
        <w:tc>
          <w:tcPr>
            <w:tcW w:w="1260" w:type="dxa"/>
            <w:vAlign w:val="bottom"/>
            <w:tcBorders>
              <w:right w:val="single" w:sz="8" w:color="auto"/>
            </w:tcBorders>
          </w:tcPr>
          <w:p>
            <w:pPr>
              <w:spacing w:after="0"/>
              <w:rPr>
                <w:sz w:val="5"/>
                <w:szCs w:val="5"/>
                <w:color w:val="auto"/>
              </w:rPr>
            </w:pPr>
          </w:p>
        </w:tc>
        <w:tc>
          <w:tcPr>
            <w:tcW w:w="6840" w:type="dxa"/>
            <w:vAlign w:val="bottom"/>
            <w:vMerge w:val="continue"/>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580" w:type="dxa"/>
            <w:vAlign w:val="bottom"/>
            <w:vMerge w:val="restart"/>
          </w:tcPr>
          <w:p>
            <w:pPr>
              <w:jc w:val="center"/>
              <w:spacing w:after="0"/>
              <w:rPr>
                <w:sz w:val="20"/>
                <w:szCs w:val="20"/>
                <w:color w:val="auto"/>
              </w:rPr>
            </w:pPr>
            <w:r>
              <w:rPr>
                <w:rFonts w:ascii="Arial" w:cs="Arial" w:eastAsia="Arial" w:hAnsi="Arial"/>
                <w:sz w:val="16"/>
                <w:szCs w:val="16"/>
                <w:color w:val="auto"/>
              </w:rPr>
              <w:t>OWNED BY</w:t>
            </w:r>
          </w:p>
        </w:tc>
        <w:tc>
          <w:tcPr>
            <w:tcW w:w="1260" w:type="dxa"/>
            <w:vAlign w:val="bottom"/>
            <w:tcBorders>
              <w:bottom w:val="single" w:sz="8" w:color="auto"/>
              <w:right w:val="single" w:sz="8" w:color="auto"/>
            </w:tcBorders>
          </w:tcPr>
          <w:p>
            <w:pPr>
              <w:spacing w:after="0"/>
              <w:rPr>
                <w:sz w:val="3"/>
                <w:szCs w:val="3"/>
                <w:color w:val="auto"/>
              </w:rPr>
            </w:pPr>
          </w:p>
        </w:tc>
        <w:tc>
          <w:tcPr>
            <w:tcW w:w="684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6"/>
        </w:trPr>
        <w:tc>
          <w:tcPr>
            <w:tcW w:w="1580" w:type="dxa"/>
            <w:vAlign w:val="bottom"/>
            <w:vMerge w:val="continue"/>
          </w:tcPr>
          <w:p>
            <w:pPr>
              <w:spacing w:after="0"/>
              <w:rPr>
                <w:sz w:val="12"/>
                <w:szCs w:val="12"/>
                <w:color w:val="auto"/>
              </w:rPr>
            </w:pPr>
          </w:p>
        </w:tc>
        <w:tc>
          <w:tcPr>
            <w:tcW w:w="1260" w:type="dxa"/>
            <w:vAlign w:val="bottom"/>
            <w:tcBorders>
              <w:right w:val="single" w:sz="8" w:color="auto"/>
            </w:tcBorders>
            <w:vMerge w:val="restart"/>
          </w:tcPr>
          <w:p>
            <w:pPr>
              <w:jc w:val="right"/>
              <w:ind w:right="458"/>
              <w:spacing w:after="0"/>
              <w:rPr>
                <w:sz w:val="20"/>
                <w:szCs w:val="20"/>
                <w:color w:val="auto"/>
              </w:rPr>
            </w:pPr>
            <w:r>
              <w:rPr>
                <w:rFonts w:ascii="Arial" w:cs="Arial" w:eastAsia="Arial" w:hAnsi="Arial"/>
                <w:sz w:val="29"/>
                <w:szCs w:val="29"/>
                <w:b w:val="1"/>
                <w:bCs w:val="1"/>
                <w:color w:val="auto"/>
              </w:rPr>
              <w:t>9</w:t>
            </w:r>
          </w:p>
        </w:tc>
        <w:tc>
          <w:tcPr>
            <w:tcW w:w="684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260" w:type="dxa"/>
            <w:vAlign w:val="bottom"/>
            <w:tcBorders>
              <w:right w:val="single" w:sz="8" w:color="auto"/>
            </w:tcBorders>
            <w:vMerge w:val="continue"/>
          </w:tcPr>
          <w:p>
            <w:pPr>
              <w:spacing w:after="0"/>
              <w:rPr>
                <w:sz w:val="7"/>
                <w:szCs w:val="7"/>
                <w:color w:val="auto"/>
              </w:rPr>
            </w:pPr>
          </w:p>
        </w:tc>
        <w:tc>
          <w:tcPr>
            <w:tcW w:w="6840" w:type="dxa"/>
            <w:vAlign w:val="bottom"/>
            <w:vMerge w:val="continue"/>
          </w:tcPr>
          <w:p>
            <w:pPr>
              <w:spacing w:after="0"/>
              <w:rPr>
                <w:sz w:val="7"/>
                <w:szCs w:val="7"/>
                <w:color w:val="auto"/>
              </w:rPr>
            </w:pPr>
          </w:p>
        </w:tc>
        <w:tc>
          <w:tcPr>
            <w:tcW w:w="1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580" w:type="dxa"/>
            <w:vAlign w:val="bottom"/>
            <w:vMerge w:val="continue"/>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684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2"/>
              </w:rPr>
              <w:t>REPORTING</w:t>
            </w:r>
          </w:p>
        </w:tc>
        <w:tc>
          <w:tcPr>
            <w:tcW w:w="1260" w:type="dxa"/>
            <w:vAlign w:val="bottom"/>
            <w:tcBorders>
              <w:right w:val="single" w:sz="8" w:color="auto"/>
            </w:tcBorders>
          </w:tcPr>
          <w:p>
            <w:pPr>
              <w:spacing w:after="0"/>
              <w:rPr>
                <w:sz w:val="11"/>
                <w:szCs w:val="11"/>
                <w:color w:val="auto"/>
              </w:rPr>
            </w:pPr>
          </w:p>
        </w:tc>
        <w:tc>
          <w:tcPr>
            <w:tcW w:w="6840" w:type="dxa"/>
            <w:vAlign w:val="bottom"/>
            <w:vMerge w:val="continue"/>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1580" w:type="dxa"/>
            <w:vAlign w:val="bottom"/>
            <w:vMerge w:val="continue"/>
          </w:tcPr>
          <w:p>
            <w:pPr>
              <w:spacing w:after="0"/>
              <w:rPr>
                <w:sz w:val="5"/>
                <w:szCs w:val="5"/>
                <w:color w:val="auto"/>
              </w:rPr>
            </w:pPr>
          </w:p>
        </w:tc>
        <w:tc>
          <w:tcPr>
            <w:tcW w:w="1260" w:type="dxa"/>
            <w:vAlign w:val="bottom"/>
            <w:tcBorders>
              <w:right w:val="single" w:sz="8" w:color="auto"/>
            </w:tcBorders>
          </w:tcPr>
          <w:p>
            <w:pPr>
              <w:spacing w:after="0"/>
              <w:rPr>
                <w:sz w:val="5"/>
                <w:szCs w:val="5"/>
                <w:color w:val="auto"/>
              </w:rPr>
            </w:pPr>
          </w:p>
        </w:tc>
        <w:tc>
          <w:tcPr>
            <w:tcW w:w="6840" w:type="dxa"/>
            <w:vAlign w:val="bottom"/>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5"/>
              </w:rPr>
              <w:t>PERSON WITH:</w:t>
            </w:r>
          </w:p>
        </w:tc>
        <w:tc>
          <w:tcPr>
            <w:tcW w:w="1260" w:type="dxa"/>
            <w:vAlign w:val="bottom"/>
            <w:tcBorders>
              <w:bottom w:val="single" w:sz="8" w:color="auto"/>
              <w:right w:val="single" w:sz="8" w:color="auto"/>
            </w:tcBorders>
          </w:tcPr>
          <w:p>
            <w:pPr>
              <w:spacing w:after="0"/>
              <w:rPr>
                <w:sz w:val="3"/>
                <w:szCs w:val="3"/>
                <w:color w:val="auto"/>
              </w:rPr>
            </w:pPr>
          </w:p>
        </w:tc>
        <w:tc>
          <w:tcPr>
            <w:tcW w:w="684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1580" w:type="dxa"/>
            <w:vAlign w:val="bottom"/>
            <w:vMerge w:val="continue"/>
          </w:tcPr>
          <w:p>
            <w:pPr>
              <w:spacing w:after="0"/>
              <w:rPr>
                <w:sz w:val="13"/>
                <w:szCs w:val="13"/>
                <w:color w:val="auto"/>
              </w:rPr>
            </w:pPr>
          </w:p>
        </w:tc>
        <w:tc>
          <w:tcPr>
            <w:tcW w:w="1260" w:type="dxa"/>
            <w:vAlign w:val="bottom"/>
            <w:tcBorders>
              <w:right w:val="single" w:sz="8" w:color="auto"/>
            </w:tcBorders>
            <w:vMerge w:val="restart"/>
          </w:tcPr>
          <w:p>
            <w:pPr>
              <w:ind w:left="480"/>
              <w:spacing w:after="0"/>
              <w:rPr>
                <w:sz w:val="20"/>
                <w:szCs w:val="20"/>
                <w:color w:val="auto"/>
              </w:rPr>
            </w:pPr>
            <w:r>
              <w:rPr>
                <w:rFonts w:ascii="Arial" w:cs="Arial" w:eastAsia="Arial" w:hAnsi="Arial"/>
                <w:sz w:val="29"/>
                <w:szCs w:val="29"/>
                <w:b w:val="1"/>
                <w:bCs w:val="1"/>
                <w:color w:val="auto"/>
              </w:rPr>
              <w:t>10</w:t>
            </w:r>
          </w:p>
        </w:tc>
        <w:tc>
          <w:tcPr>
            <w:tcW w:w="684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1580" w:type="dxa"/>
            <w:vAlign w:val="bottom"/>
          </w:tcPr>
          <w:p>
            <w:pPr>
              <w:spacing w:after="0"/>
              <w:rPr>
                <w:sz w:val="7"/>
                <w:szCs w:val="7"/>
                <w:color w:val="auto"/>
              </w:rPr>
            </w:pPr>
          </w:p>
        </w:tc>
        <w:tc>
          <w:tcPr>
            <w:tcW w:w="1260" w:type="dxa"/>
            <w:vAlign w:val="bottom"/>
            <w:tcBorders>
              <w:right w:val="single" w:sz="8" w:color="auto"/>
            </w:tcBorders>
            <w:vMerge w:val="continue"/>
          </w:tcPr>
          <w:p>
            <w:pPr>
              <w:spacing w:after="0"/>
              <w:rPr>
                <w:sz w:val="7"/>
                <w:szCs w:val="7"/>
                <w:color w:val="auto"/>
              </w:rPr>
            </w:pPr>
          </w:p>
        </w:tc>
        <w:tc>
          <w:tcPr>
            <w:tcW w:w="6840" w:type="dxa"/>
            <w:vAlign w:val="bottom"/>
            <w:vMerge w:val="continue"/>
          </w:tcPr>
          <w:p>
            <w:pPr>
              <w:spacing w:after="0"/>
              <w:rPr>
                <w:sz w:val="7"/>
                <w:szCs w:val="7"/>
                <w:color w:val="auto"/>
              </w:rPr>
            </w:pPr>
          </w:p>
        </w:tc>
        <w:tc>
          <w:tcPr>
            <w:tcW w:w="1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1580" w:type="dxa"/>
            <w:vAlign w:val="bottom"/>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6840" w:type="dxa"/>
            <w:vAlign w:val="bottom"/>
            <w:vMerge w:val="restart"/>
          </w:tcPr>
          <w:p>
            <w:pPr>
              <w:ind w:left="420"/>
              <w:spacing w:after="0"/>
              <w:rPr>
                <w:sz w:val="20"/>
                <w:szCs w:val="20"/>
                <w:color w:val="auto"/>
              </w:rPr>
            </w:pPr>
            <w:r>
              <w:rPr>
                <w:rFonts w:ascii="Arial" w:cs="Arial" w:eastAsia="Arial" w:hAnsi="Arial"/>
                <w:sz w:val="20"/>
                <w:szCs w:val="20"/>
                <w:color w:val="auto"/>
              </w:rPr>
              <w:t>7,797,454 shares of Common Stock</w:t>
            </w: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tcBorders>
              <w:right w:val="single" w:sz="8" w:color="auto"/>
            </w:tcBorders>
          </w:tcPr>
          <w:p>
            <w:pPr>
              <w:spacing w:after="0"/>
              <w:rPr>
                <w:sz w:val="6"/>
                <w:szCs w:val="6"/>
                <w:color w:val="auto"/>
              </w:rPr>
            </w:pPr>
          </w:p>
        </w:tc>
        <w:tc>
          <w:tcPr>
            <w:tcW w:w="6840" w:type="dxa"/>
            <w:vAlign w:val="bottom"/>
            <w:vMerge w:val="continue"/>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80" w:type="dxa"/>
            <w:vAlign w:val="bottom"/>
            <w:tcBorders>
              <w:bottom w:val="single" w:sz="8" w:color="auto"/>
            </w:tcBorders>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684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58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11</w:t>
            </w:r>
          </w:p>
        </w:tc>
        <w:tc>
          <w:tcPr>
            <w:tcW w:w="8100" w:type="dxa"/>
            <w:vAlign w:val="bottom"/>
            <w:gridSpan w:val="2"/>
          </w:tcPr>
          <w:p>
            <w:pPr>
              <w:ind w:left="120"/>
              <w:spacing w:after="0"/>
              <w:rPr>
                <w:sz w:val="20"/>
                <w:szCs w:val="20"/>
                <w:color w:val="auto"/>
              </w:rPr>
            </w:pPr>
            <w:r>
              <w:rPr>
                <w:rFonts w:ascii="Arial" w:cs="Arial" w:eastAsia="Arial" w:hAnsi="Arial"/>
                <w:sz w:val="16"/>
                <w:szCs w:val="16"/>
                <w:color w:val="auto"/>
              </w:rPr>
              <w:t>AGGREGATE AMOUNT BENEFICIALLY OWNED BY EACH PERSON</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580" w:type="dxa"/>
            <w:vAlign w:val="bottom"/>
            <w:vMerge w:val="continue"/>
          </w:tcPr>
          <w:p>
            <w:pPr>
              <w:spacing w:after="0"/>
              <w:rPr>
                <w:sz w:val="14"/>
                <w:szCs w:val="14"/>
                <w:color w:val="auto"/>
              </w:rPr>
            </w:pPr>
          </w:p>
        </w:tc>
        <w:tc>
          <w:tcPr>
            <w:tcW w:w="8100" w:type="dxa"/>
            <w:vAlign w:val="bottom"/>
            <w:gridSpan w:val="2"/>
            <w:vMerge w:val="restart"/>
          </w:tcPr>
          <w:p>
            <w:pPr>
              <w:ind w:left="440"/>
              <w:spacing w:after="0"/>
              <w:rPr>
                <w:sz w:val="20"/>
                <w:szCs w:val="20"/>
                <w:color w:val="auto"/>
              </w:rPr>
            </w:pPr>
            <w:r>
              <w:rPr>
                <w:rFonts w:ascii="Arial" w:cs="Arial" w:eastAsia="Arial" w:hAnsi="Arial"/>
                <w:sz w:val="20"/>
                <w:szCs w:val="20"/>
                <w:color w:val="auto"/>
              </w:rPr>
              <w:t>7,797,454 shares of Common Stock</w:t>
            </w: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8100" w:type="dxa"/>
            <w:vAlign w:val="bottom"/>
            <w:gridSpan w:val="2"/>
            <w:vMerge w:val="continue"/>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84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580" w:type="dxa"/>
            <w:vAlign w:val="bottom"/>
          </w:tcPr>
          <w:p>
            <w:pPr>
              <w:jc w:val="center"/>
              <w:spacing w:after="0" w:line="195" w:lineRule="exact"/>
              <w:rPr>
                <w:sz w:val="20"/>
                <w:szCs w:val="20"/>
                <w:color w:val="auto"/>
              </w:rPr>
            </w:pPr>
            <w:r>
              <w:rPr>
                <w:rFonts w:ascii="Arial" w:cs="Arial" w:eastAsia="Arial" w:hAnsi="Arial"/>
                <w:sz w:val="22"/>
                <w:szCs w:val="22"/>
                <w:b w:val="1"/>
                <w:bCs w:val="1"/>
                <w:color w:val="auto"/>
              </w:rPr>
              <w:t>12</w:t>
            </w:r>
          </w:p>
        </w:tc>
        <w:tc>
          <w:tcPr>
            <w:tcW w:w="8100" w:type="dxa"/>
            <w:vAlign w:val="bottom"/>
            <w:gridSpan w:val="2"/>
            <w:vMerge w:val="restart"/>
          </w:tcPr>
          <w:p>
            <w:pPr>
              <w:ind w:left="120"/>
              <w:spacing w:after="0"/>
              <w:rPr>
                <w:sz w:val="20"/>
                <w:szCs w:val="20"/>
                <w:color w:val="auto"/>
              </w:rPr>
            </w:pPr>
            <w:r>
              <w:rPr>
                <w:rFonts w:ascii="Arial" w:cs="Arial" w:eastAsia="Arial" w:hAnsi="Arial"/>
                <w:sz w:val="16"/>
                <w:szCs w:val="16"/>
                <w:color w:val="auto"/>
              </w:rPr>
              <w:t>CHECK IF THE AGGREGATE AMOUNT IN ROW (11) EXCLUDES CERTAIN SHARES</w:t>
            </w:r>
          </w:p>
        </w:tc>
        <w:tc>
          <w:tcPr>
            <w:tcW w:w="1560" w:type="dxa"/>
            <w:vAlign w:val="bottom"/>
          </w:tcPr>
          <w:p>
            <w:pPr>
              <w:ind w:left="66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580" w:type="dxa"/>
            <w:vAlign w:val="bottom"/>
          </w:tcPr>
          <w:p>
            <w:pPr>
              <w:spacing w:after="0"/>
              <w:rPr>
                <w:sz w:val="4"/>
                <w:szCs w:val="4"/>
                <w:color w:val="auto"/>
              </w:rPr>
            </w:pPr>
          </w:p>
        </w:tc>
        <w:tc>
          <w:tcPr>
            <w:tcW w:w="8100" w:type="dxa"/>
            <w:vAlign w:val="bottom"/>
            <w:gridSpan w:val="2"/>
            <w:vMerge w:val="continue"/>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580" w:type="dxa"/>
            <w:vAlign w:val="bottom"/>
            <w:tcBorders>
              <w:bottom w:val="single" w:sz="8" w:color="auto"/>
            </w:tcBorders>
          </w:tcPr>
          <w:p>
            <w:pPr>
              <w:spacing w:after="0"/>
              <w:rPr>
                <w:sz w:val="22"/>
                <w:szCs w:val="22"/>
                <w:color w:val="auto"/>
              </w:rPr>
            </w:pPr>
          </w:p>
        </w:tc>
        <w:tc>
          <w:tcPr>
            <w:tcW w:w="8100" w:type="dxa"/>
            <w:vAlign w:val="bottom"/>
            <w:tcBorders>
              <w:bottom w:val="single" w:sz="8" w:color="auto"/>
            </w:tcBorders>
            <w:gridSpan w:val="2"/>
          </w:tcPr>
          <w:p>
            <w:pPr>
              <w:spacing w:after="0"/>
              <w:rPr>
                <w:sz w:val="22"/>
                <w:szCs w:val="22"/>
                <w:color w:val="auto"/>
              </w:rPr>
            </w:pPr>
          </w:p>
        </w:tc>
        <w:tc>
          <w:tcPr>
            <w:tcW w:w="15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58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13</w:t>
            </w:r>
          </w:p>
        </w:tc>
        <w:tc>
          <w:tcPr>
            <w:tcW w:w="8100" w:type="dxa"/>
            <w:vAlign w:val="bottom"/>
            <w:gridSpan w:val="2"/>
          </w:tcPr>
          <w:p>
            <w:pPr>
              <w:ind w:left="120"/>
              <w:spacing w:after="0"/>
              <w:rPr>
                <w:sz w:val="20"/>
                <w:szCs w:val="20"/>
                <w:color w:val="auto"/>
              </w:rPr>
            </w:pPr>
            <w:r>
              <w:rPr>
                <w:rFonts w:ascii="Arial" w:cs="Arial" w:eastAsia="Arial" w:hAnsi="Arial"/>
                <w:sz w:val="16"/>
                <w:szCs w:val="16"/>
                <w:color w:val="auto"/>
              </w:rPr>
              <w:t>PERCENT OF CLASS REPRESENTED BY AMOUNT IN ROW (11)</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580" w:type="dxa"/>
            <w:vAlign w:val="bottom"/>
            <w:vMerge w:val="continue"/>
          </w:tcPr>
          <w:p>
            <w:pPr>
              <w:spacing w:after="0"/>
              <w:rPr>
                <w:sz w:val="14"/>
                <w:szCs w:val="14"/>
                <w:color w:val="auto"/>
              </w:rPr>
            </w:pPr>
          </w:p>
        </w:tc>
        <w:tc>
          <w:tcPr>
            <w:tcW w:w="1260" w:type="dxa"/>
            <w:vAlign w:val="bottom"/>
            <w:vMerge w:val="restart"/>
          </w:tcPr>
          <w:p>
            <w:pPr>
              <w:jc w:val="right"/>
              <w:ind w:right="298"/>
              <w:spacing w:after="0"/>
              <w:rPr>
                <w:sz w:val="20"/>
                <w:szCs w:val="20"/>
                <w:color w:val="auto"/>
              </w:rPr>
            </w:pPr>
            <w:r>
              <w:rPr>
                <w:rFonts w:ascii="Arial" w:cs="Arial" w:eastAsia="Arial" w:hAnsi="Arial"/>
                <w:sz w:val="20"/>
                <w:szCs w:val="20"/>
                <w:color w:val="auto"/>
              </w:rPr>
              <w:t>9.9%</w:t>
            </w:r>
          </w:p>
        </w:tc>
        <w:tc>
          <w:tcPr>
            <w:tcW w:w="68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6840" w:type="dxa"/>
            <w:vAlign w:val="bottom"/>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80" w:type="dxa"/>
            <w:vAlign w:val="bottom"/>
            <w:tcBorders>
              <w:bottom w:val="single" w:sz="8" w:color="auto"/>
            </w:tcBorders>
          </w:tcPr>
          <w:p>
            <w:pPr>
              <w:spacing w:after="0"/>
              <w:rPr>
                <w:sz w:val="9"/>
                <w:szCs w:val="9"/>
                <w:color w:val="auto"/>
              </w:rPr>
            </w:pPr>
          </w:p>
        </w:tc>
        <w:tc>
          <w:tcPr>
            <w:tcW w:w="8100" w:type="dxa"/>
            <w:vAlign w:val="bottom"/>
            <w:tcBorders>
              <w:bottom w:val="single" w:sz="8" w:color="auto"/>
            </w:tcBorders>
            <w:gridSpan w:val="2"/>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58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14</w:t>
            </w:r>
          </w:p>
        </w:tc>
        <w:tc>
          <w:tcPr>
            <w:tcW w:w="8100" w:type="dxa"/>
            <w:vAlign w:val="bottom"/>
            <w:gridSpan w:val="2"/>
          </w:tcPr>
          <w:p>
            <w:pPr>
              <w:ind w:left="120"/>
              <w:spacing w:after="0"/>
              <w:rPr>
                <w:sz w:val="20"/>
                <w:szCs w:val="20"/>
                <w:color w:val="auto"/>
              </w:rPr>
            </w:pPr>
            <w:r>
              <w:rPr>
                <w:rFonts w:ascii="Arial" w:cs="Arial" w:eastAsia="Arial" w:hAnsi="Arial"/>
                <w:sz w:val="16"/>
                <w:szCs w:val="16"/>
                <w:color w:val="auto"/>
              </w:rPr>
              <w:t>TYPE OF REPORTING PERSON</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580" w:type="dxa"/>
            <w:vAlign w:val="bottom"/>
            <w:vMerge w:val="continue"/>
          </w:tcPr>
          <w:p>
            <w:pPr>
              <w:spacing w:after="0"/>
              <w:rPr>
                <w:sz w:val="14"/>
                <w:szCs w:val="14"/>
                <w:color w:val="auto"/>
              </w:rPr>
            </w:pPr>
          </w:p>
        </w:tc>
        <w:tc>
          <w:tcPr>
            <w:tcW w:w="1260" w:type="dxa"/>
            <w:vAlign w:val="bottom"/>
            <w:vMerge w:val="restart"/>
          </w:tcPr>
          <w:p>
            <w:pPr>
              <w:ind w:left="440"/>
              <w:spacing w:after="0"/>
              <w:rPr>
                <w:sz w:val="20"/>
                <w:szCs w:val="20"/>
                <w:color w:val="auto"/>
              </w:rPr>
            </w:pPr>
            <w:r>
              <w:rPr>
                <w:rFonts w:ascii="Arial" w:cs="Arial" w:eastAsia="Arial" w:hAnsi="Arial"/>
                <w:sz w:val="20"/>
                <w:szCs w:val="20"/>
                <w:color w:val="auto"/>
              </w:rPr>
              <w:t>IA, PN</w:t>
            </w:r>
          </w:p>
        </w:tc>
        <w:tc>
          <w:tcPr>
            <w:tcW w:w="68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6840" w:type="dxa"/>
            <w:vAlign w:val="bottom"/>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CUSIP No. 34385P108</w:t>
            </w:r>
          </w:p>
        </w:tc>
        <w:tc>
          <w:tcPr>
            <w:tcW w:w="3720" w:type="dxa"/>
            <w:vAlign w:val="bottom"/>
          </w:tcPr>
          <w:p>
            <w:pPr>
              <w:ind w:left="420"/>
              <w:spacing w:after="0"/>
              <w:rPr>
                <w:sz w:val="20"/>
                <w:szCs w:val="20"/>
                <w:color w:val="auto"/>
              </w:rPr>
            </w:pPr>
            <w:r>
              <w:rPr>
                <w:rFonts w:ascii="Arial" w:cs="Arial" w:eastAsia="Arial" w:hAnsi="Arial"/>
                <w:sz w:val="18"/>
                <w:szCs w:val="18"/>
                <w:b w:val="1"/>
                <w:bCs w:val="1"/>
                <w:color w:val="auto"/>
              </w:rPr>
              <w:t>SCHEDULE 13D/A</w:t>
            </w:r>
          </w:p>
        </w:tc>
        <w:tc>
          <w:tcPr>
            <w:tcW w:w="3080" w:type="dxa"/>
            <w:vAlign w:val="bottom"/>
          </w:tcPr>
          <w:p>
            <w:pPr>
              <w:ind w:left="1760"/>
              <w:spacing w:after="0"/>
              <w:rPr>
                <w:sz w:val="20"/>
                <w:szCs w:val="20"/>
                <w:color w:val="auto"/>
              </w:rPr>
            </w:pPr>
            <w:r>
              <w:rPr>
                <w:rFonts w:ascii="Arial" w:cs="Arial" w:eastAsia="Arial" w:hAnsi="Arial"/>
                <w:sz w:val="18"/>
                <w:szCs w:val="18"/>
                <w:b w:val="1"/>
                <w:bCs w:val="1"/>
                <w:color w:val="auto"/>
                <w:w w:val="84"/>
              </w:rPr>
              <w:t>Page 3 of 5 Pages</w:t>
            </w:r>
          </w:p>
        </w:tc>
        <w:tc>
          <w:tcPr>
            <w:tcW w:w="0" w:type="dxa"/>
            <w:vAlign w:val="bottom"/>
          </w:tcPr>
          <w:p>
            <w:pPr>
              <w:spacing w:after="0"/>
              <w:rPr>
                <w:sz w:val="1"/>
                <w:szCs w:val="1"/>
                <w:color w:val="auto"/>
              </w:rPr>
            </w:pPr>
          </w:p>
        </w:tc>
      </w:tr>
      <w:tr>
        <w:trPr>
          <w:trHeight w:val="662"/>
        </w:trPr>
        <w:tc>
          <w:tcPr>
            <w:tcW w:w="12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280" w:type="dxa"/>
            <w:vAlign w:val="bottom"/>
            <w:vMerge w:val="restart"/>
          </w:tcPr>
          <w:p>
            <w:pPr>
              <w:jc w:val="right"/>
              <w:ind w:right="274"/>
              <w:spacing w:after="0"/>
              <w:rPr>
                <w:sz w:val="20"/>
                <w:szCs w:val="20"/>
                <w:color w:val="auto"/>
              </w:rPr>
            </w:pPr>
            <w:r>
              <w:rPr>
                <w:rFonts w:ascii="Arial" w:cs="Arial" w:eastAsia="Arial" w:hAnsi="Arial"/>
                <w:sz w:val="29"/>
                <w:szCs w:val="29"/>
                <w:b w:val="1"/>
                <w:bCs w:val="1"/>
                <w:color w:val="auto"/>
              </w:rPr>
              <w:t>1</w:t>
            </w:r>
          </w:p>
        </w:tc>
        <w:tc>
          <w:tcPr>
            <w:tcW w:w="3160" w:type="dxa"/>
            <w:vAlign w:val="bottom"/>
          </w:tcPr>
          <w:p>
            <w:pPr>
              <w:ind w:left="420"/>
              <w:spacing w:after="0"/>
              <w:rPr>
                <w:sz w:val="20"/>
                <w:szCs w:val="20"/>
                <w:color w:val="auto"/>
              </w:rPr>
            </w:pPr>
            <w:r>
              <w:rPr>
                <w:rFonts w:ascii="Arial" w:cs="Arial" w:eastAsia="Arial" w:hAnsi="Arial"/>
                <w:sz w:val="16"/>
                <w:szCs w:val="16"/>
                <w:color w:val="auto"/>
              </w:rPr>
              <w:t>NAME OF REPORTING PERSON</w:t>
            </w:r>
          </w:p>
        </w:tc>
        <w:tc>
          <w:tcPr>
            <w:tcW w:w="37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280" w:type="dxa"/>
            <w:vAlign w:val="bottom"/>
            <w:vMerge w:val="continue"/>
          </w:tcPr>
          <w:p>
            <w:pPr>
              <w:spacing w:after="0"/>
              <w:rPr>
                <w:sz w:val="14"/>
                <w:szCs w:val="14"/>
                <w:color w:val="auto"/>
              </w:rPr>
            </w:pPr>
          </w:p>
        </w:tc>
        <w:tc>
          <w:tcPr>
            <w:tcW w:w="3160" w:type="dxa"/>
            <w:vAlign w:val="bottom"/>
            <w:vMerge w:val="restart"/>
          </w:tcPr>
          <w:p>
            <w:pPr>
              <w:ind w:left="740"/>
              <w:spacing w:after="0"/>
              <w:rPr>
                <w:sz w:val="20"/>
                <w:szCs w:val="20"/>
                <w:color w:val="auto"/>
              </w:rPr>
            </w:pPr>
            <w:r>
              <w:rPr>
                <w:rFonts w:ascii="Arial" w:cs="Arial" w:eastAsia="Arial" w:hAnsi="Arial"/>
                <w:sz w:val="20"/>
                <w:szCs w:val="20"/>
                <w:color w:val="auto"/>
              </w:rPr>
              <w:t>David Johnson</w:t>
            </w:r>
          </w:p>
        </w:tc>
        <w:tc>
          <w:tcPr>
            <w:tcW w:w="37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280" w:type="dxa"/>
            <w:vAlign w:val="bottom"/>
          </w:tcPr>
          <w:p>
            <w:pPr>
              <w:spacing w:after="0"/>
              <w:rPr>
                <w:sz w:val="6"/>
                <w:szCs w:val="6"/>
                <w:color w:val="auto"/>
              </w:rPr>
            </w:pPr>
          </w:p>
        </w:tc>
        <w:tc>
          <w:tcPr>
            <w:tcW w:w="3160" w:type="dxa"/>
            <w:vAlign w:val="bottom"/>
            <w:vMerge w:val="continue"/>
          </w:tcPr>
          <w:p>
            <w:pPr>
              <w:spacing w:after="0"/>
              <w:rPr>
                <w:sz w:val="6"/>
                <w:szCs w:val="6"/>
                <w:color w:val="auto"/>
              </w:rPr>
            </w:pPr>
          </w:p>
        </w:tc>
        <w:tc>
          <w:tcPr>
            <w:tcW w:w="3720" w:type="dxa"/>
            <w:vAlign w:val="bottom"/>
          </w:tcPr>
          <w:p>
            <w:pPr>
              <w:spacing w:after="0"/>
              <w:rPr>
                <w:sz w:val="6"/>
                <w:szCs w:val="6"/>
                <w:color w:val="auto"/>
              </w:rPr>
            </w:pPr>
          </w:p>
        </w:tc>
        <w:tc>
          <w:tcPr>
            <w:tcW w:w="3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280" w:type="dxa"/>
            <w:vAlign w:val="bottom"/>
            <w:tcBorders>
              <w:bottom w:val="single" w:sz="8" w:color="auto"/>
            </w:tcBorders>
          </w:tcPr>
          <w:p>
            <w:pPr>
              <w:spacing w:after="0"/>
              <w:rPr>
                <w:sz w:val="9"/>
                <w:szCs w:val="9"/>
                <w:color w:val="auto"/>
              </w:rPr>
            </w:pPr>
          </w:p>
        </w:tc>
        <w:tc>
          <w:tcPr>
            <w:tcW w:w="6880" w:type="dxa"/>
            <w:vAlign w:val="bottom"/>
            <w:tcBorders>
              <w:bottom w:val="single" w:sz="8" w:color="auto"/>
            </w:tcBorders>
            <w:gridSpan w:val="2"/>
          </w:tcPr>
          <w:p>
            <w:pPr>
              <w:spacing w:after="0"/>
              <w:rPr>
                <w:sz w:val="9"/>
                <w:szCs w:val="9"/>
                <w:color w:val="auto"/>
              </w:rPr>
            </w:pPr>
          </w:p>
        </w:tc>
        <w:tc>
          <w:tcPr>
            <w:tcW w:w="30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280" w:type="dxa"/>
            <w:vAlign w:val="bottom"/>
            <w:vMerge w:val="restart"/>
          </w:tcPr>
          <w:p>
            <w:pPr>
              <w:jc w:val="right"/>
              <w:ind w:right="274"/>
              <w:spacing w:after="0" w:line="320" w:lineRule="exact"/>
              <w:rPr>
                <w:sz w:val="20"/>
                <w:szCs w:val="20"/>
                <w:color w:val="auto"/>
              </w:rPr>
            </w:pPr>
            <w:r>
              <w:rPr>
                <w:rFonts w:ascii="Arial" w:cs="Arial" w:eastAsia="Arial" w:hAnsi="Arial"/>
                <w:sz w:val="29"/>
                <w:szCs w:val="29"/>
                <w:b w:val="1"/>
                <w:bCs w:val="1"/>
                <w:color w:val="auto"/>
              </w:rPr>
              <w:t>2</w:t>
            </w:r>
          </w:p>
        </w:tc>
        <w:tc>
          <w:tcPr>
            <w:tcW w:w="6880" w:type="dxa"/>
            <w:vAlign w:val="bottom"/>
            <w:gridSpan w:val="2"/>
          </w:tcPr>
          <w:p>
            <w:pPr>
              <w:ind w:left="420"/>
              <w:spacing w:after="0"/>
              <w:rPr>
                <w:sz w:val="20"/>
                <w:szCs w:val="20"/>
                <w:color w:val="auto"/>
              </w:rPr>
            </w:pPr>
            <w:r>
              <w:rPr>
                <w:rFonts w:ascii="Arial" w:cs="Arial" w:eastAsia="Arial" w:hAnsi="Arial"/>
                <w:sz w:val="16"/>
                <w:szCs w:val="16"/>
                <w:color w:val="auto"/>
              </w:rPr>
              <w:t>CHECK THE APPROPRIATE BOX IF A MEMBER OF A GROUP</w:t>
            </w:r>
          </w:p>
        </w:tc>
        <w:tc>
          <w:tcPr>
            <w:tcW w:w="3080" w:type="dxa"/>
            <w:vAlign w:val="bottom"/>
            <w:vMerge w:val="restart"/>
          </w:tcPr>
          <w:p>
            <w:pPr>
              <w:ind w:left="2060"/>
              <w:spacing w:after="0" w:line="320" w:lineRule="exact"/>
              <w:rPr>
                <w:sz w:val="20"/>
                <w:szCs w:val="20"/>
                <w:color w:val="auto"/>
              </w:rPr>
            </w:pPr>
            <w:r>
              <w:rPr>
                <w:rFonts w:ascii="Arial" w:cs="Arial" w:eastAsia="Arial" w:hAnsi="Arial"/>
                <w:sz w:val="22"/>
                <w:szCs w:val="22"/>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76"/>
        </w:trPr>
        <w:tc>
          <w:tcPr>
            <w:tcW w:w="1280" w:type="dxa"/>
            <w:vAlign w:val="bottom"/>
            <w:vMerge w:val="continue"/>
          </w:tcPr>
          <w:p>
            <w:pPr>
              <w:spacing w:after="0"/>
              <w:rPr>
                <w:sz w:val="6"/>
                <w:szCs w:val="6"/>
                <w:color w:val="auto"/>
              </w:rPr>
            </w:pPr>
          </w:p>
        </w:tc>
        <w:tc>
          <w:tcPr>
            <w:tcW w:w="3160" w:type="dxa"/>
            <w:vAlign w:val="bottom"/>
          </w:tcPr>
          <w:p>
            <w:pPr>
              <w:spacing w:after="0"/>
              <w:rPr>
                <w:sz w:val="6"/>
                <w:szCs w:val="6"/>
                <w:color w:val="auto"/>
              </w:rPr>
            </w:pPr>
          </w:p>
        </w:tc>
        <w:tc>
          <w:tcPr>
            <w:tcW w:w="3720" w:type="dxa"/>
            <w:vAlign w:val="bottom"/>
          </w:tcPr>
          <w:p>
            <w:pPr>
              <w:spacing w:after="0"/>
              <w:rPr>
                <w:sz w:val="6"/>
                <w:szCs w:val="6"/>
                <w:color w:val="auto"/>
              </w:rPr>
            </w:pPr>
          </w:p>
        </w:tc>
        <w:tc>
          <w:tcPr>
            <w:tcW w:w="3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67"/>
        </w:trPr>
        <w:tc>
          <w:tcPr>
            <w:tcW w:w="12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080" w:type="dxa"/>
            <w:vAlign w:val="bottom"/>
          </w:tcPr>
          <w:p>
            <w:pPr>
              <w:ind w:left="2060"/>
              <w:spacing w:after="0"/>
              <w:rPr>
                <w:sz w:val="20"/>
                <w:szCs w:val="20"/>
                <w:color w:val="auto"/>
              </w:rPr>
            </w:pPr>
            <w:r>
              <w:rPr>
                <w:rFonts w:ascii="Arial" w:cs="Arial" w:eastAsia="Arial" w:hAnsi="Arial"/>
                <w:sz w:val="22"/>
                <w:szCs w:val="22"/>
                <w:color w:val="auto"/>
              </w:rPr>
              <w:t xml:space="preserve">(b) </w:t>
            </w:r>
            <w:r>
              <w:rPr>
                <w:rFonts w:ascii="Arial" w:cs="Arial" w:eastAsia="Arial" w:hAnsi="Arial"/>
                <w:sz w:val="28"/>
                <w:szCs w:val="28"/>
                <w:color w:val="auto"/>
              </w:rPr>
              <w:t>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-833755</wp:posOffset>
            </wp:positionV>
            <wp:extent cx="7132320" cy="53149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5314950"/>
                    </a:xfrm>
                    <a:prstGeom prst="rect">
                      <a:avLst/>
                    </a:prstGeom>
                    <a:noFill/>
                  </pic:spPr>
                </pic:pic>
              </a:graphicData>
            </a:graphic>
          </wp:anchor>
        </w:drawing>
      </w:r>
    </w:p>
    <w:p>
      <w:pPr>
        <w:ind w:left="1700" w:hanging="972"/>
        <w:spacing w:after="0" w:line="180" w:lineRule="auto"/>
        <w:tabs>
          <w:tab w:leader="none" w:pos="1700" w:val="left"/>
        </w:tabs>
        <w:numPr>
          <w:ilvl w:val="0"/>
          <w:numId w:val="4"/>
        </w:numPr>
        <w:rPr>
          <w:rFonts w:ascii="Arial" w:cs="Arial" w:eastAsia="Arial" w:hAnsi="Arial"/>
          <w:sz w:val="30"/>
          <w:szCs w:val="30"/>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8"/>
              </w:rPr>
              <w:t>4</w:t>
            </w:r>
          </w:p>
        </w:tc>
        <w:tc>
          <w:tcPr>
            <w:tcW w:w="8100" w:type="dxa"/>
            <w:vAlign w:val="bottom"/>
            <w:gridSpan w:val="2"/>
          </w:tcPr>
          <w:p>
            <w:pPr>
              <w:ind w:left="120"/>
              <w:spacing w:after="0"/>
              <w:rPr>
                <w:sz w:val="20"/>
                <w:szCs w:val="20"/>
                <w:color w:val="auto"/>
              </w:rPr>
            </w:pPr>
            <w:r>
              <w:rPr>
                <w:rFonts w:ascii="Arial" w:cs="Arial" w:eastAsia="Arial" w:hAnsi="Arial"/>
                <w:sz w:val="16"/>
                <w:szCs w:val="16"/>
                <w:color w:val="auto"/>
              </w:rPr>
              <w:t>SOURCE OF FUNDS</w:t>
            </w: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580" w:type="dxa"/>
            <w:vAlign w:val="bottom"/>
            <w:vMerge w:val="continue"/>
          </w:tcPr>
          <w:p>
            <w:pPr>
              <w:spacing w:after="0"/>
              <w:rPr>
                <w:sz w:val="14"/>
                <w:szCs w:val="14"/>
                <w:color w:val="auto"/>
              </w:rPr>
            </w:pPr>
          </w:p>
        </w:tc>
        <w:tc>
          <w:tcPr>
            <w:tcW w:w="1260" w:type="dxa"/>
            <w:vAlign w:val="bottom"/>
            <w:vMerge w:val="restart"/>
          </w:tcPr>
          <w:p>
            <w:pPr>
              <w:ind w:left="440"/>
              <w:spacing w:after="0"/>
              <w:rPr>
                <w:sz w:val="20"/>
                <w:szCs w:val="20"/>
                <w:color w:val="auto"/>
              </w:rPr>
            </w:pPr>
            <w:r>
              <w:rPr>
                <w:rFonts w:ascii="Arial" w:cs="Arial" w:eastAsia="Arial" w:hAnsi="Arial"/>
                <w:sz w:val="20"/>
                <w:szCs w:val="20"/>
                <w:color w:val="auto"/>
              </w:rPr>
              <w:t>AF</w:t>
            </w:r>
          </w:p>
        </w:tc>
        <w:tc>
          <w:tcPr>
            <w:tcW w:w="68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6840" w:type="dxa"/>
            <w:vAlign w:val="bottom"/>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84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580" w:type="dxa"/>
            <w:vAlign w:val="bottom"/>
          </w:tcPr>
          <w:p>
            <w:pPr>
              <w:jc w:val="center"/>
              <w:spacing w:after="0" w:line="195" w:lineRule="exact"/>
              <w:rPr>
                <w:sz w:val="20"/>
                <w:szCs w:val="20"/>
                <w:color w:val="auto"/>
              </w:rPr>
            </w:pPr>
            <w:r>
              <w:rPr>
                <w:rFonts w:ascii="Arial" w:cs="Arial" w:eastAsia="Arial" w:hAnsi="Arial"/>
                <w:sz w:val="22"/>
                <w:szCs w:val="22"/>
                <w:b w:val="1"/>
                <w:bCs w:val="1"/>
                <w:color w:val="auto"/>
              </w:rPr>
              <w:t>5</w:t>
            </w:r>
          </w:p>
        </w:tc>
        <w:tc>
          <w:tcPr>
            <w:tcW w:w="8100" w:type="dxa"/>
            <w:vAlign w:val="bottom"/>
            <w:gridSpan w:val="2"/>
            <w:vMerge w:val="restart"/>
          </w:tcPr>
          <w:p>
            <w:pPr>
              <w:ind w:left="20"/>
              <w:spacing w:after="0"/>
              <w:rPr>
                <w:sz w:val="20"/>
                <w:szCs w:val="20"/>
                <w:color w:val="auto"/>
              </w:rPr>
            </w:pPr>
            <w:r>
              <w:rPr>
                <w:rFonts w:ascii="Arial" w:cs="Arial" w:eastAsia="Arial" w:hAnsi="Arial"/>
                <w:sz w:val="16"/>
                <w:szCs w:val="16"/>
                <w:color w:val="auto"/>
              </w:rPr>
              <w:t>CHECK BOX IF DISCLOSURE OF LEGAL PROCEEDING IS REQUIRED PURSUANT TO ITEMS 2(d) or 2(e)</w:t>
            </w:r>
          </w:p>
        </w:tc>
        <w:tc>
          <w:tcPr>
            <w:tcW w:w="1560" w:type="dxa"/>
            <w:vAlign w:val="bottom"/>
          </w:tcPr>
          <w:p>
            <w:pPr>
              <w:ind w:left="54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580" w:type="dxa"/>
            <w:vAlign w:val="bottom"/>
          </w:tcPr>
          <w:p>
            <w:pPr>
              <w:spacing w:after="0"/>
              <w:rPr>
                <w:sz w:val="4"/>
                <w:szCs w:val="4"/>
                <w:color w:val="auto"/>
              </w:rPr>
            </w:pPr>
          </w:p>
        </w:tc>
        <w:tc>
          <w:tcPr>
            <w:tcW w:w="8100" w:type="dxa"/>
            <w:vAlign w:val="bottom"/>
            <w:gridSpan w:val="2"/>
            <w:vMerge w:val="continue"/>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5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68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58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8"/>
              </w:rPr>
              <w:t>6</w:t>
            </w:r>
          </w:p>
        </w:tc>
        <w:tc>
          <w:tcPr>
            <w:tcW w:w="8100" w:type="dxa"/>
            <w:vAlign w:val="bottom"/>
            <w:gridSpan w:val="2"/>
          </w:tcPr>
          <w:p>
            <w:pPr>
              <w:ind w:left="120"/>
              <w:spacing w:after="0"/>
              <w:rPr>
                <w:sz w:val="20"/>
                <w:szCs w:val="20"/>
                <w:color w:val="auto"/>
              </w:rPr>
            </w:pPr>
            <w:r>
              <w:rPr>
                <w:rFonts w:ascii="Arial" w:cs="Arial" w:eastAsia="Arial" w:hAnsi="Arial"/>
                <w:sz w:val="16"/>
                <w:szCs w:val="16"/>
                <w:color w:val="auto"/>
              </w:rPr>
              <w:t>CITIZENSHIP OR PLACE OF ORGANIZATION</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580" w:type="dxa"/>
            <w:vAlign w:val="bottom"/>
            <w:vMerge w:val="continue"/>
          </w:tcPr>
          <w:p>
            <w:pPr>
              <w:spacing w:after="0"/>
              <w:rPr>
                <w:sz w:val="14"/>
                <w:szCs w:val="14"/>
                <w:color w:val="auto"/>
              </w:rPr>
            </w:pPr>
          </w:p>
        </w:tc>
        <w:tc>
          <w:tcPr>
            <w:tcW w:w="8100" w:type="dxa"/>
            <w:vAlign w:val="bottom"/>
            <w:gridSpan w:val="2"/>
            <w:vMerge w:val="restart"/>
          </w:tcPr>
          <w:p>
            <w:pPr>
              <w:ind w:left="440"/>
              <w:spacing w:after="0"/>
              <w:rPr>
                <w:sz w:val="20"/>
                <w:szCs w:val="20"/>
                <w:color w:val="auto"/>
              </w:rPr>
            </w:pPr>
            <w:r>
              <w:rPr>
                <w:rFonts w:ascii="Arial" w:cs="Arial" w:eastAsia="Arial" w:hAnsi="Arial"/>
                <w:sz w:val="20"/>
                <w:szCs w:val="20"/>
                <w:color w:val="auto"/>
              </w:rPr>
              <w:t>United States</w:t>
            </w: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8100" w:type="dxa"/>
            <w:vAlign w:val="bottom"/>
            <w:gridSpan w:val="2"/>
            <w:vMerge w:val="continue"/>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84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580" w:type="dxa"/>
            <w:vAlign w:val="bottom"/>
          </w:tcPr>
          <w:p>
            <w:pPr>
              <w:spacing w:after="0"/>
              <w:rPr>
                <w:sz w:val="20"/>
                <w:szCs w:val="20"/>
                <w:color w:val="auto"/>
              </w:rPr>
            </w:pPr>
          </w:p>
        </w:tc>
        <w:tc>
          <w:tcPr>
            <w:tcW w:w="1260" w:type="dxa"/>
            <w:vAlign w:val="bottom"/>
            <w:tcBorders>
              <w:right w:val="single" w:sz="8" w:color="auto"/>
            </w:tcBorders>
            <w:vMerge w:val="restart"/>
          </w:tcPr>
          <w:p>
            <w:pPr>
              <w:jc w:val="right"/>
              <w:ind w:right="458"/>
              <w:spacing w:after="0"/>
              <w:rPr>
                <w:sz w:val="20"/>
                <w:szCs w:val="20"/>
                <w:color w:val="auto"/>
              </w:rPr>
            </w:pPr>
            <w:r>
              <w:rPr>
                <w:rFonts w:ascii="Arial" w:cs="Arial" w:eastAsia="Arial" w:hAnsi="Arial"/>
                <w:sz w:val="29"/>
                <w:szCs w:val="29"/>
                <w:b w:val="1"/>
                <w:bCs w:val="1"/>
                <w:color w:val="auto"/>
              </w:rPr>
              <w:t>7</w:t>
            </w:r>
          </w:p>
        </w:tc>
        <w:tc>
          <w:tcPr>
            <w:tcW w:w="684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580" w:type="dxa"/>
            <w:vAlign w:val="bottom"/>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684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tcBorders>
              <w:right w:val="single" w:sz="8" w:color="auto"/>
            </w:tcBorders>
          </w:tcPr>
          <w:p>
            <w:pPr>
              <w:spacing w:after="0"/>
              <w:rPr>
                <w:sz w:val="6"/>
                <w:szCs w:val="6"/>
                <w:color w:val="auto"/>
              </w:rPr>
            </w:pPr>
          </w:p>
        </w:tc>
        <w:tc>
          <w:tcPr>
            <w:tcW w:w="6840" w:type="dxa"/>
            <w:vAlign w:val="bottom"/>
            <w:vMerge w:val="continue"/>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9"/>
              </w:rPr>
              <w:t>NUMBER OF</w:t>
            </w:r>
          </w:p>
        </w:tc>
        <w:tc>
          <w:tcPr>
            <w:tcW w:w="1260" w:type="dxa"/>
            <w:vAlign w:val="bottom"/>
            <w:tcBorders>
              <w:bottom w:val="single" w:sz="8" w:color="auto"/>
              <w:right w:val="single" w:sz="8" w:color="auto"/>
            </w:tcBorders>
          </w:tcPr>
          <w:p>
            <w:pPr>
              <w:spacing w:after="0"/>
              <w:rPr>
                <w:sz w:val="9"/>
                <w:szCs w:val="9"/>
                <w:color w:val="auto"/>
              </w:rPr>
            </w:pPr>
          </w:p>
        </w:tc>
        <w:tc>
          <w:tcPr>
            <w:tcW w:w="684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580" w:type="dxa"/>
            <w:vAlign w:val="bottom"/>
            <w:vMerge w:val="continue"/>
          </w:tcPr>
          <w:p>
            <w:pPr>
              <w:spacing w:after="0"/>
              <w:rPr>
                <w:sz w:val="9"/>
                <w:szCs w:val="9"/>
                <w:color w:val="auto"/>
              </w:rPr>
            </w:pPr>
          </w:p>
        </w:tc>
        <w:tc>
          <w:tcPr>
            <w:tcW w:w="1260" w:type="dxa"/>
            <w:vAlign w:val="bottom"/>
            <w:tcBorders>
              <w:right w:val="single" w:sz="8" w:color="auto"/>
            </w:tcBorders>
            <w:vMerge w:val="restart"/>
          </w:tcPr>
          <w:p>
            <w:pPr>
              <w:jc w:val="right"/>
              <w:ind w:right="458"/>
              <w:spacing w:after="0" w:line="308" w:lineRule="exact"/>
              <w:rPr>
                <w:sz w:val="20"/>
                <w:szCs w:val="20"/>
                <w:color w:val="auto"/>
              </w:rPr>
            </w:pPr>
            <w:r>
              <w:rPr>
                <w:rFonts w:ascii="Arial" w:cs="Arial" w:eastAsia="Arial" w:hAnsi="Arial"/>
                <w:sz w:val="29"/>
                <w:szCs w:val="29"/>
                <w:b w:val="1"/>
                <w:bCs w:val="1"/>
                <w:color w:val="auto"/>
              </w:rPr>
              <w:t>8</w:t>
            </w:r>
          </w:p>
        </w:tc>
        <w:tc>
          <w:tcPr>
            <w:tcW w:w="6840" w:type="dxa"/>
            <w:vAlign w:val="bottom"/>
            <w:vMerge w:val="restart"/>
          </w:tcPr>
          <w:p>
            <w:pPr>
              <w:ind w:left="100"/>
              <w:spacing w:after="0"/>
              <w:rPr>
                <w:sz w:val="20"/>
                <w:szCs w:val="20"/>
                <w:color w:val="auto"/>
              </w:rPr>
            </w:pPr>
            <w:r>
              <w:rPr>
                <w:rFonts w:ascii="Arial" w:cs="Arial" w:eastAsia="Arial" w:hAnsi="Arial"/>
                <w:sz w:val="16"/>
                <w:szCs w:val="16"/>
                <w:color w:val="auto"/>
              </w:rPr>
              <w:t>SHARED VOTING POWER</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7"/>
              </w:rPr>
              <w:t>SHARES</w:t>
            </w:r>
          </w:p>
        </w:tc>
        <w:tc>
          <w:tcPr>
            <w:tcW w:w="1260" w:type="dxa"/>
            <w:vAlign w:val="bottom"/>
            <w:tcBorders>
              <w:right w:val="single" w:sz="8" w:color="auto"/>
            </w:tcBorders>
            <w:vMerge w:val="continue"/>
          </w:tcPr>
          <w:p>
            <w:pPr>
              <w:spacing w:after="0"/>
              <w:rPr>
                <w:sz w:val="11"/>
                <w:szCs w:val="11"/>
                <w:color w:val="auto"/>
              </w:rPr>
            </w:pPr>
          </w:p>
        </w:tc>
        <w:tc>
          <w:tcPr>
            <w:tcW w:w="6840" w:type="dxa"/>
            <w:vAlign w:val="bottom"/>
            <w:vMerge w:val="continue"/>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580" w:type="dxa"/>
            <w:vAlign w:val="bottom"/>
            <w:vMerge w:val="continue"/>
          </w:tcPr>
          <w:p>
            <w:pPr>
              <w:spacing w:after="0"/>
              <w:rPr>
                <w:sz w:val="6"/>
                <w:szCs w:val="6"/>
                <w:color w:val="auto"/>
              </w:rPr>
            </w:pPr>
          </w:p>
        </w:tc>
        <w:tc>
          <w:tcPr>
            <w:tcW w:w="1260" w:type="dxa"/>
            <w:vAlign w:val="bottom"/>
            <w:tcBorders>
              <w:right w:val="single" w:sz="8" w:color="auto"/>
            </w:tcBorders>
            <w:vMerge w:val="continue"/>
          </w:tcPr>
          <w:p>
            <w:pPr>
              <w:spacing w:after="0"/>
              <w:rPr>
                <w:sz w:val="6"/>
                <w:szCs w:val="6"/>
                <w:color w:val="auto"/>
              </w:rPr>
            </w:pPr>
          </w:p>
        </w:tc>
        <w:tc>
          <w:tcPr>
            <w:tcW w:w="6840" w:type="dxa"/>
            <w:vAlign w:val="bottom"/>
            <w:vMerge w:val="restart"/>
          </w:tcPr>
          <w:p>
            <w:pPr>
              <w:ind w:left="420"/>
              <w:spacing w:after="0"/>
              <w:rPr>
                <w:sz w:val="20"/>
                <w:szCs w:val="20"/>
                <w:color w:val="auto"/>
              </w:rPr>
            </w:pPr>
            <w:r>
              <w:rPr>
                <w:rFonts w:ascii="Arial" w:cs="Arial" w:eastAsia="Arial" w:hAnsi="Arial"/>
                <w:sz w:val="20"/>
                <w:szCs w:val="20"/>
                <w:color w:val="auto"/>
              </w:rPr>
              <w:t>7,797,454 shares of Common Stock</w:t>
            </w: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58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260" w:type="dxa"/>
            <w:vAlign w:val="bottom"/>
            <w:tcBorders>
              <w:right w:val="single" w:sz="8" w:color="auto"/>
            </w:tcBorders>
          </w:tcPr>
          <w:p>
            <w:pPr>
              <w:spacing w:after="0"/>
              <w:rPr>
                <w:sz w:val="17"/>
                <w:szCs w:val="17"/>
                <w:color w:val="auto"/>
              </w:rPr>
            </w:pPr>
          </w:p>
        </w:tc>
        <w:tc>
          <w:tcPr>
            <w:tcW w:w="6840" w:type="dxa"/>
            <w:vAlign w:val="bottom"/>
            <w:vMerge w:val="continue"/>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580" w:type="dxa"/>
            <w:vAlign w:val="bottom"/>
            <w:vMerge w:val="restart"/>
          </w:tcPr>
          <w:p>
            <w:pPr>
              <w:jc w:val="center"/>
              <w:spacing w:after="0"/>
              <w:rPr>
                <w:sz w:val="20"/>
                <w:szCs w:val="20"/>
                <w:color w:val="auto"/>
              </w:rPr>
            </w:pPr>
            <w:r>
              <w:rPr>
                <w:rFonts w:ascii="Arial" w:cs="Arial" w:eastAsia="Arial" w:hAnsi="Arial"/>
                <w:sz w:val="16"/>
                <w:szCs w:val="16"/>
                <w:color w:val="auto"/>
              </w:rPr>
              <w:t>OWNED BY</w:t>
            </w:r>
          </w:p>
        </w:tc>
        <w:tc>
          <w:tcPr>
            <w:tcW w:w="1260" w:type="dxa"/>
            <w:vAlign w:val="bottom"/>
            <w:tcBorders>
              <w:bottom w:val="single" w:sz="8" w:color="auto"/>
              <w:right w:val="single" w:sz="8" w:color="auto"/>
            </w:tcBorders>
          </w:tcPr>
          <w:p>
            <w:pPr>
              <w:spacing w:after="0"/>
              <w:rPr>
                <w:sz w:val="6"/>
                <w:szCs w:val="6"/>
                <w:color w:val="auto"/>
              </w:rPr>
            </w:pPr>
          </w:p>
        </w:tc>
        <w:tc>
          <w:tcPr>
            <w:tcW w:w="684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580" w:type="dxa"/>
            <w:vAlign w:val="bottom"/>
            <w:vMerge w:val="continue"/>
          </w:tcPr>
          <w:p>
            <w:pPr>
              <w:spacing w:after="0"/>
              <w:rPr>
                <w:sz w:val="9"/>
                <w:szCs w:val="9"/>
                <w:color w:val="auto"/>
              </w:rPr>
            </w:pPr>
          </w:p>
        </w:tc>
        <w:tc>
          <w:tcPr>
            <w:tcW w:w="1260" w:type="dxa"/>
            <w:vAlign w:val="bottom"/>
            <w:tcBorders>
              <w:right w:val="single" w:sz="8" w:color="auto"/>
            </w:tcBorders>
            <w:vMerge w:val="restart"/>
          </w:tcPr>
          <w:p>
            <w:pPr>
              <w:jc w:val="right"/>
              <w:ind w:right="458"/>
              <w:spacing w:after="0" w:line="308" w:lineRule="exact"/>
              <w:rPr>
                <w:sz w:val="20"/>
                <w:szCs w:val="20"/>
                <w:color w:val="auto"/>
              </w:rPr>
            </w:pPr>
            <w:r>
              <w:rPr>
                <w:rFonts w:ascii="Arial" w:cs="Arial" w:eastAsia="Arial" w:hAnsi="Arial"/>
                <w:sz w:val="29"/>
                <w:szCs w:val="29"/>
                <w:b w:val="1"/>
                <w:bCs w:val="1"/>
                <w:color w:val="auto"/>
              </w:rPr>
              <w:t>9</w:t>
            </w:r>
          </w:p>
        </w:tc>
        <w:tc>
          <w:tcPr>
            <w:tcW w:w="684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260" w:type="dxa"/>
            <w:vAlign w:val="bottom"/>
            <w:tcBorders>
              <w:right w:val="single" w:sz="8" w:color="auto"/>
            </w:tcBorders>
            <w:vMerge w:val="continue"/>
          </w:tcPr>
          <w:p>
            <w:pPr>
              <w:spacing w:after="0"/>
              <w:rPr>
                <w:sz w:val="11"/>
                <w:szCs w:val="11"/>
                <w:color w:val="auto"/>
              </w:rPr>
            </w:pPr>
          </w:p>
        </w:tc>
        <w:tc>
          <w:tcPr>
            <w:tcW w:w="6840" w:type="dxa"/>
            <w:vAlign w:val="bottom"/>
            <w:vMerge w:val="continue"/>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580" w:type="dxa"/>
            <w:vAlign w:val="bottom"/>
            <w:vMerge w:val="continue"/>
          </w:tcPr>
          <w:p>
            <w:pPr>
              <w:spacing w:after="0"/>
              <w:rPr>
                <w:sz w:val="6"/>
                <w:szCs w:val="6"/>
                <w:color w:val="auto"/>
              </w:rPr>
            </w:pPr>
          </w:p>
        </w:tc>
        <w:tc>
          <w:tcPr>
            <w:tcW w:w="1260" w:type="dxa"/>
            <w:vAlign w:val="bottom"/>
            <w:tcBorders>
              <w:right w:val="single" w:sz="8" w:color="auto"/>
            </w:tcBorders>
            <w:vMerge w:val="continue"/>
          </w:tcPr>
          <w:p>
            <w:pPr>
              <w:spacing w:after="0"/>
              <w:rPr>
                <w:sz w:val="6"/>
                <w:szCs w:val="6"/>
                <w:color w:val="auto"/>
              </w:rPr>
            </w:pPr>
          </w:p>
        </w:tc>
        <w:tc>
          <w:tcPr>
            <w:tcW w:w="684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580" w:type="dxa"/>
            <w:vAlign w:val="bottom"/>
          </w:tcPr>
          <w:p>
            <w:pPr>
              <w:jc w:val="center"/>
              <w:spacing w:after="0"/>
              <w:rPr>
                <w:sz w:val="20"/>
                <w:szCs w:val="20"/>
                <w:color w:val="auto"/>
              </w:rPr>
            </w:pPr>
            <w:r>
              <w:rPr>
                <w:rFonts w:ascii="Arial" w:cs="Arial" w:eastAsia="Arial" w:hAnsi="Arial"/>
                <w:sz w:val="16"/>
                <w:szCs w:val="16"/>
                <w:color w:val="auto"/>
                <w:w w:val="92"/>
              </w:rPr>
              <w:t>REPORTING</w:t>
            </w:r>
          </w:p>
        </w:tc>
        <w:tc>
          <w:tcPr>
            <w:tcW w:w="1260" w:type="dxa"/>
            <w:vAlign w:val="bottom"/>
            <w:tcBorders>
              <w:right w:val="single" w:sz="8" w:color="auto"/>
            </w:tcBorders>
          </w:tcPr>
          <w:p>
            <w:pPr>
              <w:spacing w:after="0"/>
              <w:rPr>
                <w:sz w:val="17"/>
                <w:szCs w:val="17"/>
                <w:color w:val="auto"/>
              </w:rPr>
            </w:pPr>
          </w:p>
        </w:tc>
        <w:tc>
          <w:tcPr>
            <w:tcW w:w="6840" w:type="dxa"/>
            <w:vAlign w:val="bottom"/>
            <w:vMerge w:val="continue"/>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5"/>
              </w:rPr>
              <w:t>PERSON WITH:</w:t>
            </w:r>
          </w:p>
        </w:tc>
        <w:tc>
          <w:tcPr>
            <w:tcW w:w="1260" w:type="dxa"/>
            <w:vAlign w:val="bottom"/>
            <w:tcBorders>
              <w:bottom w:val="single" w:sz="8" w:color="auto"/>
              <w:right w:val="single" w:sz="8" w:color="auto"/>
            </w:tcBorders>
          </w:tcPr>
          <w:p>
            <w:pPr>
              <w:spacing w:after="0"/>
              <w:rPr>
                <w:sz w:val="6"/>
                <w:szCs w:val="6"/>
                <w:color w:val="auto"/>
              </w:rPr>
            </w:pPr>
          </w:p>
        </w:tc>
        <w:tc>
          <w:tcPr>
            <w:tcW w:w="684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580" w:type="dxa"/>
            <w:vAlign w:val="bottom"/>
            <w:vMerge w:val="continue"/>
          </w:tcPr>
          <w:p>
            <w:pPr>
              <w:spacing w:after="0"/>
              <w:rPr>
                <w:sz w:val="9"/>
                <w:szCs w:val="9"/>
                <w:color w:val="auto"/>
              </w:rPr>
            </w:pPr>
          </w:p>
        </w:tc>
        <w:tc>
          <w:tcPr>
            <w:tcW w:w="1260" w:type="dxa"/>
            <w:vAlign w:val="bottom"/>
            <w:tcBorders>
              <w:right w:val="single" w:sz="8" w:color="auto"/>
            </w:tcBorders>
            <w:vMerge w:val="restart"/>
          </w:tcPr>
          <w:p>
            <w:pPr>
              <w:ind w:left="480"/>
              <w:spacing w:after="0"/>
              <w:rPr>
                <w:sz w:val="20"/>
                <w:szCs w:val="20"/>
                <w:color w:val="auto"/>
              </w:rPr>
            </w:pPr>
            <w:r>
              <w:rPr>
                <w:rFonts w:ascii="Arial" w:cs="Arial" w:eastAsia="Arial" w:hAnsi="Arial"/>
                <w:sz w:val="29"/>
                <w:szCs w:val="29"/>
                <w:b w:val="1"/>
                <w:bCs w:val="1"/>
                <w:color w:val="auto"/>
              </w:rPr>
              <w:t>10</w:t>
            </w:r>
          </w:p>
        </w:tc>
        <w:tc>
          <w:tcPr>
            <w:tcW w:w="684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580" w:type="dxa"/>
            <w:vAlign w:val="bottom"/>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6840" w:type="dxa"/>
            <w:vAlign w:val="bottom"/>
            <w:vMerge w:val="continue"/>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580" w:type="dxa"/>
            <w:vAlign w:val="bottom"/>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6840" w:type="dxa"/>
            <w:vAlign w:val="bottom"/>
            <w:vMerge w:val="restart"/>
          </w:tcPr>
          <w:p>
            <w:pPr>
              <w:ind w:left="420"/>
              <w:spacing w:after="0"/>
              <w:rPr>
                <w:sz w:val="20"/>
                <w:szCs w:val="20"/>
                <w:color w:val="auto"/>
              </w:rPr>
            </w:pPr>
            <w:r>
              <w:rPr>
                <w:rFonts w:ascii="Arial" w:cs="Arial" w:eastAsia="Arial" w:hAnsi="Arial"/>
                <w:sz w:val="20"/>
                <w:szCs w:val="20"/>
                <w:color w:val="auto"/>
              </w:rPr>
              <w:t>7,797,454 shares of Common Stock</w:t>
            </w: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tcBorders>
              <w:right w:val="single" w:sz="8" w:color="auto"/>
            </w:tcBorders>
          </w:tcPr>
          <w:p>
            <w:pPr>
              <w:spacing w:after="0"/>
              <w:rPr>
                <w:sz w:val="6"/>
                <w:szCs w:val="6"/>
                <w:color w:val="auto"/>
              </w:rPr>
            </w:pPr>
          </w:p>
        </w:tc>
        <w:tc>
          <w:tcPr>
            <w:tcW w:w="6840" w:type="dxa"/>
            <w:vAlign w:val="bottom"/>
            <w:vMerge w:val="continue"/>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80" w:type="dxa"/>
            <w:vAlign w:val="bottom"/>
            <w:tcBorders>
              <w:bottom w:val="single" w:sz="8" w:color="auto"/>
            </w:tcBorders>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684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58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11</w:t>
            </w:r>
          </w:p>
        </w:tc>
        <w:tc>
          <w:tcPr>
            <w:tcW w:w="8100" w:type="dxa"/>
            <w:vAlign w:val="bottom"/>
            <w:gridSpan w:val="2"/>
          </w:tcPr>
          <w:p>
            <w:pPr>
              <w:ind w:left="120"/>
              <w:spacing w:after="0"/>
              <w:rPr>
                <w:sz w:val="20"/>
                <w:szCs w:val="20"/>
                <w:color w:val="auto"/>
              </w:rPr>
            </w:pPr>
            <w:r>
              <w:rPr>
                <w:rFonts w:ascii="Arial" w:cs="Arial" w:eastAsia="Arial" w:hAnsi="Arial"/>
                <w:sz w:val="16"/>
                <w:szCs w:val="16"/>
                <w:color w:val="auto"/>
              </w:rPr>
              <w:t>AGGREGATE AMOUNT BENEFICIALLY OWNED BY EACH PERSON</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580" w:type="dxa"/>
            <w:vAlign w:val="bottom"/>
            <w:vMerge w:val="continue"/>
          </w:tcPr>
          <w:p>
            <w:pPr>
              <w:spacing w:after="0"/>
              <w:rPr>
                <w:sz w:val="14"/>
                <w:szCs w:val="14"/>
                <w:color w:val="auto"/>
              </w:rPr>
            </w:pPr>
          </w:p>
        </w:tc>
        <w:tc>
          <w:tcPr>
            <w:tcW w:w="8100" w:type="dxa"/>
            <w:vAlign w:val="bottom"/>
            <w:gridSpan w:val="2"/>
            <w:vMerge w:val="restart"/>
          </w:tcPr>
          <w:p>
            <w:pPr>
              <w:ind w:left="440"/>
              <w:spacing w:after="0"/>
              <w:rPr>
                <w:sz w:val="20"/>
                <w:szCs w:val="20"/>
                <w:color w:val="auto"/>
              </w:rPr>
            </w:pPr>
            <w:r>
              <w:rPr>
                <w:rFonts w:ascii="Arial" w:cs="Arial" w:eastAsia="Arial" w:hAnsi="Arial"/>
                <w:sz w:val="20"/>
                <w:szCs w:val="20"/>
                <w:color w:val="auto"/>
              </w:rPr>
              <w:t>7,797,454 shares of Common Stock</w:t>
            </w: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8100" w:type="dxa"/>
            <w:vAlign w:val="bottom"/>
            <w:gridSpan w:val="2"/>
            <w:vMerge w:val="continue"/>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84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580" w:type="dxa"/>
            <w:vAlign w:val="bottom"/>
          </w:tcPr>
          <w:p>
            <w:pPr>
              <w:jc w:val="center"/>
              <w:spacing w:after="0" w:line="195" w:lineRule="exact"/>
              <w:rPr>
                <w:sz w:val="20"/>
                <w:szCs w:val="20"/>
                <w:color w:val="auto"/>
              </w:rPr>
            </w:pPr>
            <w:r>
              <w:rPr>
                <w:rFonts w:ascii="Arial" w:cs="Arial" w:eastAsia="Arial" w:hAnsi="Arial"/>
                <w:sz w:val="22"/>
                <w:szCs w:val="22"/>
                <w:b w:val="1"/>
                <w:bCs w:val="1"/>
                <w:color w:val="auto"/>
              </w:rPr>
              <w:t>12</w:t>
            </w:r>
          </w:p>
        </w:tc>
        <w:tc>
          <w:tcPr>
            <w:tcW w:w="8100" w:type="dxa"/>
            <w:vAlign w:val="bottom"/>
            <w:gridSpan w:val="2"/>
            <w:vMerge w:val="restart"/>
          </w:tcPr>
          <w:p>
            <w:pPr>
              <w:ind w:left="120"/>
              <w:spacing w:after="0"/>
              <w:rPr>
                <w:sz w:val="20"/>
                <w:szCs w:val="20"/>
                <w:color w:val="auto"/>
              </w:rPr>
            </w:pPr>
            <w:r>
              <w:rPr>
                <w:rFonts w:ascii="Arial" w:cs="Arial" w:eastAsia="Arial" w:hAnsi="Arial"/>
                <w:sz w:val="16"/>
                <w:szCs w:val="16"/>
                <w:color w:val="auto"/>
              </w:rPr>
              <w:t>CHECK IF THE AGGREGATE AMOUNT IN ROW (11) EXCLUDES CERTAIN SHARES</w:t>
            </w:r>
          </w:p>
        </w:tc>
        <w:tc>
          <w:tcPr>
            <w:tcW w:w="1560" w:type="dxa"/>
            <w:vAlign w:val="bottom"/>
          </w:tcPr>
          <w:p>
            <w:pPr>
              <w:ind w:left="66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580" w:type="dxa"/>
            <w:vAlign w:val="bottom"/>
          </w:tcPr>
          <w:p>
            <w:pPr>
              <w:spacing w:after="0"/>
              <w:rPr>
                <w:sz w:val="4"/>
                <w:szCs w:val="4"/>
                <w:color w:val="auto"/>
              </w:rPr>
            </w:pPr>
          </w:p>
        </w:tc>
        <w:tc>
          <w:tcPr>
            <w:tcW w:w="8100" w:type="dxa"/>
            <w:vAlign w:val="bottom"/>
            <w:gridSpan w:val="2"/>
            <w:vMerge w:val="continue"/>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580" w:type="dxa"/>
            <w:vAlign w:val="bottom"/>
            <w:tcBorders>
              <w:bottom w:val="single" w:sz="8" w:color="auto"/>
            </w:tcBorders>
          </w:tcPr>
          <w:p>
            <w:pPr>
              <w:spacing w:after="0"/>
              <w:rPr>
                <w:sz w:val="22"/>
                <w:szCs w:val="22"/>
                <w:color w:val="auto"/>
              </w:rPr>
            </w:pPr>
          </w:p>
        </w:tc>
        <w:tc>
          <w:tcPr>
            <w:tcW w:w="8100" w:type="dxa"/>
            <w:vAlign w:val="bottom"/>
            <w:tcBorders>
              <w:bottom w:val="single" w:sz="8" w:color="auto"/>
            </w:tcBorders>
            <w:gridSpan w:val="2"/>
          </w:tcPr>
          <w:p>
            <w:pPr>
              <w:spacing w:after="0"/>
              <w:rPr>
                <w:sz w:val="22"/>
                <w:szCs w:val="22"/>
                <w:color w:val="auto"/>
              </w:rPr>
            </w:pPr>
          </w:p>
        </w:tc>
        <w:tc>
          <w:tcPr>
            <w:tcW w:w="15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58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13</w:t>
            </w:r>
          </w:p>
        </w:tc>
        <w:tc>
          <w:tcPr>
            <w:tcW w:w="8100" w:type="dxa"/>
            <w:vAlign w:val="bottom"/>
            <w:gridSpan w:val="2"/>
          </w:tcPr>
          <w:p>
            <w:pPr>
              <w:ind w:left="120"/>
              <w:spacing w:after="0"/>
              <w:rPr>
                <w:sz w:val="20"/>
                <w:szCs w:val="20"/>
                <w:color w:val="auto"/>
              </w:rPr>
            </w:pPr>
            <w:r>
              <w:rPr>
                <w:rFonts w:ascii="Arial" w:cs="Arial" w:eastAsia="Arial" w:hAnsi="Arial"/>
                <w:sz w:val="16"/>
                <w:szCs w:val="16"/>
                <w:color w:val="auto"/>
              </w:rPr>
              <w:t>PERCENT OF CLASS REPRESENTED BY AMOUNT IN ROW (11)</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580" w:type="dxa"/>
            <w:vAlign w:val="bottom"/>
            <w:vMerge w:val="continue"/>
          </w:tcPr>
          <w:p>
            <w:pPr>
              <w:spacing w:after="0"/>
              <w:rPr>
                <w:sz w:val="14"/>
                <w:szCs w:val="14"/>
                <w:color w:val="auto"/>
              </w:rPr>
            </w:pPr>
          </w:p>
        </w:tc>
        <w:tc>
          <w:tcPr>
            <w:tcW w:w="1260" w:type="dxa"/>
            <w:vAlign w:val="bottom"/>
            <w:vMerge w:val="restart"/>
          </w:tcPr>
          <w:p>
            <w:pPr>
              <w:jc w:val="right"/>
              <w:ind w:right="298"/>
              <w:spacing w:after="0"/>
              <w:rPr>
                <w:sz w:val="20"/>
                <w:szCs w:val="20"/>
                <w:color w:val="auto"/>
              </w:rPr>
            </w:pPr>
            <w:r>
              <w:rPr>
                <w:rFonts w:ascii="Arial" w:cs="Arial" w:eastAsia="Arial" w:hAnsi="Arial"/>
                <w:sz w:val="20"/>
                <w:szCs w:val="20"/>
                <w:color w:val="auto"/>
              </w:rPr>
              <w:t>9.9%</w:t>
            </w:r>
          </w:p>
        </w:tc>
        <w:tc>
          <w:tcPr>
            <w:tcW w:w="68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6840" w:type="dxa"/>
            <w:vAlign w:val="bottom"/>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80" w:type="dxa"/>
            <w:vAlign w:val="bottom"/>
            <w:tcBorders>
              <w:bottom w:val="single" w:sz="8" w:color="auto"/>
            </w:tcBorders>
          </w:tcPr>
          <w:p>
            <w:pPr>
              <w:spacing w:after="0"/>
              <w:rPr>
                <w:sz w:val="9"/>
                <w:szCs w:val="9"/>
                <w:color w:val="auto"/>
              </w:rPr>
            </w:pPr>
          </w:p>
        </w:tc>
        <w:tc>
          <w:tcPr>
            <w:tcW w:w="8100" w:type="dxa"/>
            <w:vAlign w:val="bottom"/>
            <w:tcBorders>
              <w:bottom w:val="single" w:sz="8" w:color="auto"/>
            </w:tcBorders>
            <w:gridSpan w:val="2"/>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58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14</w:t>
            </w:r>
          </w:p>
        </w:tc>
        <w:tc>
          <w:tcPr>
            <w:tcW w:w="8100" w:type="dxa"/>
            <w:vAlign w:val="bottom"/>
            <w:gridSpan w:val="2"/>
          </w:tcPr>
          <w:p>
            <w:pPr>
              <w:ind w:left="120"/>
              <w:spacing w:after="0"/>
              <w:rPr>
                <w:sz w:val="20"/>
                <w:szCs w:val="20"/>
                <w:color w:val="auto"/>
              </w:rPr>
            </w:pPr>
            <w:r>
              <w:rPr>
                <w:rFonts w:ascii="Arial" w:cs="Arial" w:eastAsia="Arial" w:hAnsi="Arial"/>
                <w:sz w:val="16"/>
                <w:szCs w:val="16"/>
                <w:color w:val="auto"/>
              </w:rPr>
              <w:t>TYPE OF REPORTING PERSON</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580" w:type="dxa"/>
            <w:vAlign w:val="bottom"/>
            <w:vMerge w:val="continue"/>
          </w:tcPr>
          <w:p>
            <w:pPr>
              <w:spacing w:after="0"/>
              <w:rPr>
                <w:sz w:val="14"/>
                <w:szCs w:val="14"/>
                <w:color w:val="auto"/>
              </w:rPr>
            </w:pPr>
          </w:p>
        </w:tc>
        <w:tc>
          <w:tcPr>
            <w:tcW w:w="1260" w:type="dxa"/>
            <w:vAlign w:val="bottom"/>
            <w:vMerge w:val="restart"/>
          </w:tcPr>
          <w:p>
            <w:pPr>
              <w:ind w:left="440"/>
              <w:spacing w:after="0"/>
              <w:rPr>
                <w:sz w:val="20"/>
                <w:szCs w:val="20"/>
                <w:color w:val="auto"/>
              </w:rPr>
            </w:pPr>
            <w:r>
              <w:rPr>
                <w:rFonts w:ascii="Arial" w:cs="Arial" w:eastAsia="Arial" w:hAnsi="Arial"/>
                <w:sz w:val="20"/>
                <w:szCs w:val="20"/>
                <w:color w:val="auto"/>
              </w:rPr>
              <w:t>IN</w:t>
            </w:r>
          </w:p>
        </w:tc>
        <w:tc>
          <w:tcPr>
            <w:tcW w:w="68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6840" w:type="dxa"/>
            <w:vAlign w:val="bottom"/>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3" w:name="page4"/>
    <w:bookmarkEnd w:id="3"/>
    <w:p>
      <w:pPr>
        <w:spacing w:after="0"/>
        <w:tabs>
          <w:tab w:leader="none" w:pos="4840" w:val="left"/>
          <w:tab w:leader="none" w:pos="9900" w:val="left"/>
        </w:tabs>
        <w:rPr>
          <w:sz w:val="20"/>
          <w:szCs w:val="20"/>
          <w:color w:val="auto"/>
        </w:rPr>
      </w:pPr>
      <w:r>
        <w:rPr>
          <w:rFonts w:ascii="Arial" w:cs="Arial" w:eastAsia="Arial" w:hAnsi="Arial"/>
          <w:sz w:val="18"/>
          <w:szCs w:val="18"/>
          <w:b w:val="1"/>
          <w:bCs w:val="1"/>
          <w:color w:val="auto"/>
        </w:rPr>
        <w:t>CUSIP No. 34385P108</w:t>
      </w:r>
      <w:r>
        <w:rPr>
          <w:sz w:val="20"/>
          <w:szCs w:val="20"/>
          <w:color w:val="auto"/>
        </w:rPr>
        <w:tab/>
      </w:r>
      <w:r>
        <w:rPr>
          <w:rFonts w:ascii="Arial" w:cs="Arial" w:eastAsia="Arial" w:hAnsi="Arial"/>
          <w:sz w:val="18"/>
          <w:szCs w:val="18"/>
          <w:b w:val="1"/>
          <w:bCs w:val="1"/>
          <w:color w:val="auto"/>
        </w:rPr>
        <w:t>SCHEDULE 13D/A</w:t>
      </w:r>
      <w:r>
        <w:rPr>
          <w:sz w:val="20"/>
          <w:szCs w:val="20"/>
          <w:color w:val="auto"/>
        </w:rPr>
        <w:tab/>
      </w:r>
      <w:r>
        <w:rPr>
          <w:rFonts w:ascii="Arial" w:cs="Arial" w:eastAsia="Arial" w:hAnsi="Arial"/>
          <w:sz w:val="15"/>
          <w:szCs w:val="15"/>
          <w:b w:val="1"/>
          <w:bCs w:val="1"/>
          <w:color w:val="auto"/>
        </w:rPr>
        <w:t>Page 4 of 5 Pages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400" w:lineRule="exact"/>
        <w:rPr>
          <w:sz w:val="20"/>
          <w:szCs w:val="20"/>
          <w:color w:val="auto"/>
        </w:rPr>
      </w:pPr>
    </w:p>
    <w:p>
      <w:pPr>
        <w:jc w:val="both"/>
        <w:ind w:left="120" w:right="100"/>
        <w:spacing w:after="0" w:line="249" w:lineRule="auto"/>
        <w:rPr>
          <w:sz w:val="20"/>
          <w:szCs w:val="20"/>
          <w:color w:val="auto"/>
        </w:rPr>
      </w:pPr>
      <w:r>
        <w:rPr>
          <w:rFonts w:ascii="Arial" w:cs="Arial" w:eastAsia="Arial" w:hAnsi="Arial"/>
          <w:sz w:val="21"/>
          <w:szCs w:val="21"/>
          <w:color w:val="auto"/>
        </w:rPr>
        <w:t>The following constitutes Amendment No. 6 (this "</w:t>
      </w:r>
      <w:r>
        <w:rPr>
          <w:rFonts w:ascii="Arial" w:cs="Arial" w:eastAsia="Arial" w:hAnsi="Arial"/>
          <w:sz w:val="21"/>
          <w:szCs w:val="21"/>
          <w:u w:val="single" w:color="auto"/>
          <w:color w:val="auto"/>
        </w:rPr>
        <w:t>Amendment No. 6</w:t>
      </w:r>
      <w:r>
        <w:rPr>
          <w:rFonts w:ascii="Arial" w:cs="Arial" w:eastAsia="Arial" w:hAnsi="Arial"/>
          <w:sz w:val="21"/>
          <w:szCs w:val="21"/>
          <w:color w:val="auto"/>
        </w:rPr>
        <w:t>") to the Schedule 13D filed by the undersigned on May 10, 2021 with respect to the Common Stock of the Issuer (the "</w:t>
      </w:r>
      <w:r>
        <w:rPr>
          <w:rFonts w:ascii="Arial" w:cs="Arial" w:eastAsia="Arial" w:hAnsi="Arial"/>
          <w:sz w:val="21"/>
          <w:szCs w:val="21"/>
          <w:u w:val="single" w:color="auto"/>
          <w:color w:val="auto"/>
        </w:rPr>
        <w:t>Original Schedule 13D</w:t>
      </w:r>
      <w:r>
        <w:rPr>
          <w:rFonts w:ascii="Arial" w:cs="Arial" w:eastAsia="Arial" w:hAnsi="Arial"/>
          <w:sz w:val="21"/>
          <w:szCs w:val="21"/>
          <w:color w:val="auto"/>
        </w:rPr>
        <w:t xml:space="preserve"> ", as amended from time to time, the "</w:t>
      </w:r>
      <w:r>
        <w:rPr>
          <w:rFonts w:ascii="Arial" w:cs="Arial" w:eastAsia="Arial" w:hAnsi="Arial"/>
          <w:sz w:val="21"/>
          <w:szCs w:val="21"/>
          <w:u w:val="single" w:color="auto"/>
          <w:color w:val="auto"/>
        </w:rPr>
        <w:t>Schedule 13D</w:t>
      </w:r>
      <w:r>
        <w:rPr>
          <w:rFonts w:ascii="Arial" w:cs="Arial" w:eastAsia="Arial" w:hAnsi="Arial"/>
          <w:sz w:val="21"/>
          <w:szCs w:val="21"/>
          <w:color w:val="auto"/>
        </w:rPr>
        <w:t>"). This Amendment No. 6 amends the Schedule 13D as specifically set forth herein. Capitalized terms used herein not otherwise defined in this Amendment No. 6 have the meanings set forth in the Schedule 13D. This Amendment No. 6 amends Items 4 and 5(a) – (c) as set forth below.</w:t>
      </w:r>
    </w:p>
    <w:p>
      <w:pPr>
        <w:spacing w:after="0" w:line="199" w:lineRule="exact"/>
        <w:rPr>
          <w:sz w:val="20"/>
          <w:szCs w:val="20"/>
          <w:color w:val="auto"/>
        </w:rPr>
      </w:pPr>
    </w:p>
    <w:p>
      <w:pPr>
        <w:ind w:left="120"/>
        <w:spacing w:after="0"/>
        <w:tabs>
          <w:tab w:leader="none" w:pos="144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21"/>
          <w:szCs w:val="21"/>
          <w:b w:val="1"/>
          <w:bCs w:val="1"/>
          <w:color w:val="auto"/>
        </w:rPr>
        <w:t>PURPOSE OF TRANSACTION</w:t>
      </w:r>
    </w:p>
    <w:p>
      <w:pPr>
        <w:spacing w:after="0" w:line="239" w:lineRule="exact"/>
        <w:rPr>
          <w:sz w:val="20"/>
          <w:szCs w:val="20"/>
          <w:color w:val="auto"/>
        </w:rPr>
      </w:pPr>
    </w:p>
    <w:p>
      <w:pPr>
        <w:ind w:left="1340"/>
        <w:spacing w:after="0"/>
        <w:rPr>
          <w:sz w:val="20"/>
          <w:szCs w:val="20"/>
          <w:color w:val="auto"/>
        </w:rPr>
      </w:pPr>
      <w:r>
        <w:rPr>
          <w:rFonts w:ascii="Arial" w:cs="Arial" w:eastAsia="Arial" w:hAnsi="Arial"/>
          <w:sz w:val="22"/>
          <w:szCs w:val="22"/>
          <w:color w:val="auto"/>
        </w:rPr>
        <w:t>Item 4 of the Schedule 13D is hereby amended and supplemented by the addition of the following:</w:t>
      </w:r>
    </w:p>
    <w:p>
      <w:pPr>
        <w:spacing w:after="0" w:line="233" w:lineRule="exact"/>
        <w:rPr>
          <w:sz w:val="20"/>
          <w:szCs w:val="20"/>
          <w:color w:val="auto"/>
        </w:rPr>
      </w:pPr>
    </w:p>
    <w:p>
      <w:pPr>
        <w:ind w:left="1340" w:right="160"/>
        <w:spacing w:after="0" w:line="277" w:lineRule="auto"/>
        <w:rPr>
          <w:sz w:val="20"/>
          <w:szCs w:val="20"/>
          <w:color w:val="auto"/>
        </w:rPr>
      </w:pPr>
      <w:r>
        <w:rPr>
          <w:rFonts w:ascii="Arial" w:cs="Arial" w:eastAsia="Arial" w:hAnsi="Arial"/>
          <w:sz w:val="19"/>
          <w:szCs w:val="19"/>
          <w:color w:val="auto"/>
        </w:rPr>
        <w:t>On July 3, 2023, Caligan, on behalf of the Caligan Fund and certain of the Caligan Accounts, effected a pro rata in-kind distribution of an aggregate of 670,466 shares of Common Stock in a Share Distribution. On June 29, 2023, Caligan and a certain Caligan Account terminated an investment management agreement pursuant to which Caligan previously held investment and voting discretion with respect to 108,879 shares of Common Stock. The Reporting Persons remain supportive of the management and strategy of the Issuer, believe the Issuer is still undervalued and represents an attractive investment opportunity, and may, depending on various factors, including market conditions, increase their beneficial ownership of the Common Stock in the future.</w:t>
      </w:r>
    </w:p>
    <w:p>
      <w:pPr>
        <w:spacing w:after="0" w:line="200" w:lineRule="exact"/>
        <w:rPr>
          <w:sz w:val="20"/>
          <w:szCs w:val="20"/>
          <w:color w:val="auto"/>
        </w:rPr>
      </w:pPr>
    </w:p>
    <w:p>
      <w:pPr>
        <w:spacing w:after="0" w:line="216" w:lineRule="exact"/>
        <w:rPr>
          <w:sz w:val="20"/>
          <w:szCs w:val="20"/>
          <w:color w:val="auto"/>
        </w:rPr>
      </w:pPr>
    </w:p>
    <w:p>
      <w:pPr>
        <w:ind w:left="120"/>
        <w:spacing w:after="0"/>
        <w:tabs>
          <w:tab w:leader="none" w:pos="132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21"/>
          <w:szCs w:val="21"/>
          <w:b w:val="1"/>
          <w:bCs w:val="1"/>
          <w:color w:val="auto"/>
        </w:rPr>
        <w:t>INTEREST IN SECURITIES OF THE ISSUER</w:t>
      </w:r>
    </w:p>
    <w:p>
      <w:pPr>
        <w:spacing w:after="0" w:line="239" w:lineRule="exact"/>
        <w:rPr>
          <w:sz w:val="20"/>
          <w:szCs w:val="20"/>
          <w:color w:val="auto"/>
        </w:rPr>
      </w:pPr>
    </w:p>
    <w:p>
      <w:pPr>
        <w:ind w:left="1340"/>
        <w:spacing w:after="0"/>
        <w:rPr>
          <w:sz w:val="20"/>
          <w:szCs w:val="20"/>
          <w:color w:val="auto"/>
        </w:rPr>
      </w:pPr>
      <w:r>
        <w:rPr>
          <w:rFonts w:ascii="Arial" w:cs="Arial" w:eastAsia="Arial" w:hAnsi="Arial"/>
          <w:sz w:val="22"/>
          <w:szCs w:val="22"/>
          <w:color w:val="auto"/>
        </w:rPr>
        <w:t>Items 5(a) - (c) of the Schedule 13D are hereby amended and restated as follows:</w:t>
      </w:r>
    </w:p>
    <w:p>
      <w:pPr>
        <w:spacing w:after="0" w:line="233" w:lineRule="exact"/>
        <w:rPr>
          <w:sz w:val="20"/>
          <w:szCs w:val="20"/>
          <w:color w:val="auto"/>
        </w:rPr>
      </w:pPr>
    </w:p>
    <w:p>
      <w:pPr>
        <w:jc w:val="both"/>
        <w:ind w:left="1340" w:right="100" w:hanging="1229"/>
        <w:spacing w:after="0" w:line="249" w:lineRule="auto"/>
        <w:tabs>
          <w:tab w:leader="none" w:pos="1340" w:val="left"/>
        </w:tabs>
        <w:numPr>
          <w:ilvl w:val="0"/>
          <w:numId w:val="5"/>
        </w:numPr>
        <w:rPr>
          <w:rFonts w:ascii="Arial" w:cs="Arial" w:eastAsia="Arial" w:hAnsi="Arial"/>
          <w:sz w:val="21"/>
          <w:szCs w:val="21"/>
          <w:color w:val="auto"/>
        </w:rPr>
      </w:pPr>
      <w:r>
        <w:rPr>
          <w:rFonts w:ascii="Arial" w:cs="Arial" w:eastAsia="Arial" w:hAnsi="Arial"/>
          <w:sz w:val="21"/>
          <w:szCs w:val="21"/>
          <w:color w:val="auto"/>
        </w:rPr>
        <w:t>See rows (11) and (13) of the cover pages to this Schedule 13D for the aggregate number of and percentages of the shares of Common Stock beneficially owned by each Reporting Person. The percentages set forth in this Schedule 13D are based upon 78,384,944 shares of Common Stock outstanding as of May 8, 2023, as reported in the Issuer's Quarterly Report for the quarterly period ended March 31, 2023 on Form 10-Q, filed with the Securities and Exchange Commission on May 9. 2023.</w:t>
      </w:r>
    </w:p>
    <w:p>
      <w:pPr>
        <w:spacing w:after="0" w:line="205" w:lineRule="exact"/>
        <w:rPr>
          <w:rFonts w:ascii="Arial" w:cs="Arial" w:eastAsia="Arial" w:hAnsi="Arial"/>
          <w:sz w:val="21"/>
          <w:szCs w:val="21"/>
          <w:color w:val="auto"/>
        </w:rPr>
      </w:pPr>
    </w:p>
    <w:p>
      <w:pPr>
        <w:jc w:val="both"/>
        <w:ind w:left="1340" w:right="100" w:hanging="1229"/>
        <w:spacing w:after="0"/>
        <w:tabs>
          <w:tab w:leader="none" w:pos="1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See rows (7) through (10) of the cover pages to this Schedule 13D for the number of shares of Common Stock as to which each Reporting Person has the sole or shared power to vote or direct the vote and sole or shared power to dispose or to direct the disposition.</w:t>
      </w:r>
    </w:p>
    <w:p>
      <w:pPr>
        <w:spacing w:after="0" w:line="213" w:lineRule="exact"/>
        <w:rPr>
          <w:rFonts w:ascii="Arial" w:cs="Arial" w:eastAsia="Arial" w:hAnsi="Arial"/>
          <w:sz w:val="22"/>
          <w:szCs w:val="22"/>
          <w:color w:val="auto"/>
        </w:rPr>
      </w:pPr>
    </w:p>
    <w:p>
      <w:pPr>
        <w:ind w:left="1340" w:right="100" w:hanging="1229"/>
        <w:spacing w:after="0" w:line="250" w:lineRule="auto"/>
        <w:tabs>
          <w:tab w:leader="none" w:pos="1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Other than the Share Distribution, there have been no transactions in the shares of Common Stock effected by the Reporting Persons during the past sixty (60) days.</w:t>
      </w:r>
    </w:p>
    <w:p>
      <w:pPr>
        <w:sectPr>
          <w:pgSz w:w="11900" w:h="16838" w:orient="portrait"/>
          <w:cols w:equalWidth="0" w:num="1">
            <w:col w:w="11240"/>
          </w:cols>
          <w:pgMar w:left="320" w:top="229" w:right="339" w:bottom="1440" w:gutter="0" w:footer="0" w:header="0"/>
          <w:type w:val="continuous"/>
        </w:sectPr>
      </w:pPr>
    </w:p>
    <w:bookmarkStart w:id="4" w:name="page5"/>
    <w:bookmarkEnd w:id="4"/>
    <w:p>
      <w:pPr>
        <w:spacing w:after="0"/>
        <w:tabs>
          <w:tab w:leader="none" w:pos="4840" w:val="left"/>
          <w:tab w:leader="none" w:pos="9900" w:val="left"/>
        </w:tabs>
        <w:rPr>
          <w:sz w:val="20"/>
          <w:szCs w:val="20"/>
          <w:color w:val="auto"/>
        </w:rPr>
      </w:pPr>
      <w:r>
        <w:rPr>
          <w:rFonts w:ascii="Arial" w:cs="Arial" w:eastAsia="Arial" w:hAnsi="Arial"/>
          <w:sz w:val="18"/>
          <w:szCs w:val="18"/>
          <w:b w:val="1"/>
          <w:bCs w:val="1"/>
          <w:color w:val="auto"/>
        </w:rPr>
        <w:t>CUSIP No. 34385P108</w:t>
      </w:r>
      <w:r>
        <w:rPr>
          <w:sz w:val="20"/>
          <w:szCs w:val="20"/>
          <w:color w:val="auto"/>
        </w:rPr>
        <w:tab/>
      </w:r>
      <w:r>
        <w:rPr>
          <w:rFonts w:ascii="Arial" w:cs="Arial" w:eastAsia="Arial" w:hAnsi="Arial"/>
          <w:sz w:val="18"/>
          <w:szCs w:val="18"/>
          <w:b w:val="1"/>
          <w:bCs w:val="1"/>
          <w:color w:val="auto"/>
        </w:rPr>
        <w:t>SCHEDULE 13D/A</w:t>
      </w:r>
      <w:r>
        <w:rPr>
          <w:sz w:val="20"/>
          <w:szCs w:val="20"/>
          <w:color w:val="auto"/>
        </w:rPr>
        <w:tab/>
      </w:r>
      <w:r>
        <w:rPr>
          <w:rFonts w:ascii="Arial" w:cs="Arial" w:eastAsia="Arial" w:hAnsi="Arial"/>
          <w:sz w:val="15"/>
          <w:szCs w:val="15"/>
          <w:b w:val="1"/>
          <w:bCs w:val="1"/>
          <w:color w:val="auto"/>
        </w:rPr>
        <w:t>Page 5 of 5 Pages</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212" w:lineRule="exact"/>
        <w:rPr>
          <w:sz w:val="20"/>
          <w:szCs w:val="20"/>
          <w:color w:val="auto"/>
        </w:rPr>
      </w:pPr>
    </w:p>
    <w:p>
      <w:pPr>
        <w:ind w:right="640" w:firstLine="1296"/>
        <w:spacing w:after="0" w:line="250" w:lineRule="auto"/>
        <w:rPr>
          <w:sz w:val="20"/>
          <w:szCs w:val="20"/>
          <w:color w:val="auto"/>
        </w:rPr>
      </w:pPr>
      <w:r>
        <w:rPr>
          <w:rFonts w:ascii="Arial" w:cs="Arial" w:eastAsia="Arial" w:hAnsi="Arial"/>
          <w:sz w:val="22"/>
          <w:szCs w:val="22"/>
          <w:color w:val="auto"/>
        </w:rPr>
        <w:t>After reasonable inquiry and to the best of his or its knowledge and belief, the undersigned certifies that the information set forth in this statement is true, complete and correct.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Dated: July 3, 2023</w:t>
      </w:r>
    </w:p>
    <w:p>
      <w:pPr>
        <w:spacing w:after="0" w:line="200" w:lineRule="exact"/>
        <w:rPr>
          <w:sz w:val="20"/>
          <w:szCs w:val="20"/>
          <w:color w:val="auto"/>
        </w:rPr>
      </w:pPr>
    </w:p>
    <w:p>
      <w:pPr>
        <w:ind w:left="5720"/>
        <w:spacing w:after="0"/>
        <w:rPr>
          <w:sz w:val="20"/>
          <w:szCs w:val="20"/>
          <w:color w:val="auto"/>
        </w:rPr>
      </w:pPr>
      <w:r>
        <w:rPr>
          <w:rFonts w:ascii="Arial" w:cs="Arial" w:eastAsia="Arial" w:hAnsi="Arial"/>
          <w:sz w:val="22"/>
          <w:szCs w:val="22"/>
          <w:b w:val="1"/>
          <w:bCs w:val="1"/>
          <w:color w:val="auto"/>
        </w:rPr>
        <w:t>CALIGAN PARTNERS LP</w:t>
      </w:r>
    </w:p>
    <w:p>
      <w:pPr>
        <w:spacing w:after="0" w:line="200" w:lineRule="exact"/>
        <w:rPr>
          <w:sz w:val="20"/>
          <w:szCs w:val="20"/>
          <w:color w:val="auto"/>
        </w:rPr>
      </w:pPr>
    </w:p>
    <w:p>
      <w:pPr>
        <w:spacing w:after="0" w:line="282" w:lineRule="exact"/>
        <w:rPr>
          <w:sz w:val="20"/>
          <w:szCs w:val="20"/>
          <w:color w:val="auto"/>
        </w:rPr>
      </w:pPr>
    </w:p>
    <w:p>
      <w:pPr>
        <w:ind w:left="5720"/>
        <w:spacing w:after="0"/>
        <w:tabs>
          <w:tab w:leader="none" w:pos="6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David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6985</wp:posOffset>
            </wp:positionV>
            <wp:extent cx="30689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ind w:left="5720"/>
        <w:spacing w:after="0"/>
        <w:rPr>
          <w:sz w:val="20"/>
          <w:szCs w:val="20"/>
          <w:color w:val="auto"/>
        </w:rPr>
      </w:pPr>
      <w:r>
        <w:rPr>
          <w:rFonts w:ascii="Arial" w:cs="Arial" w:eastAsia="Arial" w:hAnsi="Arial"/>
          <w:sz w:val="22"/>
          <w:szCs w:val="22"/>
          <w:color w:val="auto"/>
        </w:rPr>
        <w:t>Name: David Johnson</w:t>
      </w:r>
    </w:p>
    <w:p>
      <w:pPr>
        <w:ind w:left="5720"/>
        <w:spacing w:after="0"/>
        <w:tabs>
          <w:tab w:leader="none" w:pos="6480" w:val="left"/>
        </w:tabs>
        <w:rPr>
          <w:sz w:val="20"/>
          <w:szCs w:val="20"/>
          <w:color w:val="auto"/>
        </w:rPr>
      </w:pPr>
      <w:r>
        <w:rPr>
          <w:rFonts w:ascii="Arial" w:cs="Arial" w:eastAsia="Arial" w:hAnsi="Arial"/>
          <w:sz w:val="22"/>
          <w:szCs w:val="22"/>
          <w:color w:val="auto"/>
        </w:rPr>
        <w:t>Title:</w:t>
        <w:tab/>
        <w:t>Partner</w:t>
      </w:r>
    </w:p>
    <w:p>
      <w:pPr>
        <w:spacing w:after="0" w:line="200" w:lineRule="exact"/>
        <w:rPr>
          <w:sz w:val="20"/>
          <w:szCs w:val="20"/>
          <w:color w:val="auto"/>
        </w:rPr>
      </w:pPr>
    </w:p>
    <w:p>
      <w:pPr>
        <w:spacing w:after="0" w:line="258"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/s/ David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6985</wp:posOffset>
            </wp:positionV>
            <wp:extent cx="3566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 w:lineRule="exact"/>
        <w:rPr>
          <w:sz w:val="20"/>
          <w:szCs w:val="20"/>
          <w:color w:val="auto"/>
        </w:rPr>
      </w:pPr>
    </w:p>
    <w:p>
      <w:pPr>
        <w:ind w:left="5720"/>
        <w:spacing w:after="0"/>
        <w:rPr>
          <w:sz w:val="20"/>
          <w:szCs w:val="20"/>
          <w:color w:val="auto"/>
        </w:rPr>
      </w:pPr>
      <w:r>
        <w:rPr>
          <w:rFonts w:ascii="Arial" w:cs="Arial" w:eastAsia="Arial" w:hAnsi="Arial"/>
          <w:sz w:val="22"/>
          <w:szCs w:val="22"/>
          <w:b w:val="1"/>
          <w:bCs w:val="1"/>
          <w:color w:val="auto"/>
        </w:rPr>
        <w:t>DAVID JOHNSON</w:t>
      </w: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15"/>
    </w:lvl>
    <w:lvl w:ilvl="1">
      <w:lvlJc w:val="left"/>
      <w:lvlText w:val="(%2)"/>
      <w:numFmt w:val="decimal"/>
      <w:start w:val="646"/>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3"/>
      <w:numFmt w:val="bullet"/>
      <w:start w:val="1"/>
    </w:lvl>
  </w:abstractNum>
  <w:abstractNum w:abstractNumId="3">
    <w:nsid w:val="238E1F29"/>
    <w:multiLevelType w:val="hybridMultilevel"/>
    <w:lvl w:ilvl="0">
      <w:lvlJc w:val="left"/>
      <w:lvlText w:val="3"/>
      <w:numFmt w:val="bullet"/>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2023-07-03T16:21:41Z</dcterms:created>
  <dcterms:modified xsi:type="dcterms:W3CDTF">2023-07-03T16:21:41Z</dcterms:modified>
</cp:coreProperties>
</file>