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Mackay Sean</w:t>
              </w:r>
            </w:hyperlink>
          </w:p>
        </w:tc>
        <w:tc>
          <w:tcPr>
            <w:tcW w:w="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STANDARD BIOTOOLS INC.</w:t>
            </w:r>
          </w:p>
        </w:tc>
        <w:tc>
          <w:tcPr>
            <w:tcW w:w="2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05/21/2025</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25"/>
        <w:spacing w:after="0"/>
        <w:rPr>
          <w:sz w:val="20"/>
          <w:szCs w:val="20"/>
          <w:color w:val="auto"/>
        </w:rPr>
      </w:pPr>
      <w:r>
        <w:rPr>
          <w:rFonts w:ascii="Times New Roman" w:cs="Times New Roman" w:eastAsia="Times New Roman" w:hAnsi="Times New Roman"/>
          <w:sz w:val="17"/>
          <w:szCs w:val="17"/>
          <w:color w:val="0000FF"/>
        </w:rPr>
        <w:t>SVP &amp; Chief Business Officer</w:t>
      </w:r>
    </w:p>
    <w:p>
      <w:pPr>
        <w:spacing w:after="0" w:line="56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05/21/2025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12,838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868,829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05/22/2025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12,536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1.002</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856,293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to satisfy the tax obligations that arose upon the vesting of restricted stock units granted to the reporting person on March 21, 2025, which grant was originally reported on Form 4 filed with the U.S. Securities and Exchange Commission ("SEC") on March 24, 2025.</w:t>
      </w:r>
    </w:p>
    <w:p>
      <w:pPr>
        <w:spacing w:after="0" w:line="7"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$1.015 to $1.05 per share. Full information regarding the number of shares sold at each price shall be provided upon request to the staff of the SEC,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$0.9403 to $1.03 per share. Full information regarding the number of shares sold at each price shall be provided upon request to the staff of the SEC, the Issuer, or a security holder of the Issuer.</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Sean Mackay by Tomone</w:t>
            </w:r>
          </w:p>
        </w:tc>
        <w:tc>
          <w:tcPr>
            <w:tcW w:w="120" w:type="dxa"/>
            <w:vAlign w:val="bottom"/>
          </w:tcPr>
          <w:p>
            <w:pPr>
              <w:spacing w:after="0"/>
              <w:rPr>
                <w:sz w:val="17"/>
                <w:szCs w:val="17"/>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05/23/2025</w:t>
            </w:r>
          </w:p>
        </w:tc>
        <w:tc>
          <w:tcPr>
            <w:tcW w:w="0" w:type="dxa"/>
            <w:vAlign w:val="bottom"/>
          </w:tcPr>
          <w:p>
            <w:pPr>
              <w:spacing w:after="0"/>
              <w:rPr>
                <w:sz w:val="1"/>
                <w:szCs w:val="1"/>
                <w:color w:val="auto"/>
              </w:rPr>
            </w:pPr>
          </w:p>
        </w:tc>
      </w:tr>
      <w:tr>
        <w:trPr>
          <w:trHeight w:val="87"/>
        </w:trPr>
        <w:tc>
          <w:tcPr>
            <w:tcW w:w="17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Tanaka, Attorney-in-Fact</w:t>
            </w:r>
          </w:p>
        </w:tc>
        <w:tc>
          <w:tcPr>
            <w:tcW w:w="3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5501"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2025-05-23T17:17:55Z</dcterms:created>
  <dcterms:modified xsi:type="dcterms:W3CDTF">2025-05-23T17:17:55Z</dcterms:modified>
</cp:coreProperties>
</file>