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Standard BioTools Inc.</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34385P108</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June 30, 2023</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48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58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460"/>
          </w:cols>
          <w:pgMar w:left="320" w:top="220" w:right="111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4624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624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40" w:right="7160" w:hanging="442"/>
        <w:spacing w:after="0" w:line="312"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740" w:hanging="44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1000" w:hanging="25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000" w:hanging="25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740" w:hanging="44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740" w:right="5860" w:hanging="442"/>
        <w:spacing w:after="0" w:line="312"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7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3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520" w:type="dxa"/>
            <w:vAlign w:val="bottom"/>
            <w:tcBorders>
              <w:right w:val="single" w:sz="8" w:color="auto"/>
            </w:tcBorders>
          </w:tcPr>
          <w:p>
            <w:pPr>
              <w:spacing w:after="0"/>
              <w:rPr>
                <w:sz w:val="20"/>
                <w:szCs w:val="20"/>
                <w:color w:val="auto"/>
              </w:rPr>
            </w:pPr>
          </w:p>
        </w:tc>
        <w:tc>
          <w:tcPr>
            <w:tcW w:w="8380" w:type="dxa"/>
            <w:vAlign w:val="bottom"/>
          </w:tcPr>
          <w:p>
            <w:pPr>
              <w:ind w:left="60"/>
              <w:spacing w:after="0"/>
              <w:rPr>
                <w:sz w:val="20"/>
                <w:szCs w:val="20"/>
                <w:color w:val="auto"/>
              </w:rPr>
            </w:pPr>
            <w:r>
              <w:rPr>
                <w:rFonts w:ascii="Arial" w:cs="Arial" w:eastAsia="Arial" w:hAnsi="Arial"/>
                <w:sz w:val="18"/>
                <w:szCs w:val="18"/>
                <w:color w:val="auto"/>
              </w:rPr>
              <w:t>3,220,917</w:t>
            </w:r>
          </w:p>
        </w:tc>
        <w:tc>
          <w:tcPr>
            <w:tcW w:w="0" w:type="dxa"/>
            <w:vAlign w:val="bottom"/>
          </w:tcPr>
          <w:p>
            <w:pPr>
              <w:spacing w:after="0"/>
              <w:rPr>
                <w:sz w:val="1"/>
                <w:szCs w:val="1"/>
                <w:color w:val="auto"/>
              </w:rPr>
            </w:pPr>
          </w:p>
        </w:tc>
      </w:tr>
      <w:tr>
        <w:trPr>
          <w:trHeight w:val="68"/>
        </w:trPr>
        <w:tc>
          <w:tcPr>
            <w:tcW w:w="17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7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6</w:t>
            </w:r>
          </w:p>
        </w:tc>
        <w:tc>
          <w:tcPr>
            <w:tcW w:w="83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3"/>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4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3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4"/>
                <w:szCs w:val="14"/>
                <w:color w:val="auto"/>
              </w:rPr>
            </w:pP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7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OWNED BY EACH</w:t>
            </w: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3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85"/>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vMerge w:val="continue"/>
          </w:tcPr>
          <w:p>
            <w:pPr>
              <w:spacing w:after="0"/>
              <w:rPr>
                <w:sz w:val="7"/>
                <w:szCs w:val="7"/>
                <w:color w:val="auto"/>
              </w:rPr>
            </w:pPr>
          </w:p>
        </w:tc>
        <w:tc>
          <w:tcPr>
            <w:tcW w:w="8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380" w:type="dxa"/>
            <w:vAlign w:val="bottom"/>
            <w:vMerge w:val="restart"/>
          </w:tcPr>
          <w:p>
            <w:pPr>
              <w:ind w:left="60"/>
              <w:spacing w:after="0"/>
              <w:rPr>
                <w:sz w:val="20"/>
                <w:szCs w:val="20"/>
                <w:color w:val="auto"/>
              </w:rPr>
            </w:pPr>
            <w:r>
              <w:rPr>
                <w:rFonts w:ascii="Arial" w:cs="Arial" w:eastAsia="Arial" w:hAnsi="Arial"/>
                <w:sz w:val="18"/>
                <w:szCs w:val="18"/>
                <w:color w:val="auto"/>
              </w:rPr>
              <w:t>3,220,917</w:t>
            </w:r>
          </w:p>
        </w:tc>
        <w:tc>
          <w:tcPr>
            <w:tcW w:w="0" w:type="dxa"/>
            <w:vAlign w:val="bottom"/>
          </w:tcPr>
          <w:p>
            <w:pPr>
              <w:spacing w:after="0"/>
              <w:rPr>
                <w:sz w:val="1"/>
                <w:szCs w:val="1"/>
                <w:color w:val="auto"/>
              </w:rPr>
            </w:pPr>
          </w:p>
        </w:tc>
      </w:tr>
      <w:tr>
        <w:trPr>
          <w:trHeight w:val="99"/>
        </w:trPr>
        <w:tc>
          <w:tcPr>
            <w:tcW w:w="17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4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3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7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40" w:right="3000" w:hanging="442"/>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3,220,917</w:t>
      </w:r>
    </w:p>
    <w:p>
      <w:pPr>
        <w:spacing w:after="0" w:line="94" w:lineRule="exact"/>
        <w:rPr>
          <w:sz w:val="20"/>
          <w:szCs w:val="20"/>
          <w:color w:val="auto"/>
        </w:rPr>
      </w:pPr>
    </w:p>
    <w:p>
      <w:pPr>
        <w:ind w:left="740" w:right="2480" w:hanging="487"/>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740" w:right="4620" w:hanging="483"/>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4.11%</w:t>
      </w:r>
    </w:p>
    <w:p>
      <w:pPr>
        <w:spacing w:after="0" w:line="94" w:lineRule="exact"/>
        <w:rPr>
          <w:rFonts w:ascii="Arial" w:cs="Arial" w:eastAsia="Arial" w:hAnsi="Arial"/>
          <w:sz w:val="18"/>
          <w:szCs w:val="18"/>
          <w:color w:val="auto"/>
        </w:rPr>
      </w:pPr>
    </w:p>
    <w:p>
      <w:pPr>
        <w:ind w:left="740" w:right="7220" w:hanging="487"/>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34385P108</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Standard BioTools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 Tower Place, Suite 2000, South San Francisco, CA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880"/>
        <w:spacing w:after="0"/>
        <w:rPr>
          <w:sz w:val="20"/>
          <w:szCs w:val="20"/>
          <w:color w:val="auto"/>
        </w:rPr>
      </w:pPr>
      <w:r>
        <w:rPr>
          <w:rFonts w:ascii="Arial" w:cs="Arial" w:eastAsia="Arial" w:hAnsi="Arial"/>
          <w:sz w:val="18"/>
          <w:szCs w:val="18"/>
          <w:color w:val="auto"/>
        </w:rPr>
        <w:t>COM</w:t>
      </w: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34385P108</w:t>
      </w:r>
    </w:p>
    <w:p>
      <w:pPr>
        <w:spacing w:after="0" w:line="221" w:lineRule="exact"/>
        <w:rPr>
          <w:sz w:val="20"/>
          <w:szCs w:val="20"/>
          <w:color w:val="auto"/>
        </w:rPr>
      </w:pPr>
    </w:p>
    <w:p>
      <w:pPr>
        <w:ind w:left="1020" w:hanging="1014"/>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80" w:type="dxa"/>
            <w:vAlign w:val="bottom"/>
          </w:tcPr>
          <w:p>
            <w:pPr>
              <w:ind w:left="280"/>
              <w:spacing w:after="0"/>
              <w:rPr>
                <w:sz w:val="20"/>
                <w:szCs w:val="20"/>
                <w:color w:val="auto"/>
              </w:rPr>
            </w:pPr>
            <w:r>
              <w:rPr>
                <w:rFonts w:ascii="Arial" w:cs="Arial" w:eastAsia="Arial" w:hAnsi="Arial"/>
                <w:sz w:val="18"/>
                <w:szCs w:val="18"/>
                <w:color w:val="auto"/>
              </w:rPr>
              <w:t>Broker or dealer registered under Section 15 of the Act (15 U.S.C. 78c);</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80" w:type="dxa"/>
            <w:vAlign w:val="bottom"/>
          </w:tcPr>
          <w:p>
            <w:pPr>
              <w:ind w:left="280"/>
              <w:spacing w:after="0"/>
              <w:rPr>
                <w:sz w:val="20"/>
                <w:szCs w:val="20"/>
                <w:color w:val="auto"/>
              </w:rPr>
            </w:pPr>
            <w:r>
              <w:rPr>
                <w:rFonts w:ascii="Arial" w:cs="Arial" w:eastAsia="Arial" w:hAnsi="Arial"/>
                <w:sz w:val="18"/>
                <w:szCs w:val="18"/>
                <w:color w:val="auto"/>
              </w:rPr>
              <w:t>Bank as defined in Section 3(a)(6) of the Act (15 U.S.C. 78c);</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80" w:type="dxa"/>
            <w:vAlign w:val="bottom"/>
          </w:tcPr>
          <w:p>
            <w:pPr>
              <w:ind w:left="2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80" w:type="dxa"/>
            <w:vAlign w:val="bottom"/>
          </w:tcPr>
          <w:p>
            <w:pPr>
              <w:ind w:left="2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spacing w:after="0" w:line="121" w:lineRule="exact"/>
        <w:rPr>
          <w:sz w:val="20"/>
          <w:szCs w:val="20"/>
          <w:color w:val="auto"/>
        </w:rPr>
      </w:pPr>
    </w:p>
    <w:p>
      <w:pPr>
        <w:ind w:left="1460" w:hanging="450"/>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60" w:hanging="450"/>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40" w:type="dxa"/>
            <w:vAlign w:val="bottom"/>
          </w:tcPr>
          <w:p>
            <w:pPr>
              <w:ind w:left="280"/>
              <w:spacing w:after="0"/>
              <w:rPr>
                <w:sz w:val="20"/>
                <w:szCs w:val="20"/>
                <w:color w:val="auto"/>
              </w:rPr>
            </w:pPr>
            <w:r>
              <w:rPr>
                <w:rFonts w:ascii="Arial" w:cs="Arial" w:eastAsia="Arial" w:hAnsi="Arial"/>
                <w:sz w:val="18"/>
                <w:szCs w:val="18"/>
                <w:color w:val="auto"/>
              </w:rPr>
              <w:t>A parent holding company or control person in accordance with 240.13d-1(b)(1)(ii)(G);</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r>
      <w:tr>
        <w:trPr>
          <w:trHeight w:val="3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w:t>
            </w:r>
          </w:p>
        </w:tc>
      </w:tr>
      <w:tr>
        <w:trPr>
          <w:trHeight w:val="230"/>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Investment Company Act of 1940 (15 U.S.C. 80a-3);</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(j)</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7940" w:type="dxa"/>
            <w:vAlign w:val="bottom"/>
          </w:tcPr>
          <w:p>
            <w:pPr>
              <w:ind w:left="280"/>
              <w:spacing w:after="0"/>
              <w:rPr>
                <w:sz w:val="20"/>
                <w:szCs w:val="20"/>
                <w:color w:val="auto"/>
              </w:rPr>
            </w:pPr>
            <w:r>
              <w:rPr>
                <w:rFonts w:ascii="Arial" w:cs="Arial" w:eastAsia="Arial" w:hAnsi="Arial"/>
                <w:sz w:val="18"/>
                <w:szCs w:val="18"/>
                <w:color w:val="auto"/>
              </w:rPr>
              <w:t>A non-U.S. institution in accordance with 240.13d-1(b)(1)(ii)(J);</w:t>
            </w:r>
          </w:p>
        </w:tc>
      </w:tr>
    </w:tbl>
    <w:p>
      <w:pPr>
        <w:spacing w:after="0" w:line="121" w:lineRule="exact"/>
        <w:rPr>
          <w:sz w:val="20"/>
          <w:szCs w:val="20"/>
          <w:color w:val="auto"/>
        </w:rPr>
      </w:pPr>
    </w:p>
    <w:p>
      <w:pPr>
        <w:ind w:left="1460" w:hanging="45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3,220,917</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4.11%</w:t>
      </w:r>
    </w:p>
    <w:p>
      <w:pPr>
        <w:spacing w:after="0" w:line="140" w:lineRule="exact"/>
        <w:rPr>
          <w:sz w:val="20"/>
          <w:szCs w:val="20"/>
          <w:color w:val="auto"/>
        </w:rPr>
      </w:pPr>
    </w:p>
    <w:p>
      <w:pPr>
        <w:ind w:left="1260" w:hanging="250"/>
        <w:spacing w:after="0"/>
        <w:tabs>
          <w:tab w:leader="none" w:pos="1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20" w:right="5960" w:firstLine="1"/>
        <w:spacing w:after="0" w:line="406" w:lineRule="auto"/>
        <w:tabs>
          <w:tab w:leader="none" w:pos="15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3,220,917</w:t>
      </w:r>
    </w:p>
    <w:p>
      <w:pPr>
        <w:spacing w:after="0" w:line="1" w:lineRule="exact"/>
        <w:rPr>
          <w:rFonts w:ascii="Arial" w:cs="Arial" w:eastAsia="Arial" w:hAnsi="Arial"/>
          <w:sz w:val="18"/>
          <w:szCs w:val="18"/>
          <w:color w:val="auto"/>
        </w:rPr>
      </w:pPr>
    </w:p>
    <w:p>
      <w:pPr>
        <w:ind w:left="1580" w:hanging="259"/>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20" w:right="5140" w:firstLine="1"/>
        <w:spacing w:after="0" w:line="406" w:lineRule="auto"/>
        <w:tabs>
          <w:tab w:leader="none" w:pos="16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3,220,917</w:t>
      </w:r>
    </w:p>
    <w:p>
      <w:pPr>
        <w:spacing w:after="0" w:line="1" w:lineRule="exact"/>
        <w:rPr>
          <w:rFonts w:ascii="Arial" w:cs="Arial" w:eastAsia="Arial" w:hAnsi="Arial"/>
          <w:sz w:val="18"/>
          <w:szCs w:val="18"/>
          <w:color w:val="auto"/>
        </w:rPr>
      </w:pPr>
    </w:p>
    <w:p>
      <w:pPr>
        <w:ind w:left="1620" w:hanging="299"/>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20"/>
          </w:cols>
          <w:pgMar w:left="400" w:top="931" w:right="1179" w:bottom="0" w:gutter="0" w:footer="0" w:header="0"/>
        </w:sectPr>
      </w:pPr>
    </w:p>
    <w:bookmarkStart w:id="3" w:name="page4"/>
    <w:bookmarkEnd w:id="3"/>
    <w:p>
      <w:pPr>
        <w:ind w:left="132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300" w:hanging="1014"/>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93" w:right="107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34385P108</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20" w:type="dxa"/>
            <w:vAlign w:val="bottom"/>
          </w:tcPr>
          <w:p>
            <w:pPr>
              <w:spacing w:after="0"/>
              <w:rPr>
                <w:sz w:val="20"/>
                <w:szCs w:val="20"/>
                <w:color w:val="auto"/>
              </w:rPr>
            </w:pPr>
            <w:r>
              <w:rPr>
                <w:rFonts w:ascii="Arial" w:cs="Arial" w:eastAsia="Arial" w:hAnsi="Arial"/>
                <w:sz w:val="16"/>
                <w:szCs w:val="16"/>
                <w:color w:val="auto"/>
              </w:rPr>
              <w:t>July 07 2023</w:t>
            </w:r>
          </w:p>
        </w:tc>
        <w:tc>
          <w:tcPr>
            <w:tcW w:w="6320" w:type="dxa"/>
            <w:vAlign w:val="bottom"/>
            <w:gridSpan w:val="2"/>
          </w:tcPr>
          <w:p>
            <w:pPr>
              <w:ind w:left="118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020" w:type="dxa"/>
            <w:vAlign w:val="bottom"/>
          </w:tcPr>
          <w:p>
            <w:pPr>
              <w:spacing w:after="0"/>
              <w:rPr>
                <w:sz w:val="24"/>
                <w:szCs w:val="24"/>
                <w:color w:val="auto"/>
              </w:rPr>
            </w:pPr>
          </w:p>
        </w:tc>
        <w:tc>
          <w:tcPr>
            <w:tcW w:w="1840" w:type="dxa"/>
            <w:vAlign w:val="bottom"/>
          </w:tcPr>
          <w:p>
            <w:pPr>
              <w:ind w:left="118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Julietta Martikyan</w:t>
            </w:r>
          </w:p>
        </w:tc>
      </w:tr>
      <w:tr>
        <w:trPr>
          <w:trHeight w:val="278"/>
        </w:trPr>
        <w:tc>
          <w:tcPr>
            <w:tcW w:w="2020" w:type="dxa"/>
            <w:vAlign w:val="bottom"/>
          </w:tcPr>
          <w:p>
            <w:pPr>
              <w:spacing w:after="0"/>
              <w:rPr>
                <w:sz w:val="24"/>
                <w:szCs w:val="24"/>
                <w:color w:val="auto"/>
              </w:rPr>
            </w:pPr>
          </w:p>
        </w:tc>
        <w:tc>
          <w:tcPr>
            <w:tcW w:w="1840" w:type="dxa"/>
            <w:vAlign w:val="bottom"/>
          </w:tcPr>
          <w:p>
            <w:pPr>
              <w:ind w:left="118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Julietta Martikyan</w:t>
            </w:r>
          </w:p>
        </w:tc>
      </w:tr>
      <w:tr>
        <w:trPr>
          <w:trHeight w:val="270"/>
        </w:trPr>
        <w:tc>
          <w:tcPr>
            <w:tcW w:w="2020" w:type="dxa"/>
            <w:vAlign w:val="bottom"/>
          </w:tcPr>
          <w:p>
            <w:pPr>
              <w:spacing w:after="0"/>
              <w:rPr>
                <w:sz w:val="23"/>
                <w:szCs w:val="23"/>
                <w:color w:val="auto"/>
              </w:rPr>
            </w:pPr>
          </w:p>
        </w:tc>
        <w:tc>
          <w:tcPr>
            <w:tcW w:w="1840" w:type="dxa"/>
            <w:vAlign w:val="bottom"/>
          </w:tcPr>
          <w:p>
            <w:pPr>
              <w:ind w:left="118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 of Compliance and Administration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2023-07-07T12:31:38Z</dcterms:created>
  <dcterms:modified xsi:type="dcterms:W3CDTF">2023-07-07T12:31:38Z</dcterms:modified>
</cp:coreProperties>
</file>