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11/07/2025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11/07/2025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5"/>
              <w:spacing w:after="0"/>
              <w:rPr>
                <w:sz w:val="20"/>
                <w:szCs w:val="20"/>
                <w:color w:val="auto"/>
              </w:rPr>
            </w:pPr>
            <w:r>
              <w:rPr>
                <w:rFonts w:ascii="Times New Roman" w:cs="Times New Roman" w:eastAsia="Times New Roman" w:hAnsi="Times New Roman"/>
                <w:sz w:val="17"/>
                <w:szCs w:val="17"/>
                <w:color w:val="0000FF"/>
              </w:rPr>
              <w:t>225,000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1.1234</w:t>
            </w:r>
            <w:r>
              <w:rPr>
                <w:rFonts w:ascii="Times New Roman" w:cs="Times New Roman" w:eastAsia="Times New Roman" w:hAnsi="Times New Roman"/>
                <w:sz w:val="22"/>
                <w:szCs w:val="22"/>
                <w:color w:val="008000"/>
                <w:w w:val="95"/>
                <w:vertAlign w:val="superscript"/>
              </w:rPr>
              <w:t>(1)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61,100,000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5"/>
              <w:spacing w:after="0"/>
              <w:rPr>
                <w:sz w:val="20"/>
                <w:szCs w:val="20"/>
                <w:color w:val="auto"/>
              </w:rPr>
            </w:pPr>
            <w:r>
              <w:rPr>
                <w:rFonts w:ascii="Times New Roman" w:cs="Times New Roman" w:eastAsia="Times New Roman" w:hAnsi="Times New Roman"/>
                <w:sz w:val="17"/>
                <w:szCs w:val="17"/>
                <w:color w:val="0000FF"/>
              </w:rPr>
              <w:t>275,000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1.1706</w:t>
            </w:r>
            <w:r>
              <w:rPr>
                <w:rFonts w:ascii="Times New Roman" w:cs="Times New Roman" w:eastAsia="Times New Roman" w:hAnsi="Times New Roman"/>
                <w:sz w:val="22"/>
                <w:szCs w:val="22"/>
                <w:color w:val="008000"/>
                <w:w w:val="95"/>
                <w:vertAlign w:val="superscript"/>
              </w:rPr>
              <w:t>(2)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61,375,000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11/11/2025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5"/>
              <w:spacing w:after="0"/>
              <w:rPr>
                <w:sz w:val="20"/>
                <w:szCs w:val="20"/>
                <w:color w:val="auto"/>
              </w:rPr>
            </w:pPr>
            <w:r>
              <w:rPr>
                <w:rFonts w:ascii="Times New Roman" w:cs="Times New Roman" w:eastAsia="Times New Roman" w:hAnsi="Times New Roman"/>
                <w:sz w:val="17"/>
                <w:szCs w:val="17"/>
                <w:color w:val="0000FF"/>
              </w:rPr>
              <w:t>300,000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1.196</w:t>
            </w:r>
            <w:r>
              <w:rPr>
                <w:rFonts w:ascii="Times New Roman" w:cs="Times New Roman" w:eastAsia="Times New Roman" w:hAnsi="Times New Roman"/>
                <w:sz w:val="22"/>
                <w:szCs w:val="22"/>
                <w:color w:val="008000"/>
                <w:w w:val="95"/>
                <w:vertAlign w:val="superscript"/>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61,675,000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11/12/2025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5"/>
              <w:spacing w:after="0"/>
              <w:rPr>
                <w:sz w:val="20"/>
                <w:szCs w:val="20"/>
                <w:color w:val="auto"/>
              </w:rPr>
            </w:pPr>
            <w:r>
              <w:rPr>
                <w:rFonts w:ascii="Times New Roman" w:cs="Times New Roman" w:eastAsia="Times New Roman" w:hAnsi="Times New Roman"/>
                <w:sz w:val="17"/>
                <w:szCs w:val="17"/>
                <w:color w:val="0000FF"/>
              </w:rPr>
              <w:t>375,000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1.1889</w:t>
            </w:r>
            <w:r>
              <w:rPr>
                <w:rFonts w:ascii="Times New Roman" w:cs="Times New Roman" w:eastAsia="Times New Roman" w:hAnsi="Times New Roman"/>
                <w:sz w:val="22"/>
                <w:szCs w:val="22"/>
                <w:color w:val="008000"/>
                <w:w w:val="95"/>
                <w:vertAlign w:val="superscript"/>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62,050,000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2,901,062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spacing w:after="0" w:line="6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tabs>
          <w:tab w:leader="none" w:pos="1360" w:val="left"/>
          <w:tab w:leader="none" w:pos="1900" w:val="left"/>
        </w:tabs>
        <w:rPr>
          <w:sz w:val="20"/>
          <w:szCs w:val="20"/>
          <w:color w:val="auto"/>
        </w:rPr>
      </w:pPr>
      <w:r>
        <w:rPr>
          <w:rFonts w:ascii="Times New Roman" w:cs="Times New Roman" w:eastAsia="Times New Roman" w:hAnsi="Times New Roman"/>
          <w:sz w:val="17"/>
          <w:szCs w:val="17"/>
          <w:color w:val="0000FF"/>
        </w:rPr>
        <w:t>13,939,637</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6"/>
          <w:szCs w:val="26"/>
          <w:color w:val="0000FF"/>
          <w:vertAlign w:val="superscript"/>
        </w:rPr>
        <w:t>See</w:t>
      </w:r>
    </w:p>
    <w:p>
      <w:pPr>
        <w:ind w:left="19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p>
      <w:pPr>
        <w:spacing w:after="0" w:line="28" w:lineRule="exact"/>
        <w:rPr>
          <w:sz w:val="24"/>
          <w:szCs w:val="24"/>
          <w:color w:val="auto"/>
        </w:rPr>
      </w:pPr>
    </w:p>
    <w:p>
      <w:pPr>
        <w:ind w:left="40"/>
        <w:spacing w:after="0"/>
        <w:tabs>
          <w:tab w:leader="none" w:pos="1360" w:val="left"/>
          <w:tab w:leader="none" w:pos="1900" w:val="left"/>
        </w:tabs>
        <w:rPr>
          <w:sz w:val="20"/>
          <w:szCs w:val="20"/>
          <w:color w:val="auto"/>
        </w:rPr>
      </w:pPr>
      <w:r>
        <w:rPr>
          <w:rFonts w:ascii="Times New Roman" w:cs="Times New Roman" w:eastAsia="Times New Roman" w:hAnsi="Times New Roman"/>
          <w:sz w:val="17"/>
          <w:szCs w:val="17"/>
          <w:color w:val="0000FF"/>
        </w:rPr>
        <w:t>2,744,219</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6"/>
          <w:szCs w:val="26"/>
          <w:color w:val="0000FF"/>
          <w:vertAlign w:val="superscript"/>
        </w:rPr>
        <w:t>See</w:t>
      </w:r>
    </w:p>
    <w:p>
      <w:pPr>
        <w:ind w:left="19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(8)</w:t>
      </w:r>
    </w:p>
    <w:p>
      <w:pPr>
        <w:spacing w:after="0" w:line="123" w:lineRule="exact"/>
        <w:rPr>
          <w:sz w:val="24"/>
          <w:szCs w:val="24"/>
          <w:color w:val="auto"/>
        </w:rPr>
      </w:pPr>
    </w:p>
    <w:p>
      <w:pPr>
        <w:sectPr>
          <w:pgSz w:w="11900" w:h="16838" w:orient="portrait"/>
          <w:cols w:equalWidth="0" w:num="2">
            <w:col w:w="7500" w:space="720"/>
            <w:col w:w="286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4"/>
          <w:szCs w:val="24"/>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10019</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8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Casdin Eli</w:t>
              </w:r>
            </w:hyperlink>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Casdin Capital,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287"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10019</w:t>
      </w:r>
    </w:p>
    <w:p>
      <w:pPr>
        <w:sectPr>
          <w:pgSz w:w="11900" w:h="16838" w:orient="portrait"/>
          <w:cols w:equalWidth="0" w:num="1">
            <w:col w:w="9979"/>
          </w:cols>
          <w:pgMar w:left="480" w:top="287"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229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222948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CASDIN PRIVATE GROWTH EQUITY</w:t>
        </w:r>
      </w:hyperlink>
    </w:p>
    <w:p>
      <w:pPr>
        <w:ind w:left="8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$1.1153 to $1.1321.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$1.1688 to $1.1732.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$1.1881 to $1.2053.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$1.1865 to $1.1913.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300" w:right="499" w:bottom="313"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60"/>
          </w:cols>
          <w:pgMar w:left="500" w:top="300" w:right="499" w:bottom="313"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300" w:right="499" w:bottom="3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534264" TargetMode="External"/><Relationship Id="rId16" Type="http://schemas.openxmlformats.org/officeDocument/2006/relationships/hyperlink" Target="http://www.sec.gov/cgi-bin/browse-edgar?action=getcompany&amp;CIK=0001534261" TargetMode="External"/><Relationship Id="rId18" Type="http://schemas.openxmlformats.org/officeDocument/2006/relationships/hyperlink" Target="http://www.sec.gov/cgi-bin/browse-edgar?action=getcompany&amp;CIK=0001891102" TargetMode="External"/><Relationship Id="rId19" Type="http://schemas.openxmlformats.org/officeDocument/2006/relationships/hyperlink" Target="http://www.sec.gov/cgi-bin/browse-edgar?action=getcompany&amp;CIK=0001534260" TargetMode="External"/><Relationship Id="rId20" Type="http://schemas.openxmlformats.org/officeDocument/2006/relationships/hyperlink" Target="http://www.sec.gov/cgi-bin/browse-edgar?action=getcompany&amp;CIK=0001919480" TargetMode="External"/><Relationship Id="rId21" Type="http://schemas.openxmlformats.org/officeDocument/2006/relationships/hyperlink" Target="http://www.sec.gov/cgi-bin/browse-edgar?action=getcompany&amp;CIK=0001823061" TargetMode="External"/><Relationship Id="rId23" Type="http://schemas.openxmlformats.org/officeDocument/2006/relationships/hyperlink" Target="http://www.sec.gov/cgi-bin/browse-edgar?action=getcompany&amp;CIK=0001864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2025-11-12T18:51:13Z</dcterms:created>
  <dcterms:modified xsi:type="dcterms:W3CDTF">2025-11-12T18:51:13Z</dcterms:modified>
</cp:coreProperties>
</file>