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August 2,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2, 2018, Fluidigm Corporation issued a press release reporting its financial results for the second quarter ended June 30, 2018.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Fluidigm Corporation Press Release dated August 2, 2018</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00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2, 2018</w:t>
            </w:r>
          </w:p>
        </w:tc>
        <w:tc>
          <w:tcPr>
            <w:tcW w:w="7880" w:type="dxa"/>
            <w:vAlign w:val="bottom"/>
            <w:gridSpan w:val="3"/>
          </w:tcPr>
          <w:p>
            <w:pPr>
              <w:ind w:left="2000"/>
              <w:spacing w:after="0"/>
              <w:rPr>
                <w:sz w:val="20"/>
                <w:szCs w:val="20"/>
                <w:color w:val="auto"/>
              </w:rPr>
            </w:pPr>
            <w:r>
              <w:rPr>
                <w:rFonts w:ascii="Arial" w:cs="Arial" w:eastAsia="Arial" w:hAnsi="Arial"/>
                <w:sz w:val="18"/>
                <w:szCs w:val="18"/>
                <w:color w:val="auto"/>
              </w:rPr>
              <w:t>By: /s/ Vikram Jog</w:t>
            </w:r>
          </w:p>
        </w:tc>
      </w:tr>
      <w:tr>
        <w:trPr>
          <w:trHeight w:val="222"/>
        </w:trPr>
        <w:tc>
          <w:tcPr>
            <w:tcW w:w="35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5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Fluidigm Corporation Press Release dated August 2, 2018</w:t>
        </w:r>
      </w:hyperlink>
    </w:p>
    <w:p>
      <w:pPr>
        <w:sectPr>
          <w:pgSz w:w="11900" w:h="16838" w:orient="portrait"/>
          <w:cols w:equalWidth="0" w:num="1">
            <w:col w:w="10219"/>
          </w:cols>
          <w:pgMar w:left="240" w:top="337" w:right="1440" w:bottom="1440" w:gutter="0" w:footer="0" w:header="0"/>
        </w:sectPr>
      </w:pPr>
    </w:p>
    <w:bookmarkStart w:id="4" w:name="page5"/>
    <w:bookmarkEnd w:id="4"/>
    <w:p>
      <w:pPr>
        <w:spacing w:after="0" w:line="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Second Quarter 2018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Total revenue increases 11 percent to $26.4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Mass cytometry revenue growth of 32 percent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Total consumables revenue growth of 19 percent</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SOUTH SAN FRANCISCO, Calif., Aug. 02, 2018 (GLOBE NEWSWIRE) -- Fluidigm Corporation (NASDAQ:FLDM) today announced financial results for the second quarter ended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Highlights</w:t>
      </w:r>
    </w:p>
    <w:p>
      <w:pPr>
        <w:spacing w:after="0" w:line="212" w:lineRule="exact"/>
        <w:rPr>
          <w:sz w:val="20"/>
          <w:szCs w:val="20"/>
          <w:color w:val="auto"/>
        </w:rPr>
      </w:pPr>
    </w:p>
    <w:p>
      <w:pPr>
        <w:ind w:left="540" w:right="240"/>
        <w:spacing w:after="0" w:line="287" w:lineRule="auto"/>
        <w:rPr>
          <w:sz w:val="20"/>
          <w:szCs w:val="20"/>
          <w:color w:val="auto"/>
        </w:rPr>
      </w:pPr>
      <w:r>
        <w:rPr>
          <w:rFonts w:ascii="Arial" w:cs="Arial" w:eastAsia="Arial" w:hAnsi="Arial"/>
          <w:sz w:val="19"/>
          <w:szCs w:val="19"/>
          <w:color w:val="auto"/>
        </w:rPr>
        <w:t>Total revenue increased 11 percent to $26.4 million from $23.9 million in the second quarter of 2017, with mass cytometry revenue growth of 32 percent and total consumables revenue growth of 19 percent compared to the year ago period. GAAP net loss was $16.2 million, compared with a GAAP net loss of $16.9 million for the second quarter of 2017. Non-GAAP net loss was $6.8 million, compared with a $9.0 million non-GAAP net loss for the second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-293370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-139065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3" w:lineRule="exact"/>
        <w:rPr>
          <w:sz w:val="20"/>
          <w:szCs w:val="20"/>
          <w:color w:val="auto"/>
        </w:rPr>
      </w:pPr>
    </w:p>
    <w:p>
      <w:pPr>
        <w:jc w:val="both"/>
        <w:ind w:right="380"/>
        <w:spacing w:after="0" w:line="328" w:lineRule="auto"/>
        <w:rPr>
          <w:sz w:val="20"/>
          <w:szCs w:val="20"/>
          <w:color w:val="auto"/>
        </w:rPr>
      </w:pPr>
      <w:r>
        <w:rPr>
          <w:rFonts w:ascii="Arial" w:cs="Arial" w:eastAsia="Arial" w:hAnsi="Arial"/>
          <w:sz w:val="19"/>
          <w:szCs w:val="19"/>
          <w:color w:val="auto"/>
        </w:rPr>
        <w:t>“We’re pleased with our strong performance this quarter, with exceptional top-line revenue growth in mass cytometry and total consumables,” said Chris Linthwaite, President and CEO. “We delivered disciplined operating expense and cash management.”</w:t>
      </w:r>
    </w:p>
    <w:p>
      <w:pPr>
        <w:spacing w:after="0" w:line="13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“This quarter, we surpassed a key milestone with fifty percent penetration at US Comprehensive Cancer Centers. Demonstrating sustained momentum for mass cytometry market expansion, we also saw strategic placements in Asia-Pacific and Europe and an exciting placement at a CAR T cell industry leader,” added Linthwaite. </w:t>
      </w:r>
      <w:r>
        <w:rPr>
          <w:rFonts w:ascii="Arial" w:cs="Arial" w:eastAsia="Arial" w:hAnsi="Arial"/>
          <w:sz w:val="22"/>
          <w:szCs w:val="22"/>
          <w:b w:val="1"/>
          <w:bCs w:val="1"/>
          <w:color w:val="auto"/>
        </w:rPr>
        <w:t>“</w:t>
      </w:r>
      <w:r>
        <w:rPr>
          <w:rFonts w:ascii="Arial" w:cs="Arial" w:eastAsia="Arial" w:hAnsi="Arial"/>
          <w:sz w:val="22"/>
          <w:szCs w:val="22"/>
          <w:color w:val="auto"/>
        </w:rPr>
        <w:t>We are focused on delivering more growth and product innovation in the second half of 2018. Across all technology platforms we are experiencing demand driven by questions related to immune function.”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 full reconciliation of GAAP to non-GAAP measures can be found in the tables of this news release.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2018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category:</w:t>
      </w:r>
    </w:p>
    <w:p>
      <w:pPr>
        <w:spacing w:after="0" w:line="206" w:lineRule="exact"/>
        <w:rPr>
          <w:sz w:val="20"/>
          <w:szCs w:val="20"/>
          <w:color w:val="auto"/>
        </w:rPr>
      </w:pPr>
    </w:p>
    <w:p>
      <w:pPr>
        <w:ind w:left="540" w:right="100"/>
        <w:spacing w:after="0" w:line="251" w:lineRule="auto"/>
        <w:rPr>
          <w:sz w:val="20"/>
          <w:szCs w:val="20"/>
          <w:color w:val="auto"/>
        </w:rPr>
      </w:pPr>
      <w:r>
        <w:rPr>
          <w:rFonts w:ascii="Arial" w:cs="Arial" w:eastAsia="Arial" w:hAnsi="Arial"/>
          <w:sz w:val="22"/>
          <w:szCs w:val="22"/>
          <w:color w:val="auto"/>
        </w:rPr>
        <w:t>Instrument revenue increased 5 percent to $10.4 million from $9.9 million in the year ago period. Higher revenue from mass cytometry instruments was partially offset by lower revenue from genomics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right="360"/>
        <w:spacing w:after="0"/>
        <w:rPr>
          <w:sz w:val="20"/>
          <w:szCs w:val="20"/>
          <w:color w:val="auto"/>
        </w:rPr>
      </w:pPr>
      <w:r>
        <w:rPr>
          <w:rFonts w:ascii="Arial" w:cs="Arial" w:eastAsia="Arial" w:hAnsi="Arial"/>
          <w:sz w:val="22"/>
          <w:szCs w:val="22"/>
          <w:color w:val="auto"/>
        </w:rPr>
        <w:t>Consumables revenue increased 19 percent to $11.4 million from $9.6 million in the year ago period, with growth in both mass cytometry reagents and high-throughput genomics products, partially offset by decreased revenue from single-cell genomics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60"/>
        <w:spacing w:after="0" w:line="251" w:lineRule="auto"/>
        <w:rPr>
          <w:sz w:val="20"/>
          <w:szCs w:val="20"/>
          <w:color w:val="auto"/>
        </w:rPr>
      </w:pPr>
      <w:r>
        <w:rPr>
          <w:rFonts w:ascii="Arial" w:cs="Arial" w:eastAsia="Arial" w:hAnsi="Arial"/>
          <w:sz w:val="22"/>
          <w:szCs w:val="22"/>
          <w:color w:val="auto"/>
        </w:rPr>
        <w:t>Service revenue increased 8 percent to $4.7 million from $4.3 million in the year ago period, with growth in service for mass cytometry systems, partially offset by a decrease in service for genomics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ind w:left="540" w:right="340"/>
        <w:spacing w:after="0" w:line="252" w:lineRule="auto"/>
        <w:rPr>
          <w:sz w:val="20"/>
          <w:szCs w:val="20"/>
          <w:color w:val="auto"/>
        </w:rPr>
      </w:pPr>
      <w:r>
        <w:rPr>
          <w:rFonts w:ascii="Arial" w:cs="Arial" w:eastAsia="Arial" w:hAnsi="Arial"/>
          <w:sz w:val="21"/>
          <w:szCs w:val="21"/>
          <w:color w:val="auto"/>
        </w:rPr>
        <w:t>Genomics revenue, comprising instruments, consumables, and service, decreased 5 percent to $12.8 million from $13.5 million in the prior year period. Genomics product revenue decreased 3 percent to $10.5 million from $10.9 million in the prior year period, mainly due to lower high-throughput genomics instrument sales and single-cell genomics product sales, partially offset by an increase in high-throughput genomics consumable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-582295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jc w:val="both"/>
        <w:ind w:left="540" w:right="500"/>
        <w:spacing w:after="0"/>
        <w:rPr>
          <w:sz w:val="20"/>
          <w:szCs w:val="20"/>
          <w:color w:val="auto"/>
        </w:rPr>
      </w:pPr>
      <w:r>
        <w:rPr>
          <w:rFonts w:ascii="Arial" w:cs="Arial" w:eastAsia="Arial" w:hAnsi="Arial"/>
          <w:sz w:val="22"/>
          <w:szCs w:val="22"/>
          <w:color w:val="auto"/>
        </w:rPr>
        <w:t>Mass cytometry revenue, comprising instruments, consumables, and service, increased 32 percent to $13.7 million from $10.4 million in the prior year period. Mass cytometry product revenue increased 31 percent to $11.3 million from $8.6 million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revenue by geographic area: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b w:val="1"/>
                <w:bCs w:val="1"/>
                <w:color w:val="auto"/>
              </w:rPr>
              <w:t>Geographic Area</w:t>
            </w: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 by Geography</w:t>
            </w:r>
          </w:p>
        </w:tc>
        <w:tc>
          <w:tcPr>
            <w:tcW w:w="31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Year-over-Year Change</w:t>
            </w:r>
          </w:p>
        </w:tc>
        <w:tc>
          <w:tcPr>
            <w:tcW w:w="2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 of Total Revenue</w:t>
            </w:r>
          </w:p>
        </w:tc>
      </w:tr>
      <w:tr>
        <w:trPr>
          <w:trHeight w:val="256"/>
        </w:trPr>
        <w:tc>
          <w:tcPr>
            <w:tcW w:w="2240" w:type="dxa"/>
            <w:vAlign w:val="bottom"/>
          </w:tcPr>
          <w:p>
            <w:pPr>
              <w:ind w:left="20"/>
              <w:spacing w:after="0"/>
              <w:rPr>
                <w:sz w:val="20"/>
                <w:szCs w:val="20"/>
                <w:color w:val="auto"/>
              </w:rPr>
            </w:pPr>
            <w:r>
              <w:rPr>
                <w:rFonts w:ascii="Arial" w:cs="Arial" w:eastAsia="Arial" w:hAnsi="Arial"/>
                <w:sz w:val="22"/>
                <w:szCs w:val="22"/>
                <w:color w:val="auto"/>
              </w:rPr>
              <w:t>United States</w:t>
            </w:r>
          </w:p>
        </w:tc>
        <w:tc>
          <w:tcPr>
            <w:tcW w:w="3300" w:type="dxa"/>
            <w:vAlign w:val="bottom"/>
          </w:tcPr>
          <w:p>
            <w:pPr>
              <w:jc w:val="center"/>
              <w:spacing w:after="0"/>
              <w:rPr>
                <w:sz w:val="20"/>
                <w:szCs w:val="20"/>
                <w:color w:val="auto"/>
              </w:rPr>
            </w:pPr>
            <w:r>
              <w:rPr>
                <w:rFonts w:ascii="Arial" w:cs="Arial" w:eastAsia="Arial" w:hAnsi="Arial"/>
                <w:sz w:val="22"/>
                <w:szCs w:val="22"/>
                <w:color w:val="auto"/>
                <w:w w:val="93"/>
              </w:rPr>
              <w:t>$12.0 million</w:t>
            </w:r>
          </w:p>
        </w:tc>
        <w:tc>
          <w:tcPr>
            <w:tcW w:w="3140" w:type="dxa"/>
            <w:vAlign w:val="bottom"/>
          </w:tcPr>
          <w:p>
            <w:pPr>
              <w:jc w:val="right"/>
              <w:ind w:right="1152"/>
              <w:spacing w:after="0"/>
              <w:rPr>
                <w:sz w:val="20"/>
                <w:szCs w:val="20"/>
                <w:color w:val="auto"/>
              </w:rPr>
            </w:pPr>
            <w:r>
              <w:rPr>
                <w:rFonts w:ascii="Arial" w:cs="Arial" w:eastAsia="Arial" w:hAnsi="Arial"/>
                <w:sz w:val="22"/>
                <w:szCs w:val="22"/>
                <w:color w:val="auto"/>
              </w:rPr>
              <w:t>3%</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46%</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Europe</w:t>
            </w:r>
          </w:p>
        </w:tc>
        <w:tc>
          <w:tcPr>
            <w:tcW w:w="3300" w:type="dxa"/>
            <w:vAlign w:val="bottom"/>
          </w:tcPr>
          <w:p>
            <w:pPr>
              <w:jc w:val="center"/>
              <w:ind w:left="12"/>
              <w:spacing w:after="0"/>
              <w:rPr>
                <w:sz w:val="20"/>
                <w:szCs w:val="20"/>
                <w:color w:val="auto"/>
              </w:rPr>
            </w:pPr>
            <w:r>
              <w:rPr>
                <w:rFonts w:ascii="Arial" w:cs="Arial" w:eastAsia="Arial" w:hAnsi="Arial"/>
                <w:sz w:val="22"/>
                <w:szCs w:val="22"/>
                <w:color w:val="auto"/>
                <w:w w:val="95"/>
              </w:rPr>
              <w:t>$9.1 million</w:t>
            </w:r>
          </w:p>
        </w:tc>
        <w:tc>
          <w:tcPr>
            <w:tcW w:w="3140" w:type="dxa"/>
            <w:vAlign w:val="bottom"/>
          </w:tcPr>
          <w:p>
            <w:pPr>
              <w:jc w:val="right"/>
              <w:ind w:right="1152"/>
              <w:spacing w:after="0"/>
              <w:rPr>
                <w:sz w:val="20"/>
                <w:szCs w:val="20"/>
                <w:color w:val="auto"/>
              </w:rPr>
            </w:pPr>
            <w:r>
              <w:rPr>
                <w:rFonts w:ascii="Arial" w:cs="Arial" w:eastAsia="Arial" w:hAnsi="Arial"/>
                <w:sz w:val="22"/>
                <w:szCs w:val="22"/>
                <w:color w:val="auto"/>
              </w:rPr>
              <w:t>18%</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34%</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3300" w:type="dxa"/>
            <w:vAlign w:val="bottom"/>
          </w:tcPr>
          <w:p>
            <w:pPr>
              <w:jc w:val="center"/>
              <w:ind w:left="12"/>
              <w:spacing w:after="0"/>
              <w:rPr>
                <w:sz w:val="20"/>
                <w:szCs w:val="20"/>
                <w:color w:val="auto"/>
              </w:rPr>
            </w:pPr>
            <w:r>
              <w:rPr>
                <w:rFonts w:ascii="Arial" w:cs="Arial" w:eastAsia="Arial" w:hAnsi="Arial"/>
                <w:sz w:val="22"/>
                <w:szCs w:val="22"/>
                <w:color w:val="auto"/>
                <w:w w:val="95"/>
              </w:rPr>
              <w:t>$4.8 million</w:t>
            </w:r>
          </w:p>
        </w:tc>
        <w:tc>
          <w:tcPr>
            <w:tcW w:w="3140" w:type="dxa"/>
            <w:vAlign w:val="bottom"/>
          </w:tcPr>
          <w:p>
            <w:pPr>
              <w:jc w:val="right"/>
              <w:ind w:right="1152"/>
              <w:spacing w:after="0"/>
              <w:rPr>
                <w:sz w:val="20"/>
                <w:szCs w:val="20"/>
                <w:color w:val="auto"/>
              </w:rPr>
            </w:pPr>
            <w:r>
              <w:rPr>
                <w:rFonts w:ascii="Arial" w:cs="Arial" w:eastAsia="Arial" w:hAnsi="Arial"/>
                <w:sz w:val="22"/>
                <w:szCs w:val="22"/>
                <w:color w:val="auto"/>
              </w:rPr>
              <w:t>24%</w:t>
            </w:r>
          </w:p>
        </w:tc>
        <w:tc>
          <w:tcPr>
            <w:tcW w:w="2740" w:type="dxa"/>
            <w:vAlign w:val="bottom"/>
          </w:tcPr>
          <w:p>
            <w:pPr>
              <w:jc w:val="right"/>
              <w:ind w:right="992"/>
              <w:spacing w:after="0"/>
              <w:rPr>
                <w:sz w:val="20"/>
                <w:szCs w:val="20"/>
                <w:color w:val="auto"/>
              </w:rPr>
            </w:pPr>
            <w:r>
              <w:rPr>
                <w:rFonts w:ascii="Arial" w:cs="Arial" w:eastAsia="Arial" w:hAnsi="Arial"/>
                <w:sz w:val="22"/>
                <w:szCs w:val="22"/>
                <w:color w:val="auto"/>
              </w:rPr>
              <w:t>18%</w:t>
            </w:r>
          </w:p>
        </w:tc>
      </w:tr>
      <w:tr>
        <w:trPr>
          <w:trHeight w:val="27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3300" w:type="dxa"/>
            <w:vAlign w:val="bottom"/>
            <w:tcBorders>
              <w:bottom w:val="single" w:sz="8" w:color="auto"/>
            </w:tcBorders>
          </w:tcPr>
          <w:p>
            <w:pPr>
              <w:jc w:val="center"/>
              <w:ind w:left="12"/>
              <w:spacing w:after="0"/>
              <w:rPr>
                <w:sz w:val="20"/>
                <w:szCs w:val="20"/>
                <w:color w:val="auto"/>
              </w:rPr>
            </w:pPr>
            <w:r>
              <w:rPr>
                <w:rFonts w:ascii="Arial" w:cs="Arial" w:eastAsia="Arial" w:hAnsi="Arial"/>
                <w:sz w:val="22"/>
                <w:szCs w:val="22"/>
                <w:color w:val="auto"/>
                <w:w w:val="95"/>
              </w:rPr>
              <w:t>$0.5 million</w:t>
            </w:r>
          </w:p>
        </w:tc>
        <w:tc>
          <w:tcPr>
            <w:tcW w:w="314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rPr>
              <w:t>(23%)</w:t>
            </w:r>
          </w:p>
        </w:tc>
        <w:tc>
          <w:tcPr>
            <w:tcW w:w="2740" w:type="dxa"/>
            <w:vAlign w:val="bottom"/>
            <w:tcBorders>
              <w:bottom w:val="single" w:sz="8" w:color="auto"/>
            </w:tcBorders>
          </w:tcPr>
          <w:p>
            <w:pPr>
              <w:jc w:val="right"/>
              <w:ind w:right="992"/>
              <w:spacing w:after="0"/>
              <w:rPr>
                <w:sz w:val="20"/>
                <w:szCs w:val="20"/>
                <w:color w:val="auto"/>
              </w:rPr>
            </w:pPr>
            <w:r>
              <w:rPr>
                <w:rFonts w:ascii="Arial" w:cs="Arial" w:eastAsia="Arial" w:hAnsi="Arial"/>
                <w:sz w:val="22"/>
                <w:szCs w:val="22"/>
                <w:color w:val="auto"/>
              </w:rPr>
              <w:t>2%</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Product margin:</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GAAP product margin was 48.8 percent in the second quarter of 2018 compared to 44.6 percent in the year ago period and 50.1 percent the first quarter. Non-GAAP product margin was 65.0 percent in the second quarter of 2018 compared to 63.0 percent in the year ago period and 67.2 percent in the first quarter. The increase in year-over-year product margins was primarily due to product</w:t>
      </w:r>
    </w:p>
    <w:p>
      <w:pPr>
        <w:sectPr>
          <w:pgSz w:w="11900" w:h="16863" w:orient="portrait"/>
          <w:cols w:equalWidth="0" w:num="1">
            <w:col w:w="11420"/>
          </w:cols>
          <w:pgMar w:left="240" w:top="112" w:right="239" w:bottom="0" w:gutter="0" w:footer="0" w:header="0"/>
        </w:sectPr>
      </w:pPr>
    </w:p>
    <w:bookmarkStart w:id="5" w:name="page6"/>
    <w:bookmarkEnd w:id="5"/>
    <w:p>
      <w:pPr>
        <w:jc w:val="both"/>
        <w:ind w:right="420"/>
        <w:spacing w:after="0" w:line="241" w:lineRule="auto"/>
        <w:rPr>
          <w:sz w:val="20"/>
          <w:szCs w:val="20"/>
          <w:color w:val="auto"/>
        </w:rPr>
      </w:pPr>
      <w:r>
        <w:rPr>
          <w:rFonts w:ascii="Arial" w:cs="Arial" w:eastAsia="Arial" w:hAnsi="Arial"/>
          <w:sz w:val="22"/>
          <w:szCs w:val="22"/>
          <w:color w:val="auto"/>
        </w:rPr>
        <w:t>mix and average selling prices, partially offset by higher costs from lower production volumes. The increase in GAAP product margin was also due to fixed amortization over higher revenue in the second quarter of 2018. The sequential decline in product margins was primarily due to product mix.</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investments as of June 30, 2018:</w:t>
      </w:r>
    </w:p>
    <w:p>
      <w:pPr>
        <w:spacing w:after="0" w:line="206" w:lineRule="exact"/>
        <w:rPr>
          <w:sz w:val="20"/>
          <w:szCs w:val="20"/>
          <w:color w:val="auto"/>
        </w:rPr>
      </w:pPr>
    </w:p>
    <w:p>
      <w:pPr>
        <w:jc w:val="both"/>
        <w:ind w:right="420"/>
        <w:spacing w:after="0" w:line="251" w:lineRule="auto"/>
        <w:rPr>
          <w:sz w:val="20"/>
          <w:szCs w:val="20"/>
          <w:color w:val="auto"/>
        </w:rPr>
      </w:pPr>
      <w:r>
        <w:rPr>
          <w:rFonts w:ascii="Arial" w:cs="Arial" w:eastAsia="Arial" w:hAnsi="Arial"/>
          <w:sz w:val="22"/>
          <w:szCs w:val="22"/>
          <w:color w:val="auto"/>
        </w:rPr>
        <w:t>Cash, cash equivalents, and investments as of June 30, 2018, were $40.4 million. Cash, cash equivalents, and investments as of March 31, 2018, were $47.3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product innovations:</w:t>
      </w:r>
    </w:p>
    <w:p>
      <w:pPr>
        <w:spacing w:after="0" w:line="212" w:lineRule="exact"/>
        <w:rPr>
          <w:sz w:val="20"/>
          <w:szCs w:val="20"/>
          <w:color w:val="auto"/>
        </w:rPr>
      </w:pPr>
    </w:p>
    <w:p>
      <w:pPr>
        <w:ind w:left="540" w:right="180"/>
        <w:spacing w:after="0" w:line="252" w:lineRule="auto"/>
        <w:rPr>
          <w:sz w:val="20"/>
          <w:szCs w:val="20"/>
          <w:color w:val="auto"/>
        </w:rPr>
      </w:pPr>
      <w:r>
        <w:rPr>
          <w:rFonts w:ascii="Arial" w:cs="Arial" w:eastAsia="Arial" w:hAnsi="Arial"/>
          <w:sz w:val="21"/>
          <w:szCs w:val="21"/>
          <w:b w:val="1"/>
          <w:bCs w:val="1"/>
          <w:i w:val="1"/>
          <w:iCs w:val="1"/>
          <w:color w:val="auto"/>
        </w:rPr>
        <w:t>Lower-Cost, Full-Length mRNA Sequencing Application for the C1™</w:t>
      </w:r>
      <w:r>
        <w:rPr>
          <w:rFonts w:ascii="Arial" w:cs="Arial" w:eastAsia="Arial" w:hAnsi="Arial"/>
          <w:sz w:val="21"/>
          <w:szCs w:val="21"/>
          <w:color w:val="auto"/>
        </w:rPr>
        <w:t>: In July, Fluidigm launched a new workflow</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application that the company developed with New England Biolabs for full-length mRNA sequencing analysis. This application is ideal for validation and further interrogation of new single-cell populations identified by ultrahigh throughput methods, expanding the capability of the C1 to advance new single-cell discoveries.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-582295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1" w:lineRule="exact"/>
        <w:rPr>
          <w:sz w:val="20"/>
          <w:szCs w:val="20"/>
          <w:color w:val="auto"/>
        </w:rPr>
      </w:pPr>
    </w:p>
    <w:p>
      <w:pPr>
        <w:ind w:left="540" w:right="20"/>
        <w:spacing w:after="0" w:line="282" w:lineRule="auto"/>
        <w:rPr>
          <w:sz w:val="20"/>
          <w:szCs w:val="20"/>
          <w:color w:val="auto"/>
        </w:rPr>
      </w:pPr>
      <w:r>
        <w:rPr>
          <w:rFonts w:ascii="Arial" w:cs="Arial" w:eastAsia="Arial" w:hAnsi="Arial"/>
          <w:sz w:val="19"/>
          <w:szCs w:val="19"/>
          <w:b w:val="1"/>
          <w:bCs w:val="1"/>
          <w:i w:val="1"/>
          <w:iCs w:val="1"/>
          <w:color w:val="auto"/>
        </w:rPr>
        <w:t>First Multimodal Single-Cell Application for the C1</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July, Fluidigm announced a new T-ATAC-seq application for use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the C system. Using the C1 Open App™ application, Stanford University researchers led by Dr. Ansuman Satpathy developed T-ATAC-seq to pair specific receptor sequences and epigenomic states in single cells. This application provides a powerful tool to uncover new insights into the development of the immune system and its role in a range of human disease. The research is published in </w:t>
      </w:r>
      <w:r>
        <w:rPr>
          <w:rFonts w:ascii="Arial" w:cs="Arial" w:eastAsia="Arial" w:hAnsi="Arial"/>
          <w:sz w:val="19"/>
          <w:szCs w:val="19"/>
          <w:i w:val="1"/>
          <w:iCs w:val="1"/>
          <w:color w:val="auto"/>
        </w:rPr>
        <w:t>Nature Medicine</w:t>
      </w:r>
      <w:r>
        <w:rPr>
          <w:rFonts w:ascii="Arial" w:cs="Arial" w:eastAsia="Arial" w:hAnsi="Arial"/>
          <w:sz w:val="19"/>
          <w:szCs w:val="19"/>
          <w:color w:val="auto"/>
        </w:rPr>
        <w:t>, and the application is publicly available on Fluidigm® Script Hub</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-753745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ind w:left="540" w:right="40"/>
        <w:spacing w:after="0" w:line="251" w:lineRule="auto"/>
        <w:rPr>
          <w:sz w:val="20"/>
          <w:szCs w:val="20"/>
          <w:color w:val="auto"/>
        </w:rPr>
      </w:pPr>
      <w:r>
        <w:rPr>
          <w:rFonts w:ascii="Arial" w:cs="Arial" w:eastAsia="Arial" w:hAnsi="Arial"/>
          <w:sz w:val="21"/>
          <w:szCs w:val="21"/>
          <w:b w:val="1"/>
          <w:bCs w:val="1"/>
          <w:i w:val="1"/>
          <w:iCs w:val="1"/>
          <w:color w:val="auto"/>
        </w:rPr>
        <w:t>Advanta™ Sample Identification Genotyping Panel for Translational and Clinical Research</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June, Fluidigm launched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Advanta Sample ID Genotyping Panel for the Biomark™ HD system. This panel enables laboratories to accurately detect a unique genetic fingerprint from each sample at each stage of the sample journey. By utilizing the Biomark HD system, the workflow offers many additional benefits to sample identification, including decreased hands-on time and significant cost savings compared to traditional qPCR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agreements:</w:t>
      </w:r>
    </w:p>
    <w:p>
      <w:pPr>
        <w:spacing w:after="0" w:line="212" w:lineRule="exact"/>
        <w:rPr>
          <w:sz w:val="20"/>
          <w:szCs w:val="20"/>
          <w:color w:val="auto"/>
        </w:rPr>
      </w:pPr>
    </w:p>
    <w:p>
      <w:pPr>
        <w:ind w:left="540" w:right="100"/>
        <w:spacing w:after="0" w:line="236" w:lineRule="auto"/>
        <w:rPr>
          <w:sz w:val="20"/>
          <w:szCs w:val="20"/>
          <w:color w:val="auto"/>
        </w:rPr>
      </w:pPr>
      <w:r>
        <w:rPr>
          <w:rFonts w:ascii="Arial" w:cs="Arial" w:eastAsia="Arial" w:hAnsi="Arial"/>
          <w:sz w:val="22"/>
          <w:szCs w:val="22"/>
          <w:b w:val="1"/>
          <w:bCs w:val="1"/>
          <w:i w:val="1"/>
          <w:iCs w:val="1"/>
          <w:color w:val="auto"/>
        </w:rPr>
        <w:t>Fluidigm and Genomenon to Offer Evidence-Based Genomic Panel Design Service</w:t>
      </w:r>
      <w:r>
        <w:rPr>
          <w:rFonts w:ascii="Arial" w:cs="Arial" w:eastAsia="Arial" w:hAnsi="Arial"/>
          <w:sz w:val="22"/>
          <w:szCs w:val="22"/>
          <w:color w:val="auto"/>
        </w:rPr>
        <w:t>: In June, Fluidigm announced a co-marketing agreement with Genomenon to offer evidence-based panel design services for translational and clinical disease research. Through this joint panel design services offering, researchers will be able to accelerate the design of disease-specific next-generation sequencing, genotyping, and real-time PCR panels for use with highly efficient Fluidigm automated microfluidic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2018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$26 million to $29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GAAP operating expenses of $27.5 million to $28.5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Non-GAAP operating expenses of $24.5 million to $25.5 million excluding stock-based compensation and depreciation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amortization expenses of approximately $2 million and $1 million, respectively.</w:t>
      </w:r>
    </w:p>
    <w:p>
      <w:pPr>
        <w:ind w:left="540"/>
        <w:spacing w:after="0"/>
        <w:rPr>
          <w:sz w:val="20"/>
          <w:szCs w:val="20"/>
          <w:color w:val="auto"/>
        </w:rPr>
      </w:pPr>
      <w:r>
        <w:rPr>
          <w:rFonts w:ascii="Arial" w:cs="Arial" w:eastAsia="Arial" w:hAnsi="Arial"/>
          <w:sz w:val="22"/>
          <w:szCs w:val="22"/>
          <w:color w:val="auto"/>
        </w:rPr>
        <w:t>Total cash outflow of $7.5 million to $8.5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Fluidigm will host a conference call today, August 2, 2018, at 2:00 p.m. PT (5:00 p.m. ET) to discuss second quarter 2018 financial results and operational progress. Individuals interested in listening to the conference call may do so by dialing (877) 556-5248 for domestic callers, or (720) 545-0029 for international callers. Please reference Conference ID 9766389. A live webcast of the conference call will be available online from the Investor Relations page of the Company’s website at http://investors.fluidigm.com/events.cfm.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link will not be active until 1:45 p.m. PT (4:45 p.m. ET) on August 2, 2018.</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After the live webcast, the call will be archived on Fluidigm’s Investor Relations page at http://investors.fluidigm.com/. In addition, a telephone replay of the teleconference will be available 90 minutes after the end of the call. The replay dial-in numbers are (855) 859-2056 for domestic callers and (404) 537-3406 for international callers. Please use the conference ID number: 9766389. The telephone replay will be available until August 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three-month periods ended June 30, 2018, and June 30, 2017, as well as projected for the third quarter of 2018.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w:t>
      </w:r>
    </w:p>
    <w:p>
      <w:pPr>
        <w:sectPr>
          <w:pgSz w:w="11900" w:h="16838" w:orient="portrait"/>
          <w:cols w:equalWidth="0" w:num="1">
            <w:col w:w="11420"/>
          </w:cols>
          <w:pgMar w:left="240" w:top="118" w:right="239" w:bottom="0" w:gutter="0" w:footer="0" w:header="0"/>
        </w:sectPr>
      </w:pPr>
    </w:p>
    <w:bookmarkStart w:id="6" w:name="page7"/>
    <w:bookmarkEnd w:id="6"/>
    <w:p>
      <w:pPr>
        <w:spacing w:after="0" w:line="245" w:lineRule="auto"/>
        <w:rPr>
          <w:sz w:val="20"/>
          <w:szCs w:val="20"/>
          <w:color w:val="auto"/>
        </w:rPr>
      </w:pPr>
      <w:r>
        <w:rPr>
          <w:rFonts w:ascii="Arial" w:cs="Arial" w:eastAsia="Arial" w:hAnsi="Arial"/>
          <w:sz w:val="21"/>
          <w:szCs w:val="21"/>
          <w:color w:val="auto"/>
        </w:rPr>
        <w:t>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45"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growth in product sales, strategic plans, market growth in immunology and immuno-oncology, anticipated benefits for collaborations and new products, and projected revenues, expenses, and cash flows for the third quarter of 2018.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the Fluidigm Annual Report on Form 10-K for the year ended December 31, 2017, and in its other filings with the Securities and Exchange Commission, including the Fluidigm Quarterly Report on Form 10-Q for the quarter ended March 31, 2018. These forward-looking statements speak only as of the date hereof. Fluidigm disclaims any obligation to update these forward-looking statements except as may be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12" w:lineRule="exact"/>
        <w:rPr>
          <w:sz w:val="20"/>
          <w:szCs w:val="20"/>
          <w:color w:val="auto"/>
        </w:rPr>
      </w:pPr>
    </w:p>
    <w:p>
      <w:pPr>
        <w:ind w:right="20"/>
        <w:spacing w:after="0" w:line="248" w:lineRule="exact"/>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w:t>
      </w:r>
      <w:r>
        <w:rPr>
          <w:rFonts w:ascii="MS PGothic" w:cs="MS PGothic" w:eastAsia="MS PGothic" w:hAnsi="MS PGothic"/>
          <w:sz w:val="21"/>
          <w:szCs w:val="21"/>
          <w:color w:val="auto"/>
        </w:rPr>
        <w:t>‑</w:t>
      </w:r>
      <w:r>
        <w:rPr>
          <w:rFonts w:ascii="Arial" w:cs="Arial" w:eastAsia="Arial" w:hAnsi="Arial"/>
          <w:sz w:val="21"/>
          <w:szCs w:val="21"/>
          <w:color w:val="auto"/>
        </w:rPr>
        <w:t>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0"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Fluidigm, the Fluidigm logo, Advanta, Biomark, C1, C1 Open App, and Script Hub are trademarks and/or registered trademarks of Fluidigm Corporation. All other trademarks are the sole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5600" w:type="dxa"/>
            <w:vAlign w:val="bottom"/>
          </w:tcPr>
          <w:p>
            <w:pPr>
              <w:spacing w:after="0"/>
              <w:rPr>
                <w:sz w:val="24"/>
                <w:szCs w:val="24"/>
                <w:color w:val="auto"/>
              </w:rPr>
            </w:pPr>
          </w:p>
        </w:tc>
        <w:tc>
          <w:tcPr>
            <w:tcW w:w="2960" w:type="dxa"/>
            <w:vAlign w:val="bottom"/>
            <w:gridSpan w:val="6"/>
          </w:tcPr>
          <w:p>
            <w:pPr>
              <w:ind w:left="40"/>
              <w:spacing w:after="0"/>
              <w:rPr>
                <w:sz w:val="20"/>
                <w:szCs w:val="20"/>
                <w:color w:val="auto"/>
              </w:rPr>
            </w:pPr>
            <w:r>
              <w:rPr>
                <w:rFonts w:ascii="Arial" w:cs="Arial" w:eastAsia="Arial" w:hAnsi="Arial"/>
                <w:sz w:val="22"/>
                <w:szCs w:val="22"/>
                <w:b w:val="1"/>
                <w:bCs w:val="1"/>
                <w:color w:val="auto"/>
                <w:w w:val="93"/>
              </w:rPr>
              <w:t>Three Months Ended June 30,</w:t>
            </w:r>
          </w:p>
        </w:tc>
        <w:tc>
          <w:tcPr>
            <w:tcW w:w="2660" w:type="dxa"/>
            <w:vAlign w:val="bottom"/>
            <w:gridSpan w:val="5"/>
          </w:tcPr>
          <w:p>
            <w:pPr>
              <w:ind w:left="80"/>
              <w:spacing w:after="0"/>
              <w:rPr>
                <w:sz w:val="20"/>
                <w:szCs w:val="20"/>
                <w:color w:val="auto"/>
              </w:rPr>
            </w:pPr>
            <w:r>
              <w:rPr>
                <w:rFonts w:ascii="Arial" w:cs="Arial" w:eastAsia="Arial" w:hAnsi="Arial"/>
                <w:sz w:val="22"/>
                <w:szCs w:val="22"/>
                <w:b w:val="1"/>
                <w:bCs w:val="1"/>
                <w:color w:val="auto"/>
                <w:w w:val="89"/>
              </w:rPr>
              <w:t>Six Months Ended June 30,</w:t>
            </w:r>
          </w:p>
        </w:tc>
      </w:tr>
      <w:tr>
        <w:trPr>
          <w:trHeight w:val="265"/>
        </w:trPr>
        <w:tc>
          <w:tcPr>
            <w:tcW w:w="560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22"/>
                <w:szCs w:val="22"/>
                <w:b w:val="1"/>
                <w:bCs w:val="1"/>
                <w:color w:val="auto"/>
              </w:rPr>
              <w:t>2017</w:t>
            </w:r>
          </w:p>
        </w:tc>
      </w:tr>
      <w:tr>
        <w:trPr>
          <w:trHeight w:val="256"/>
        </w:trPr>
        <w:tc>
          <w:tcPr>
            <w:tcW w:w="5600" w:type="dxa"/>
            <w:vAlign w:val="bottom"/>
          </w:tcPr>
          <w:p>
            <w:pPr>
              <w:spacing w:after="0"/>
              <w:rPr>
                <w:sz w:val="20"/>
                <w:szCs w:val="20"/>
                <w:color w:val="auto"/>
              </w:rPr>
            </w:pPr>
            <w:r>
              <w:rPr>
                <w:rFonts w:ascii="Arial" w:cs="Arial" w:eastAsia="Arial" w:hAnsi="Arial"/>
                <w:sz w:val="22"/>
                <w:szCs w:val="22"/>
                <w:color w:val="auto"/>
              </w:rPr>
              <w:t>Revenue: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5"/>
        </w:trPr>
        <w:tc>
          <w:tcPr>
            <w:tcW w:w="5600" w:type="dxa"/>
            <w:vAlign w:val="bottom"/>
          </w:tcPr>
          <w:p>
            <w:pPr>
              <w:ind w:left="160"/>
              <w:spacing w:after="0"/>
              <w:rPr>
                <w:sz w:val="20"/>
                <w:szCs w:val="20"/>
                <w:color w:val="auto"/>
              </w:rPr>
            </w:pPr>
            <w:r>
              <w:rPr>
                <w:rFonts w:ascii="Arial" w:cs="Arial" w:eastAsia="Arial" w:hAnsi="Arial"/>
                <w:sz w:val="22"/>
                <w:szCs w:val="22"/>
                <w:color w:val="auto"/>
              </w:rPr>
              <w:t>Instruments</w:t>
            </w:r>
          </w:p>
        </w:tc>
        <w:tc>
          <w:tcPr>
            <w:tcW w:w="320" w:type="dxa"/>
            <w:vAlign w:val="bottom"/>
          </w:tcPr>
          <w:p>
            <w:pPr>
              <w:ind w:left="40"/>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2"/>
              <w:spacing w:after="0"/>
              <w:rPr>
                <w:sz w:val="20"/>
                <w:szCs w:val="20"/>
                <w:color w:val="auto"/>
              </w:rPr>
            </w:pPr>
            <w:r>
              <w:rPr>
                <w:rFonts w:ascii="Arial" w:cs="Arial" w:eastAsia="Arial" w:hAnsi="Arial"/>
                <w:sz w:val="22"/>
                <w:szCs w:val="22"/>
                <w:color w:val="auto"/>
              </w:rPr>
              <w:t>10,421</w:t>
            </w:r>
          </w:p>
        </w:tc>
        <w:tc>
          <w:tcPr>
            <w:tcW w:w="100" w:type="dxa"/>
            <w:vAlign w:val="bottom"/>
          </w:tcPr>
          <w:p>
            <w:pPr>
              <w:spacing w:after="0"/>
              <w:rPr>
                <w:sz w:val="23"/>
                <w:szCs w:val="23"/>
                <w:color w:val="auto"/>
              </w:rPr>
            </w:pP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ind w:right="32"/>
              <w:spacing w:after="0"/>
              <w:rPr>
                <w:sz w:val="20"/>
                <w:szCs w:val="20"/>
                <w:color w:val="auto"/>
              </w:rPr>
            </w:pPr>
            <w:r>
              <w:rPr>
                <w:rFonts w:ascii="Arial" w:cs="Arial" w:eastAsia="Arial" w:hAnsi="Arial"/>
                <w:sz w:val="22"/>
                <w:szCs w:val="22"/>
                <w:color w:val="auto"/>
              </w:rPr>
              <w:t>9,928</w:t>
            </w:r>
          </w:p>
        </w:tc>
        <w:tc>
          <w:tcPr>
            <w:tcW w:w="8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22"/>
                <w:szCs w:val="22"/>
                <w:color w:val="auto"/>
              </w:rPr>
              <w:t>$</w:t>
            </w:r>
          </w:p>
        </w:tc>
        <w:tc>
          <w:tcPr>
            <w:tcW w:w="960" w:type="dxa"/>
            <w:vAlign w:val="bottom"/>
          </w:tcPr>
          <w:p>
            <w:pPr>
              <w:jc w:val="right"/>
              <w:spacing w:after="0"/>
              <w:rPr>
                <w:sz w:val="20"/>
                <w:szCs w:val="20"/>
                <w:color w:val="auto"/>
              </w:rPr>
            </w:pPr>
            <w:r>
              <w:rPr>
                <w:rFonts w:ascii="Arial" w:cs="Arial" w:eastAsia="Arial" w:hAnsi="Arial"/>
                <w:sz w:val="22"/>
                <w:szCs w:val="22"/>
                <w:color w:val="auto"/>
              </w:rPr>
              <w:t>17,941</w:t>
            </w:r>
          </w:p>
        </w:tc>
        <w:tc>
          <w:tcPr>
            <w:tcW w:w="100" w:type="dxa"/>
            <w:vAlign w:val="bottom"/>
          </w:tcPr>
          <w:p>
            <w:pPr>
              <w:spacing w:after="0"/>
              <w:rPr>
                <w:sz w:val="23"/>
                <w:szCs w:val="23"/>
                <w:color w:val="auto"/>
              </w:rPr>
            </w:pP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20,665</w:t>
            </w:r>
          </w:p>
        </w:tc>
      </w:tr>
    </w:tbl>
    <w:p>
      <w:pPr>
        <w:sectPr>
          <w:pgSz w:w="11900" w:h="16838" w:orient="portrait"/>
          <w:cols w:equalWidth="0" w:num="1">
            <w:col w:w="11400"/>
          </w:cols>
          <w:pgMar w:left="240" w:top="118" w:right="259" w:bottom="0" w:gutter="0" w:footer="0" w:header="0"/>
        </w:sectPr>
      </w:pPr>
    </w:p>
    <w:bookmarkStart w:id="7" w:name="page8"/>
    <w:bookmarkEnd w:id="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5600" w:type="dxa"/>
            <w:vAlign w:val="bottom"/>
          </w:tcPr>
          <w:p>
            <w:pPr>
              <w:ind w:left="160"/>
              <w:spacing w:after="0"/>
              <w:rPr>
                <w:sz w:val="20"/>
                <w:szCs w:val="20"/>
                <w:color w:val="auto"/>
              </w:rPr>
            </w:pPr>
            <w:r>
              <w:rPr>
                <w:rFonts w:ascii="Arial" w:cs="Arial" w:eastAsia="Arial" w:hAnsi="Arial"/>
                <w:sz w:val="22"/>
                <w:szCs w:val="22"/>
                <w:color w:val="auto"/>
              </w:rPr>
              <w:t>Consumables</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11,356</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9,572</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24,313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20,142</w:t>
            </w:r>
          </w:p>
        </w:tc>
      </w:tr>
      <w:tr>
        <w:trPr>
          <w:trHeight w:val="259"/>
        </w:trPr>
        <w:tc>
          <w:tcPr>
            <w:tcW w:w="5600" w:type="dxa"/>
            <w:vAlign w:val="bottom"/>
          </w:tcPr>
          <w:p>
            <w:pPr>
              <w:ind w:left="120"/>
              <w:spacing w:after="0"/>
              <w:rPr>
                <w:sz w:val="20"/>
                <w:szCs w:val="20"/>
                <w:color w:val="auto"/>
              </w:rPr>
            </w:pPr>
            <w:r>
              <w:rPr>
                <w:rFonts w:ascii="Arial" w:cs="Arial" w:eastAsia="Arial" w:hAnsi="Arial"/>
                <w:sz w:val="22"/>
                <w:szCs w:val="22"/>
                <w:color w:val="auto"/>
              </w:rPr>
              <w:t>Product revenue</w:t>
            </w:r>
          </w:p>
        </w:tc>
        <w:tc>
          <w:tcPr>
            <w:tcW w:w="3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21,777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19,500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42,254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40,807</w:t>
            </w: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Service revenue</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4,651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4,319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9,422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8,486</w:t>
            </w:r>
          </w:p>
        </w:tc>
      </w:tr>
      <w:tr>
        <w:trPr>
          <w:trHeight w:val="276"/>
        </w:trPr>
        <w:tc>
          <w:tcPr>
            <w:tcW w:w="5600" w:type="dxa"/>
            <w:vAlign w:val="bottom"/>
          </w:tcPr>
          <w:p>
            <w:pPr>
              <w:ind w:left="120"/>
              <w:spacing w:after="0"/>
              <w:rPr>
                <w:sz w:val="20"/>
                <w:szCs w:val="20"/>
                <w:color w:val="auto"/>
              </w:rPr>
            </w:pPr>
            <w:r>
              <w:rPr>
                <w:rFonts w:ascii="Arial" w:cs="Arial" w:eastAsia="Arial" w:hAnsi="Arial"/>
                <w:sz w:val="22"/>
                <w:szCs w:val="22"/>
                <w:color w:val="auto"/>
              </w:rPr>
              <w:t>License revenue</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152</w:t>
            </w:r>
          </w:p>
        </w:tc>
      </w:tr>
      <w:tr>
        <w:trPr>
          <w:trHeight w:val="532"/>
        </w:trPr>
        <w:tc>
          <w:tcPr>
            <w:tcW w:w="5600" w:type="dxa"/>
            <w:vAlign w:val="bottom"/>
          </w:tcPr>
          <w:p>
            <w:pPr>
              <w:spacing w:after="0"/>
              <w:rPr>
                <w:sz w:val="20"/>
                <w:szCs w:val="20"/>
                <w:color w:val="auto"/>
              </w:rPr>
            </w:pPr>
            <w:r>
              <w:rPr>
                <w:rFonts w:ascii="Arial" w:cs="Arial" w:eastAsia="Arial" w:hAnsi="Arial"/>
                <w:sz w:val="22"/>
                <w:szCs w:val="22"/>
                <w:color w:val="auto"/>
              </w:rPr>
              <w:t>Total revenue</w:t>
            </w:r>
          </w:p>
        </w:tc>
        <w:tc>
          <w:tcPr>
            <w:tcW w:w="3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26,428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23,912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51,676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49,445</w:t>
            </w:r>
          </w:p>
        </w:tc>
      </w:tr>
      <w:tr>
        <w:trPr>
          <w:trHeight w:val="540"/>
        </w:trPr>
        <w:tc>
          <w:tcPr>
            <w:tcW w:w="5600" w:type="dxa"/>
            <w:vAlign w:val="bottom"/>
          </w:tcPr>
          <w:p>
            <w:pPr>
              <w:spacing w:after="0"/>
              <w:rPr>
                <w:sz w:val="20"/>
                <w:szCs w:val="20"/>
                <w:color w:val="auto"/>
              </w:rPr>
            </w:pPr>
            <w:r>
              <w:rPr>
                <w:rFonts w:ascii="Arial" w:cs="Arial" w:eastAsia="Arial" w:hAnsi="Arial"/>
                <w:sz w:val="22"/>
                <w:szCs w:val="22"/>
                <w:color w:val="auto"/>
              </w:rPr>
              <w:t>Costs and expenses: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36"/>
        </w:trPr>
        <w:tc>
          <w:tcPr>
            <w:tcW w:w="560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11,160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10,794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21,382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21,644</w:t>
            </w: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1,680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1,169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3,278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2,288</w:t>
            </w:r>
          </w:p>
        </w:tc>
      </w:tr>
      <w:tr>
        <w:trPr>
          <w:trHeight w:val="270"/>
        </w:trPr>
        <w:tc>
          <w:tcPr>
            <w:tcW w:w="56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color w:val="auto"/>
              </w:rPr>
              <w:t>7,386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22"/>
                <w:szCs w:val="22"/>
                <w:color w:val="auto"/>
              </w:rPr>
              <w:t>7,461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14,642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22"/>
                <w:szCs w:val="22"/>
                <w:color w:val="auto"/>
              </w:rPr>
              <w:t>15,986</w:t>
            </w:r>
          </w:p>
        </w:tc>
      </w:tr>
      <w:tr>
        <w:trPr>
          <w:trHeight w:val="276"/>
        </w:trPr>
        <w:tc>
          <w:tcPr>
            <w:tcW w:w="56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18,987</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20,975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37,792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43,551</w:t>
            </w: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39,213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40,399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77,094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83,469</w:t>
            </w:r>
          </w:p>
        </w:tc>
      </w:tr>
      <w:tr>
        <w:trPr>
          <w:trHeight w:val="528"/>
        </w:trPr>
        <w:tc>
          <w:tcPr>
            <w:tcW w:w="5600" w:type="dxa"/>
            <w:vAlign w:val="bottom"/>
          </w:tcPr>
          <w:p>
            <w:pPr>
              <w:spacing w:after="0"/>
              <w:rPr>
                <w:sz w:val="20"/>
                <w:szCs w:val="20"/>
                <w:color w:val="auto"/>
              </w:rPr>
            </w:pPr>
            <w:r>
              <w:rPr>
                <w:rFonts w:ascii="Arial" w:cs="Arial" w:eastAsia="Arial" w:hAnsi="Arial"/>
                <w:sz w:val="22"/>
                <w:szCs w:val="22"/>
                <w:color w:val="auto"/>
              </w:rPr>
              <w:t>Loss from operations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(12,785)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(16,487)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(25,418)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(34,024)</w:t>
            </w: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Interest expense</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(3,916)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(1,456)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(5,805)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(2,911)</w:t>
            </w:r>
          </w:p>
        </w:tc>
      </w:tr>
      <w:tr>
        <w:trPr>
          <w:trHeight w:val="276"/>
        </w:trPr>
        <w:tc>
          <w:tcPr>
            <w:tcW w:w="5600" w:type="dxa"/>
            <w:vAlign w:val="bottom"/>
          </w:tcPr>
          <w:p>
            <w:pPr>
              <w:spacing w:after="0"/>
              <w:rPr>
                <w:sz w:val="20"/>
                <w:szCs w:val="20"/>
                <w:color w:val="auto"/>
              </w:rPr>
            </w:pPr>
            <w:r>
              <w:rPr>
                <w:rFonts w:ascii="Arial" w:cs="Arial" w:eastAsia="Arial" w:hAnsi="Arial"/>
                <w:sz w:val="22"/>
                <w:szCs w:val="22"/>
                <w:color w:val="auto"/>
              </w:rPr>
              <w:t>Other income, net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193</w:t>
            </w:r>
          </w:p>
        </w:tc>
      </w:tr>
      <w:tr>
        <w:trPr>
          <w:trHeight w:val="528"/>
        </w:trPr>
        <w:tc>
          <w:tcPr>
            <w:tcW w:w="560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(16,445)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(17,760)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rPr>
              <w:t>(30,875)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(36,742)</w:t>
            </w:r>
          </w:p>
        </w:tc>
      </w:tr>
      <w:tr>
        <w:trPr>
          <w:trHeight w:val="276"/>
        </w:trPr>
        <w:tc>
          <w:tcPr>
            <w:tcW w:w="5600" w:type="dxa"/>
            <w:vAlign w:val="bottom"/>
          </w:tcPr>
          <w:p>
            <w:pPr>
              <w:spacing w:after="0"/>
              <w:rPr>
                <w:sz w:val="20"/>
                <w:szCs w:val="20"/>
                <w:color w:val="auto"/>
              </w:rPr>
            </w:pPr>
            <w:r>
              <w:rPr>
                <w:rFonts w:ascii="Arial" w:cs="Arial" w:eastAsia="Arial" w:hAnsi="Arial"/>
                <w:sz w:val="22"/>
                <w:szCs w:val="22"/>
                <w:color w:val="auto"/>
              </w:rPr>
              <w:t>Income tax benefit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204</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827</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2,608</w:t>
            </w:r>
          </w:p>
        </w:tc>
      </w:tr>
      <w:tr>
        <w:trPr>
          <w:trHeight w:val="535"/>
        </w:trPr>
        <w:tc>
          <w:tcPr>
            <w:tcW w:w="560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(16,241)</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(16,933)</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(29,488)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(34,134)</w:t>
            </w:r>
          </w:p>
        </w:tc>
      </w:tr>
      <w:tr>
        <w:trPr>
          <w:trHeight w:val="21"/>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(0.42)</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(0.58)</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(0.76)</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w:t>
            </w:r>
          </w:p>
        </w:tc>
      </w:tr>
      <w:tr>
        <w:trPr>
          <w:trHeight w:val="21"/>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34"/>
        </w:trPr>
        <w:tc>
          <w:tcPr>
            <w:tcW w:w="5600" w:type="dxa"/>
            <w:vAlign w:val="bottom"/>
          </w:tcPr>
          <w:p>
            <w:pPr>
              <w:spacing w:after="0"/>
              <w:rPr>
                <w:sz w:val="20"/>
                <w:szCs w:val="20"/>
                <w:color w:val="auto"/>
              </w:rPr>
            </w:pPr>
            <w:r>
              <w:rPr>
                <w:rFonts w:ascii="Arial" w:cs="Arial" w:eastAsia="Arial" w:hAnsi="Arial"/>
                <w:sz w:val="22"/>
                <w:szCs w:val="22"/>
                <w:color w:val="auto"/>
                <w:w w:val="91"/>
              </w:rPr>
              <w:t>Shares used in computing net loss per share, basic and diluted</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39,003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29,344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38,930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29,292</w:t>
            </w:r>
          </w:p>
        </w:tc>
      </w:tr>
      <w:tr>
        <w:trPr>
          <w:trHeight w:val="21"/>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i w:val="1"/>
          <w:i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Arial" w:cs="Arial" w:eastAsia="Arial" w:hAnsi="Arial"/>
                <w:sz w:val="22"/>
                <w:szCs w:val="22"/>
                <w:b w:val="1"/>
                <w:bCs w:val="1"/>
                <w:color w:val="auto"/>
              </w:rPr>
              <w:t>June 30, 2018</w:t>
            </w:r>
          </w:p>
        </w:tc>
        <w:tc>
          <w:tcPr>
            <w:tcW w:w="380" w:type="dxa"/>
            <w:vAlign w:val="bottom"/>
          </w:tcPr>
          <w:p>
            <w:pPr>
              <w:spacing w:after="0"/>
              <w:rPr>
                <w:sz w:val="24"/>
                <w:szCs w:val="24"/>
                <w:color w:val="auto"/>
              </w:rPr>
            </w:pPr>
          </w:p>
        </w:tc>
        <w:tc>
          <w:tcPr>
            <w:tcW w:w="2420" w:type="dxa"/>
            <w:vAlign w:val="bottom"/>
          </w:tcPr>
          <w:p>
            <w:pPr>
              <w:jc w:val="right"/>
              <w:ind w:right="292"/>
              <w:spacing w:after="0"/>
              <w:rPr>
                <w:sz w:val="20"/>
                <w:szCs w:val="20"/>
                <w:color w:val="auto"/>
              </w:rPr>
            </w:pPr>
            <w:r>
              <w:rPr>
                <w:rFonts w:ascii="Arial" w:cs="Arial" w:eastAsia="Arial" w:hAnsi="Arial"/>
                <w:sz w:val="22"/>
                <w:szCs w:val="22"/>
                <w:b w:val="1"/>
                <w:bCs w:val="1"/>
                <w:color w:val="auto"/>
                <w:w w:val="85"/>
              </w:rPr>
              <w:t xml:space="preserve">December 31, 2017 </w:t>
            </w:r>
            <w:r>
              <w:rPr>
                <w:rFonts w:ascii="Arial" w:cs="Arial" w:eastAsia="Arial" w:hAnsi="Arial"/>
                <w:sz w:val="36"/>
                <w:szCs w:val="36"/>
                <w:b w:val="1"/>
                <w:bCs w:val="1"/>
                <w:color w:val="auto"/>
                <w:w w:val="85"/>
                <w:vertAlign w:val="subscript"/>
              </w:rPr>
              <w:t>(1)</w:t>
            </w:r>
          </w:p>
        </w:tc>
        <w:tc>
          <w:tcPr>
            <w:tcW w:w="0" w:type="dxa"/>
            <w:vAlign w:val="bottom"/>
          </w:tcPr>
          <w:p>
            <w:pPr>
              <w:spacing w:after="0"/>
              <w:rPr>
                <w:sz w:val="1"/>
                <w:szCs w:val="1"/>
                <w:color w:val="auto"/>
              </w:rPr>
            </w:pPr>
          </w:p>
        </w:tc>
      </w:tr>
      <w:tr>
        <w:trPr>
          <w:trHeight w:val="278"/>
        </w:trPr>
        <w:tc>
          <w:tcPr>
            <w:tcW w:w="662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2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jc w:val="right"/>
              <w:ind w:right="212"/>
              <w:spacing w:after="0"/>
              <w:rPr>
                <w:sz w:val="20"/>
                <w:szCs w:val="20"/>
                <w:color w:val="auto"/>
              </w:rPr>
            </w:pPr>
            <w:r>
              <w:rPr>
                <w:rFonts w:ascii="Arial" w:cs="Arial" w:eastAsia="Arial" w:hAnsi="Arial"/>
                <w:sz w:val="22"/>
                <w:szCs w:val="22"/>
                <w:b w:val="1"/>
                <w:bCs w:val="1"/>
                <w:color w:val="auto"/>
                <w:w w:val="98"/>
              </w:rPr>
              <w:t>(Unaudited)</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Current assets:</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39,424</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2420" w:type="dxa"/>
            <w:vAlign w:val="bottom"/>
          </w:tcPr>
          <w:p>
            <w:pPr>
              <w:jc w:val="right"/>
              <w:spacing w:after="0"/>
              <w:rPr>
                <w:sz w:val="20"/>
                <w:szCs w:val="20"/>
                <w:color w:val="auto"/>
              </w:rPr>
            </w:pPr>
            <w:r>
              <w:rPr>
                <w:rFonts w:ascii="Arial" w:cs="Arial" w:eastAsia="Arial" w:hAnsi="Arial"/>
                <w:sz w:val="22"/>
                <w:szCs w:val="22"/>
                <w:color w:val="auto"/>
              </w:rPr>
              <w:t>58,056</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Short-term investments</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996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5,080</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16,874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15,049</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15,251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15,088</w:t>
            </w:r>
          </w:p>
        </w:tc>
        <w:tc>
          <w:tcPr>
            <w:tcW w:w="0" w:type="dxa"/>
            <w:vAlign w:val="bottom"/>
          </w:tcPr>
          <w:p>
            <w:pPr>
              <w:spacing w:after="0"/>
              <w:rPr>
                <w:sz w:val="1"/>
                <w:szCs w:val="1"/>
                <w:color w:val="auto"/>
              </w:rPr>
            </w:pPr>
          </w:p>
        </w:tc>
      </w:tr>
      <w:tr>
        <w:trPr>
          <w:trHeight w:val="276"/>
        </w:trPr>
        <w:tc>
          <w:tcPr>
            <w:tcW w:w="662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2,702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1,528</w:t>
            </w:r>
          </w:p>
        </w:tc>
        <w:tc>
          <w:tcPr>
            <w:tcW w:w="0" w:type="dxa"/>
            <w:vAlign w:val="bottom"/>
          </w:tcPr>
          <w:p>
            <w:pPr>
              <w:spacing w:after="0"/>
              <w:rPr>
                <w:sz w:val="1"/>
                <w:szCs w:val="1"/>
                <w:color w:val="auto"/>
              </w:rPr>
            </w:pPr>
          </w:p>
        </w:tc>
      </w:tr>
      <w:tr>
        <w:trPr>
          <w:trHeight w:val="528"/>
        </w:trPr>
        <w:tc>
          <w:tcPr>
            <w:tcW w:w="6620" w:type="dxa"/>
            <w:vAlign w:val="bottom"/>
          </w:tcPr>
          <w:p>
            <w:pPr>
              <w:spacing w:after="0"/>
              <w:rPr>
                <w:sz w:val="20"/>
                <w:szCs w:val="20"/>
                <w:color w:val="auto"/>
              </w:rPr>
            </w:pPr>
            <w:r>
              <w:rPr>
                <w:rFonts w:ascii="Arial" w:cs="Arial" w:eastAsia="Arial" w:hAnsi="Arial"/>
                <w:sz w:val="22"/>
                <w:szCs w:val="22"/>
                <w:color w:val="auto"/>
              </w:rPr>
              <w:t>Total current assets</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75,247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94,801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10,424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12,301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6,324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7,541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63,000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68,600</w:t>
            </w:r>
          </w:p>
        </w:tc>
        <w:tc>
          <w:tcPr>
            <w:tcW w:w="0" w:type="dxa"/>
            <w:vAlign w:val="bottom"/>
          </w:tcPr>
          <w:p>
            <w:pPr>
              <w:spacing w:after="0"/>
              <w:rPr>
                <w:sz w:val="1"/>
                <w:szCs w:val="1"/>
                <w:color w:val="auto"/>
              </w:rPr>
            </w:pPr>
          </w:p>
        </w:tc>
      </w:tr>
      <w:tr>
        <w:trPr>
          <w:trHeight w:val="276"/>
        </w:trPr>
        <w:tc>
          <w:tcPr>
            <w:tcW w:w="6620" w:type="dxa"/>
            <w:vAlign w:val="bottom"/>
          </w:tcPr>
          <w:p>
            <w:pPr>
              <w:spacing w:after="0"/>
              <w:rPr>
                <w:sz w:val="20"/>
                <w:szCs w:val="20"/>
                <w:color w:val="auto"/>
              </w:rPr>
            </w:pPr>
            <w:r>
              <w:rPr>
                <w:rFonts w:ascii="Arial" w:cs="Arial" w:eastAsia="Arial" w:hAnsi="Arial"/>
                <w:sz w:val="22"/>
                <w:szCs w:val="22"/>
                <w:color w:val="auto"/>
              </w:rPr>
              <w:t>Goodwill</w:t>
            </w: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535"/>
        </w:trPr>
        <w:tc>
          <w:tcPr>
            <w:tcW w:w="6620" w:type="dxa"/>
            <w:vAlign w:val="bottom"/>
          </w:tcPr>
          <w:p>
            <w:pPr>
              <w:spacing w:after="0"/>
              <w:rPr>
                <w:sz w:val="20"/>
                <w:szCs w:val="20"/>
                <w:color w:val="auto"/>
              </w:rPr>
            </w:pPr>
            <w:r>
              <w:rPr>
                <w:rFonts w:ascii="Arial" w:cs="Arial" w:eastAsia="Arial" w:hAnsi="Arial"/>
                <w:sz w:val="22"/>
                <w:szCs w:val="22"/>
                <w:color w:val="auto"/>
              </w:rPr>
              <w:t>Total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259,103</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287,351</w:t>
            </w:r>
          </w:p>
        </w:tc>
        <w:tc>
          <w:tcPr>
            <w:tcW w:w="0" w:type="dxa"/>
            <w:vAlign w:val="bottom"/>
          </w:tcPr>
          <w:p>
            <w:pPr>
              <w:spacing w:after="0"/>
              <w:rPr>
                <w:sz w:val="1"/>
                <w:szCs w:val="1"/>
                <w:color w:val="auto"/>
              </w:rPr>
            </w:pPr>
          </w:p>
        </w:tc>
      </w:tr>
      <w:tr>
        <w:trPr>
          <w:trHeight w:val="21"/>
        </w:trPr>
        <w:tc>
          <w:tcPr>
            <w:tcW w:w="662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Current liabilities:</w:t>
            </w: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6,642</w:t>
            </w:r>
          </w:p>
        </w:tc>
        <w:tc>
          <w:tcPr>
            <w:tcW w:w="1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w:t>
            </w:r>
          </w:p>
        </w:tc>
        <w:tc>
          <w:tcPr>
            <w:tcW w:w="2420" w:type="dxa"/>
            <w:vAlign w:val="bottom"/>
          </w:tcPr>
          <w:p>
            <w:pPr>
              <w:jc w:val="right"/>
              <w:spacing w:after="0"/>
              <w:rPr>
                <w:sz w:val="20"/>
                <w:szCs w:val="20"/>
                <w:color w:val="auto"/>
              </w:rPr>
            </w:pPr>
            <w:r>
              <w:rPr>
                <w:rFonts w:ascii="Arial" w:cs="Arial" w:eastAsia="Arial" w:hAnsi="Arial"/>
                <w:sz w:val="22"/>
                <w:szCs w:val="22"/>
                <w:color w:val="auto"/>
              </w:rPr>
              <w:t>4,211</w:t>
            </w:r>
          </w:p>
        </w:tc>
        <w:tc>
          <w:tcPr>
            <w:tcW w:w="0" w:type="dxa"/>
            <w:vAlign w:val="bottom"/>
          </w:tcPr>
          <w:p>
            <w:pPr>
              <w:spacing w:after="0"/>
              <w:rPr>
                <w:sz w:val="1"/>
                <w:szCs w:val="1"/>
                <w:color w:val="auto"/>
              </w:rPr>
            </w:pPr>
          </w:p>
        </w:tc>
      </w:tr>
      <w:tr>
        <w:trPr>
          <w:trHeight w:val="270"/>
        </w:trPr>
        <w:tc>
          <w:tcPr>
            <w:tcW w:w="6620" w:type="dxa"/>
            <w:vAlign w:val="bottom"/>
          </w:tcPr>
          <w:p>
            <w:pPr>
              <w:ind w:left="100"/>
              <w:spacing w:after="0"/>
              <w:rPr>
                <w:sz w:val="20"/>
                <w:szCs w:val="20"/>
                <w:color w:val="auto"/>
              </w:rPr>
            </w:pPr>
            <w:r>
              <w:rPr>
                <w:rFonts w:ascii="Arial" w:cs="Arial" w:eastAsia="Arial" w:hAnsi="Arial"/>
                <w:sz w:val="22"/>
                <w:szCs w:val="22"/>
                <w:color w:val="auto"/>
              </w:rPr>
              <w:t>Accrued compensation and related benefits</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11,880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10,535</w:t>
            </w:r>
          </w:p>
        </w:tc>
        <w:tc>
          <w:tcPr>
            <w:tcW w:w="0" w:type="dxa"/>
            <w:vAlign w:val="bottom"/>
          </w:tcPr>
          <w:p>
            <w:pPr>
              <w:spacing w:after="0"/>
              <w:rPr>
                <w:sz w:val="1"/>
                <w:szCs w:val="1"/>
                <w:color w:val="auto"/>
              </w:rPr>
            </w:pPr>
          </w:p>
        </w:tc>
      </w:tr>
      <w:tr>
        <w:trPr>
          <w:trHeight w:val="275"/>
        </w:trPr>
        <w:tc>
          <w:tcPr>
            <w:tcW w:w="6620" w:type="dxa"/>
            <w:vAlign w:val="bottom"/>
          </w:tcPr>
          <w:p>
            <w:pPr>
              <w:ind w:left="100"/>
              <w:spacing w:after="0"/>
              <w:rPr>
                <w:sz w:val="20"/>
                <w:szCs w:val="20"/>
                <w:color w:val="auto"/>
              </w:rPr>
            </w:pPr>
            <w:r>
              <w:rPr>
                <w:rFonts w:ascii="Arial" w:cs="Arial" w:eastAsia="Arial" w:hAnsi="Arial"/>
                <w:sz w:val="22"/>
                <w:szCs w:val="22"/>
                <w:color w:val="auto"/>
              </w:rPr>
              <w:t>Other accrued liabilities</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7,372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20" w:type="dxa"/>
            <w:vAlign w:val="bottom"/>
          </w:tcPr>
          <w:p>
            <w:pPr>
              <w:jc w:val="right"/>
              <w:spacing w:after="0"/>
              <w:rPr>
                <w:sz w:val="20"/>
                <w:szCs w:val="20"/>
                <w:color w:val="auto"/>
              </w:rPr>
            </w:pPr>
            <w:r>
              <w:rPr>
                <w:rFonts w:ascii="Arial" w:cs="Arial" w:eastAsia="Arial" w:hAnsi="Arial"/>
                <w:sz w:val="22"/>
                <w:szCs w:val="22"/>
                <w:color w:val="auto"/>
              </w:rPr>
              <w:t>8,490</w:t>
            </w:r>
          </w:p>
        </w:tc>
        <w:tc>
          <w:tcPr>
            <w:tcW w:w="0" w:type="dxa"/>
            <w:vAlign w:val="bottom"/>
          </w:tcPr>
          <w:p>
            <w:pPr>
              <w:spacing w:after="0"/>
              <w:rPr>
                <w:sz w:val="1"/>
                <w:szCs w:val="1"/>
                <w:color w:val="auto"/>
              </w:rPr>
            </w:pPr>
          </w:p>
        </w:tc>
      </w:tr>
    </w:tbl>
    <w:p>
      <w:pPr>
        <w:sectPr>
          <w:pgSz w:w="11900" w:h="16838" w:orient="portrait"/>
          <w:cols w:equalWidth="0" w:num="1">
            <w:col w:w="11300"/>
          </w:cols>
          <w:pgMar w:left="260" w:top="118" w:right="339" w:bottom="0" w:gutter="0" w:footer="0" w:header="0"/>
        </w:sectPr>
      </w:pPr>
    </w:p>
    <w:bookmarkStart w:id="8" w:name="page9"/>
    <w:bookmarkEnd w:id="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620" w:type="dxa"/>
            <w:vAlign w:val="bottom"/>
          </w:tcPr>
          <w:p>
            <w:pPr>
              <w:ind w:left="100"/>
              <w:spacing w:after="0"/>
              <w:rPr>
                <w:sz w:val="20"/>
                <w:szCs w:val="20"/>
                <w:color w:val="auto"/>
              </w:rPr>
            </w:pPr>
            <w:r>
              <w:rPr>
                <w:rFonts w:ascii="Arial" w:cs="Arial" w:eastAsia="Arial" w:hAnsi="Arial"/>
                <w:sz w:val="22"/>
                <w:szCs w:val="22"/>
                <w:color w:val="auto"/>
              </w:rPr>
              <w:t>Deferred revenue, current portion</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10,756</w:t>
            </w: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10,238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2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7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2"/>
                <w:szCs w:val="22"/>
                <w:color w:val="auto"/>
              </w:rPr>
              <w:t>36,650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33,474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20" w:type="dxa"/>
            <w:vAlign w:val="bottom"/>
          </w:tcPr>
          <w:p>
            <w:pPr>
              <w:spacing w:after="0"/>
              <w:rPr>
                <w:sz w:val="20"/>
                <w:szCs w:val="20"/>
                <w:color w:val="auto"/>
              </w:rPr>
            </w:pPr>
            <w:r>
              <w:rPr>
                <w:rFonts w:ascii="Arial" w:cs="Arial" w:eastAsia="Arial" w:hAnsi="Arial"/>
                <w:sz w:val="22"/>
                <w:szCs w:val="22"/>
                <w:color w:val="auto"/>
              </w:rPr>
              <w:t>Convertible notes, net</w:t>
            </w:r>
          </w:p>
        </w:tc>
        <w:tc>
          <w:tcPr>
            <w:tcW w:w="7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2"/>
                <w:szCs w:val="22"/>
                <w:color w:val="auto"/>
              </w:rPr>
              <w:t>166,758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195,238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74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2"/>
                <w:szCs w:val="22"/>
                <w:color w:val="auto"/>
              </w:rPr>
              <w:t>14,068</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16,919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62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6,794</w:t>
            </w: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10,785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20" w:type="dxa"/>
            <w:vAlign w:val="bottom"/>
          </w:tcPr>
          <w:p>
            <w:pPr>
              <w:spacing w:after="0"/>
              <w:rPr>
                <w:sz w:val="20"/>
                <w:szCs w:val="20"/>
                <w:color w:val="auto"/>
              </w:rPr>
            </w:pPr>
            <w:r>
              <w:rPr>
                <w:rFonts w:ascii="Arial" w:cs="Arial" w:eastAsia="Arial" w:hAnsi="Arial"/>
                <w:sz w:val="22"/>
                <w:szCs w:val="22"/>
                <w:color w:val="auto"/>
              </w:rPr>
              <w:t>Total liabilities</w:t>
            </w:r>
          </w:p>
        </w:tc>
        <w:tc>
          <w:tcPr>
            <w:tcW w:w="7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22"/>
                <w:szCs w:val="22"/>
                <w:color w:val="auto"/>
              </w:rPr>
              <w:t>224,270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256,416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662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34,833</w:t>
            </w: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30,935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662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74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22"/>
                <w:szCs w:val="22"/>
                <w:color w:val="auto"/>
              </w:rPr>
              <w:t>259,103</w:t>
            </w:r>
          </w:p>
        </w:tc>
        <w:tc>
          <w:tcPr>
            <w:tcW w:w="1160" w:type="dxa"/>
            <w:vAlign w:val="bottom"/>
            <w:gridSpan w:val="2"/>
          </w:tcPr>
          <w:p>
            <w:pPr>
              <w:jc w:val="right"/>
              <w:ind w:right="7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287,351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20" w:type="dxa"/>
            <w:vAlign w:val="bottom"/>
            <w:vMerge w:val="restart"/>
          </w:tcPr>
          <w:p>
            <w:pPr>
              <w:spacing w:after="0"/>
              <w:rPr>
                <w:sz w:val="20"/>
                <w:szCs w:val="20"/>
                <w:color w:val="auto"/>
              </w:rPr>
            </w:pPr>
            <w:r>
              <w:rPr>
                <w:rFonts w:ascii="Arial" w:cs="Arial" w:eastAsia="Arial" w:hAnsi="Arial"/>
                <w:sz w:val="22"/>
                <w:szCs w:val="22"/>
                <w:color w:val="auto"/>
              </w:rPr>
              <w:t>(1) Derived from audited consolidated financial statements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6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5"/>
        </w:trPr>
        <w:tc>
          <w:tcPr>
            <w:tcW w:w="7360" w:type="dxa"/>
            <w:vAlign w:val="bottom"/>
            <w:gridSpan w:val="2"/>
          </w:tcPr>
          <w:p>
            <w:pPr>
              <w:jc w:val="center"/>
              <w:ind w:left="3812"/>
              <w:spacing w:after="0"/>
              <w:rPr>
                <w:sz w:val="20"/>
                <w:szCs w:val="20"/>
                <w:color w:val="auto"/>
              </w:rPr>
            </w:pPr>
            <w:r>
              <w:rPr>
                <w:rFonts w:ascii="Arial" w:cs="Arial" w:eastAsia="Arial" w:hAnsi="Arial"/>
                <w:sz w:val="22"/>
                <w:szCs w:val="22"/>
                <w:b w:val="1"/>
                <w:bCs w:val="1"/>
                <w:color w:val="auto"/>
              </w:rPr>
              <w:t>FLUIDIGM CORPORATION</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680" w:type="dxa"/>
            <w:vAlign w:val="bottom"/>
            <w:gridSpan w:val="7"/>
          </w:tcPr>
          <w:p>
            <w:pPr>
              <w:jc w:val="center"/>
              <w:ind w:left="1492"/>
              <w:spacing w:after="0"/>
              <w:rPr>
                <w:sz w:val="20"/>
                <w:szCs w:val="20"/>
                <w:color w:val="auto"/>
              </w:rPr>
            </w:pPr>
            <w:r>
              <w:rPr>
                <w:rFonts w:ascii="Arial" w:cs="Arial" w:eastAsia="Arial" w:hAnsi="Arial"/>
                <w:sz w:val="22"/>
                <w:szCs w:val="22"/>
                <w:b w:val="1"/>
                <w:bCs w:val="1"/>
                <w:color w:val="auto"/>
                <w:w w:val="96"/>
              </w:rPr>
              <w:t>CONDENSED CONSOLIDATED STATEMENTS OF CASH FLOWS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20" w:type="dxa"/>
            <w:vAlign w:val="bottom"/>
          </w:tcPr>
          <w:p>
            <w:pPr>
              <w:jc w:val="center"/>
              <w:ind w:left="4552"/>
              <w:spacing w:after="0"/>
              <w:rPr>
                <w:sz w:val="20"/>
                <w:szCs w:val="20"/>
                <w:color w:val="auto"/>
              </w:rPr>
            </w:pPr>
            <w:r>
              <w:rPr>
                <w:rFonts w:ascii="Arial" w:cs="Arial" w:eastAsia="Arial" w:hAnsi="Arial"/>
                <w:sz w:val="22"/>
                <w:szCs w:val="22"/>
                <w:b w:val="1"/>
                <w:bCs w:val="1"/>
                <w:i w:val="1"/>
                <w:iCs w:val="1"/>
                <w:color w:val="auto"/>
                <w:w w:val="87"/>
              </w:rPr>
              <w:t>(In thousands)</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620" w:type="dxa"/>
            <w:vAlign w:val="bottom"/>
          </w:tcPr>
          <w:p>
            <w:pPr>
              <w:jc w:val="center"/>
              <w:ind w:left="4552"/>
              <w:spacing w:after="0"/>
              <w:rPr>
                <w:sz w:val="20"/>
                <w:szCs w:val="20"/>
                <w:color w:val="auto"/>
              </w:rPr>
            </w:pPr>
            <w:r>
              <w:rPr>
                <w:rFonts w:ascii="Arial" w:cs="Arial" w:eastAsia="Arial" w:hAnsi="Arial"/>
                <w:sz w:val="22"/>
                <w:szCs w:val="22"/>
                <w:b w:val="1"/>
                <w:bCs w:val="1"/>
                <w:color w:val="auto"/>
                <w:w w:val="91"/>
              </w:rPr>
              <w:t>(Unaudited)</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6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22"/>
                <w:szCs w:val="22"/>
                <w:b w:val="1"/>
                <w:bCs w:val="1"/>
                <w:color w:val="auto"/>
                <w:w w:val="88"/>
              </w:rPr>
              <w:t>Six Months Ended June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22"/>
                <w:szCs w:val="22"/>
                <w:b w:val="1"/>
                <w:bCs w:val="1"/>
                <w:color w:val="auto"/>
              </w:rPr>
              <w:t>2018</w:t>
            </w:r>
          </w:p>
        </w:tc>
        <w:tc>
          <w:tcPr>
            <w:tcW w:w="1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62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5"/>
        </w:trPr>
        <w:tc>
          <w:tcPr>
            <w:tcW w:w="6620" w:type="dxa"/>
            <w:vAlign w:val="bottom"/>
          </w:tcPr>
          <w:p>
            <w:pPr>
              <w:spacing w:after="0"/>
              <w:rPr>
                <w:sz w:val="20"/>
                <w:szCs w:val="20"/>
                <w:color w:val="auto"/>
              </w:rPr>
            </w:pPr>
            <w:r>
              <w:rPr>
                <w:rFonts w:ascii="Arial" w:cs="Arial" w:eastAsia="Arial" w:hAnsi="Arial"/>
                <w:sz w:val="22"/>
                <w:szCs w:val="22"/>
                <w:color w:val="auto"/>
              </w:rPr>
              <w:t>Net loss</w:t>
            </w:r>
          </w:p>
        </w:tc>
        <w:tc>
          <w:tcPr>
            <w:tcW w:w="74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(29,488)</w:t>
            </w:r>
          </w:p>
        </w:tc>
        <w:tc>
          <w:tcPr>
            <w:tcW w:w="140" w:type="dxa"/>
            <w:vAlign w:val="bottom"/>
          </w:tcPr>
          <w:p>
            <w:pPr>
              <w:spacing w:after="0"/>
              <w:rPr>
                <w:sz w:val="24"/>
                <w:szCs w:val="24"/>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tcPr>
          <w:p>
            <w:pPr>
              <w:jc w:val="right"/>
              <w:spacing w:after="0"/>
              <w:rPr>
                <w:sz w:val="20"/>
                <w:szCs w:val="20"/>
                <w:color w:val="auto"/>
              </w:rPr>
            </w:pPr>
            <w:r>
              <w:rPr>
                <w:rFonts w:ascii="Arial" w:cs="Arial" w:eastAsia="Arial" w:hAnsi="Arial"/>
                <w:sz w:val="22"/>
                <w:szCs w:val="22"/>
                <w:color w:val="auto"/>
              </w:rPr>
              <w:t>(34,134)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6,015</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4,088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3,754</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4,775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5,600</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5,600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Other non-cash items</w:t>
            </w: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(41)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62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(6,339)</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3,310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2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(20,499)</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(16,778)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662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(1,451)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(1,452)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5,541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23,375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662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(154)</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20" w:type="dxa"/>
            <w:vAlign w:val="bottom"/>
          </w:tcPr>
          <w:p>
            <w:pPr>
              <w:spacing w:after="0"/>
              <w:rPr>
                <w:sz w:val="20"/>
                <w:szCs w:val="20"/>
                <w:color w:val="auto"/>
              </w:rPr>
            </w:pPr>
            <w:r>
              <w:rPr>
                <w:rFonts w:ascii="Arial" w:cs="Arial" w:eastAsia="Arial" w:hAnsi="Arial"/>
                <w:sz w:val="22"/>
                <w:szCs w:val="22"/>
                <w:color w:val="auto"/>
              </w:rPr>
              <w:t>Net cash (used in) provided by investing activities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3,936</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21,089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662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tcPr>
          <w:p>
            <w:pPr>
              <w:spacing w:after="0"/>
              <w:rPr>
                <w:sz w:val="20"/>
                <w:szCs w:val="20"/>
                <w:color w:val="auto"/>
              </w:rPr>
            </w:pPr>
            <w:r>
              <w:rPr>
                <w:rFonts w:ascii="Arial" w:cs="Arial" w:eastAsia="Arial" w:hAnsi="Arial"/>
                <w:sz w:val="22"/>
                <w:szCs w:val="22"/>
                <w:color w:val="auto"/>
              </w:rPr>
              <w:t>Payment of debt issuance costs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(2,638)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tcPr>
          <w:p>
            <w:pPr>
              <w:spacing w:after="0"/>
              <w:rPr>
                <w:sz w:val="20"/>
                <w:szCs w:val="20"/>
                <w:color w:val="auto"/>
              </w:rPr>
            </w:pPr>
            <w:r>
              <w:rPr>
                <w:rFonts w:ascii="Arial" w:cs="Arial" w:eastAsia="Arial" w:hAnsi="Arial"/>
                <w:sz w:val="22"/>
                <w:szCs w:val="22"/>
                <w:color w:val="auto"/>
                <w:w w:val="93"/>
              </w:rPr>
              <w:t>Proceeds from issuance of common stock through stock plans, net of tax</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562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20" w:type="dxa"/>
            <w:vAlign w:val="bottom"/>
          </w:tcPr>
          <w:p>
            <w:pPr>
              <w:spacing w:after="0"/>
              <w:rPr>
                <w:sz w:val="20"/>
                <w:szCs w:val="20"/>
                <w:color w:val="auto"/>
              </w:rPr>
            </w:pPr>
            <w:r>
              <w:rPr>
                <w:rFonts w:ascii="Arial" w:cs="Arial" w:eastAsia="Arial" w:hAnsi="Arial"/>
                <w:sz w:val="22"/>
                <w:szCs w:val="22"/>
                <w:color w:val="auto"/>
              </w:rPr>
              <w:t>Proceeds from exercise of stock options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22"/>
                <w:szCs w:val="22"/>
                <w:color w:val="auto"/>
              </w:rPr>
              <w:t>24</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6620" w:type="dxa"/>
            <w:vAlign w:val="bottom"/>
          </w:tcPr>
          <w:p>
            <w:pPr>
              <w:spacing w:after="0"/>
              <w:rPr>
                <w:sz w:val="20"/>
                <w:szCs w:val="20"/>
                <w:color w:val="auto"/>
              </w:rPr>
            </w:pPr>
            <w:r>
              <w:rPr>
                <w:rFonts w:ascii="Arial" w:cs="Arial" w:eastAsia="Arial" w:hAnsi="Arial"/>
                <w:sz w:val="22"/>
                <w:szCs w:val="22"/>
                <w:color w:val="auto"/>
              </w:rPr>
              <w:t>Payments for taxes related to net share settlement of equity awards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22"/>
                <w:szCs w:val="22"/>
                <w:color w:val="auto"/>
              </w:rPr>
              <w:t>(100)</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20" w:type="dxa"/>
            <w:vAlign w:val="bottom"/>
          </w:tcPr>
          <w:p>
            <w:pPr>
              <w:spacing w:after="0"/>
              <w:rPr>
                <w:sz w:val="20"/>
                <w:szCs w:val="20"/>
                <w:color w:val="auto"/>
              </w:rPr>
            </w:pPr>
            <w:r>
              <w:rPr>
                <w:rFonts w:ascii="Arial" w:cs="Arial" w:eastAsia="Arial" w:hAnsi="Arial"/>
                <w:sz w:val="22"/>
                <w:szCs w:val="22"/>
                <w:color w:val="auto"/>
              </w:rPr>
              <w:t>Net cash (used in) provided by financing activities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22"/>
                <w:szCs w:val="22"/>
                <w:color w:val="auto"/>
              </w:rPr>
              <w:t>(2,152)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6620" w:type="dxa"/>
            <w:vAlign w:val="bottom"/>
          </w:tcPr>
          <w:p>
            <w:pPr>
              <w:spacing w:after="0"/>
              <w:rPr>
                <w:sz w:val="20"/>
                <w:szCs w:val="20"/>
                <w:color w:val="auto"/>
              </w:rPr>
            </w:pPr>
            <w:r>
              <w:rPr>
                <w:rFonts w:ascii="Arial" w:cs="Arial" w:eastAsia="Arial" w:hAnsi="Arial"/>
                <w:sz w:val="22"/>
                <w:szCs w:val="22"/>
                <w:color w:val="auto"/>
                <w:w w:val="92"/>
              </w:rPr>
              <w:t>Effect of foreign exchange rate fluctuations on cash and cash equivalents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22"/>
                <w:szCs w:val="22"/>
                <w:color w:val="auto"/>
              </w:rPr>
              <w:t>83</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287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3" w:orient="portrait"/>
          <w:cols w:equalWidth="0" w:num="1">
            <w:col w:w="11300"/>
          </w:cols>
          <w:pgMar w:left="260" w:top="118"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Net (decrease) increase in cash and cash equivalents</w:t>
            </w:r>
          </w:p>
        </w:tc>
        <w:tc>
          <w:tcPr>
            <w:tcW w:w="4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(18,632)</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4,552</w:t>
            </w:r>
          </w:p>
        </w:tc>
      </w:tr>
      <w:tr>
        <w:trPr>
          <w:trHeight w:val="542"/>
        </w:trPr>
        <w:tc>
          <w:tcPr>
            <w:tcW w:w="802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58,056</w:t>
            </w:r>
          </w:p>
        </w:tc>
        <w:tc>
          <w:tcPr>
            <w:tcW w:w="1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35,045</w:t>
            </w:r>
          </w:p>
        </w:tc>
      </w:tr>
      <w:tr>
        <w:trPr>
          <w:trHeight w:val="535"/>
        </w:trPr>
        <w:tc>
          <w:tcPr>
            <w:tcW w:w="802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39,424</w:t>
            </w:r>
          </w:p>
        </w:tc>
        <w:tc>
          <w:tcPr>
            <w:tcW w:w="140" w:type="dxa"/>
            <w:vAlign w:val="bottom"/>
          </w:tcPr>
          <w:p>
            <w:pPr>
              <w:spacing w:after="0"/>
              <w:rPr>
                <w:sz w:val="24"/>
                <w:szCs w:val="24"/>
                <w:color w:val="auto"/>
              </w:rPr>
            </w:pPr>
          </w:p>
        </w:tc>
        <w:tc>
          <w:tcPr>
            <w:tcW w:w="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39,597</w:t>
            </w: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6"/>
          </w:tcPr>
          <w:p>
            <w:pPr>
              <w:jc w:val="right"/>
              <w:ind w:right="12"/>
              <w:spacing w:after="0"/>
              <w:rPr>
                <w:sz w:val="20"/>
                <w:szCs w:val="20"/>
                <w:color w:val="auto"/>
              </w:rPr>
            </w:pPr>
            <w:r>
              <w:rPr>
                <w:rFonts w:ascii="Arial" w:cs="Arial" w:eastAsia="Arial" w:hAnsi="Arial"/>
                <w:sz w:val="22"/>
                <w:szCs w:val="22"/>
                <w:b w:val="1"/>
                <w:bCs w:val="1"/>
                <w:color w:val="auto"/>
                <w:w w:val="92"/>
              </w:rPr>
              <w:t>Six Months Ended June</w:t>
            </w:r>
          </w:p>
        </w:tc>
        <w:tc>
          <w:tcPr>
            <w:tcW w:w="0" w:type="dxa"/>
            <w:vAlign w:val="bottom"/>
          </w:tcPr>
          <w:p>
            <w:pPr>
              <w:spacing w:after="0"/>
              <w:rPr>
                <w:sz w:val="1"/>
                <w:szCs w:val="1"/>
                <w:color w:val="auto"/>
              </w:rPr>
            </w:pPr>
          </w:p>
        </w:tc>
      </w:tr>
      <w:tr>
        <w:trPr>
          <w:trHeight w:val="282"/>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 June 30,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1"/>
              </w:rPr>
              <w:t>30,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4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526"/>
        </w:trPr>
        <w:tc>
          <w:tcPr>
            <w:tcW w:w="5340" w:type="dxa"/>
            <w:vAlign w:val="bottom"/>
          </w:tcPr>
          <w:p>
            <w:pPr>
              <w:spacing w:after="0"/>
              <w:rPr>
                <w:sz w:val="20"/>
                <w:szCs w:val="20"/>
                <w:color w:val="auto"/>
              </w:rPr>
            </w:pPr>
            <w:r>
              <w:rPr>
                <w:rFonts w:ascii="Arial" w:cs="Arial" w:eastAsia="Arial" w:hAnsi="Arial"/>
                <w:sz w:val="22"/>
                <w:szCs w:val="22"/>
                <w:color w:val="auto"/>
              </w:rPr>
              <w:t>Net loss (GAAP)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(16,241)</w:t>
            </w:r>
          </w:p>
        </w:tc>
        <w:tc>
          <w:tcPr>
            <w:tcW w:w="10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(16,933)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w w:val="97"/>
              </w:rPr>
              <w:t>(29,488)</w:t>
            </w:r>
          </w:p>
        </w:tc>
        <w:tc>
          <w:tcPr>
            <w:tcW w:w="4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(34,134)</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2,007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2,329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3,754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4,775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5,600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5,600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Interest expense (b)</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3,916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1,456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5,805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2,911</w:t>
            </w:r>
          </w:p>
        </w:tc>
        <w:tc>
          <w:tcPr>
            <w:tcW w:w="0" w:type="dxa"/>
            <w:vAlign w:val="bottom"/>
          </w:tcPr>
          <w:p>
            <w:pPr>
              <w:spacing w:after="0"/>
              <w:rPr>
                <w:sz w:val="1"/>
                <w:szCs w:val="1"/>
                <w:color w:val="auto"/>
              </w:rPr>
            </w:pPr>
          </w:p>
        </w:tc>
      </w:tr>
      <w:tr>
        <w:trPr>
          <w:trHeight w:val="275"/>
        </w:trPr>
        <w:tc>
          <w:tcPr>
            <w:tcW w:w="53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1,409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2,048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2,842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3,919</w:t>
            </w:r>
          </w:p>
        </w:tc>
        <w:tc>
          <w:tcPr>
            <w:tcW w:w="0" w:type="dxa"/>
            <w:vAlign w:val="bottom"/>
          </w:tcPr>
          <w:p>
            <w:pPr>
              <w:spacing w:after="0"/>
              <w:rPr>
                <w:sz w:val="1"/>
                <w:szCs w:val="1"/>
                <w:color w:val="auto"/>
              </w:rPr>
            </w:pPr>
          </w:p>
        </w:tc>
      </w:tr>
      <w:tr>
        <w:trPr>
          <w:trHeight w:val="542"/>
        </w:trPr>
        <w:tc>
          <w:tcPr>
            <w:tcW w:w="534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(711)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(655)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(1,627)</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(1,658)</w:t>
            </w:r>
          </w:p>
        </w:tc>
        <w:tc>
          <w:tcPr>
            <w:tcW w:w="0" w:type="dxa"/>
            <w:vAlign w:val="bottom"/>
          </w:tcPr>
          <w:p>
            <w:pPr>
              <w:spacing w:after="0"/>
              <w:rPr>
                <w:sz w:val="1"/>
                <w:szCs w:val="1"/>
                <w:color w:val="auto"/>
              </w:rPr>
            </w:pPr>
          </w:p>
        </w:tc>
      </w:tr>
      <w:tr>
        <w:trPr>
          <w:trHeight w:val="535"/>
        </w:trPr>
        <w:tc>
          <w:tcPr>
            <w:tcW w:w="5340" w:type="dxa"/>
            <w:vAlign w:val="bottom"/>
          </w:tcPr>
          <w:p>
            <w:pPr>
              <w:spacing w:after="0"/>
              <w:rPr>
                <w:sz w:val="20"/>
                <w:szCs w:val="20"/>
                <w:color w:val="auto"/>
              </w:rPr>
            </w:pPr>
            <w:r>
              <w:rPr>
                <w:rFonts w:ascii="Arial" w:cs="Arial" w:eastAsia="Arial" w:hAnsi="Arial"/>
                <w:sz w:val="22"/>
                <w:szCs w:val="22"/>
                <w:color w:val="auto"/>
              </w:rPr>
              <w:t>Net loss (Non-GAAP)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(6,820)</w:t>
            </w:r>
          </w:p>
        </w:tc>
        <w:tc>
          <w:tcPr>
            <w:tcW w:w="10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(8,955)</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w w:val="97"/>
              </w:rPr>
              <w:t>(13,114)</w:t>
            </w:r>
          </w:p>
        </w:tc>
        <w:tc>
          <w:tcPr>
            <w:tcW w:w="4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(18,587)</w:t>
            </w: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3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vMerge w:val="restart"/>
          </w:tcPr>
          <w:p>
            <w:pPr>
              <w:jc w:val="right"/>
              <w:ind w:right="192"/>
              <w:spacing w:after="0"/>
              <w:rPr>
                <w:sz w:val="20"/>
                <w:szCs w:val="20"/>
                <w:color w:val="auto"/>
              </w:rPr>
            </w:pPr>
            <w:r>
              <w:rPr>
                <w:rFonts w:ascii="Arial" w:cs="Arial" w:eastAsia="Arial" w:hAnsi="Arial"/>
                <w:sz w:val="22"/>
                <w:szCs w:val="22"/>
                <w:color w:val="auto"/>
              </w:rPr>
              <w:t>39,003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vMerge w:val="restart"/>
          </w:tcPr>
          <w:p>
            <w:pPr>
              <w:jc w:val="right"/>
              <w:ind w:right="232"/>
              <w:spacing w:after="0"/>
              <w:rPr>
                <w:sz w:val="20"/>
                <w:szCs w:val="20"/>
                <w:color w:val="auto"/>
              </w:rPr>
            </w:pPr>
            <w:r>
              <w:rPr>
                <w:rFonts w:ascii="Arial" w:cs="Arial" w:eastAsia="Arial" w:hAnsi="Arial"/>
                <w:sz w:val="22"/>
                <w:szCs w:val="22"/>
                <w:color w:val="auto"/>
              </w:rPr>
              <w:t>29,344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rPr>
              <w:t>38,930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vMerge w:val="restart"/>
          </w:tcPr>
          <w:p>
            <w:pPr>
              <w:jc w:val="right"/>
              <w:ind w:right="132"/>
              <w:spacing w:after="0"/>
              <w:rPr>
                <w:sz w:val="20"/>
                <w:szCs w:val="20"/>
                <w:color w:val="auto"/>
              </w:rPr>
            </w:pPr>
            <w:r>
              <w:rPr>
                <w:rFonts w:ascii="Arial" w:cs="Arial" w:eastAsia="Arial" w:hAnsi="Arial"/>
                <w:sz w:val="22"/>
                <w:szCs w:val="22"/>
                <w:color w:val="auto"/>
              </w:rPr>
              <w:t>29,292</w:t>
            </w:r>
          </w:p>
        </w:tc>
        <w:tc>
          <w:tcPr>
            <w:tcW w:w="0" w:type="dxa"/>
            <w:vAlign w:val="bottom"/>
          </w:tcPr>
          <w:p>
            <w:pPr>
              <w:spacing w:after="0"/>
              <w:rPr>
                <w:sz w:val="1"/>
                <w:szCs w:val="1"/>
                <w:color w:val="auto"/>
              </w:rPr>
            </w:pPr>
          </w:p>
        </w:tc>
      </w:tr>
      <w:tr>
        <w:trPr>
          <w:trHeight w:val="544"/>
        </w:trPr>
        <w:tc>
          <w:tcPr>
            <w:tcW w:w="534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34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(0.42)</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(0.58)</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(0.76)</w:t>
            </w: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rPr>
              <w:t>(0.17)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22"/>
                <w:szCs w:val="22"/>
                <w:color w:val="auto"/>
              </w:rPr>
              <w:t>(0.31)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(0.34)</w:t>
            </w:r>
          </w:p>
        </w:tc>
        <w:tc>
          <w:tcPr>
            <w:tcW w:w="1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22"/>
                <w:szCs w:val="22"/>
                <w:color w:val="auto"/>
              </w:rPr>
              <w:t>(0.63)</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PRODUCT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6"/>
          </w:tcPr>
          <w:p>
            <w:pPr>
              <w:jc w:val="right"/>
              <w:ind w:right="12"/>
              <w:spacing w:after="0"/>
              <w:rPr>
                <w:sz w:val="20"/>
                <w:szCs w:val="20"/>
                <w:color w:val="auto"/>
              </w:rPr>
            </w:pPr>
            <w:r>
              <w:rPr>
                <w:rFonts w:ascii="Arial" w:cs="Arial" w:eastAsia="Arial" w:hAnsi="Arial"/>
                <w:sz w:val="22"/>
                <w:szCs w:val="22"/>
                <w:b w:val="1"/>
                <w:bCs w:val="1"/>
                <w:color w:val="auto"/>
                <w:w w:val="92"/>
              </w:rPr>
              <w:t>Six Months Ended June</w:t>
            </w:r>
          </w:p>
        </w:tc>
      </w:tr>
      <w:tr>
        <w:trPr>
          <w:trHeight w:val="282"/>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 June 30,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30,</w:t>
            </w:r>
          </w:p>
        </w:tc>
        <w:tc>
          <w:tcPr>
            <w:tcW w:w="980" w:type="dxa"/>
            <w:vAlign w:val="bottom"/>
          </w:tcPr>
          <w:p>
            <w:pPr>
              <w:spacing w:after="0"/>
              <w:rPr>
                <w:sz w:val="24"/>
                <w:szCs w:val="24"/>
                <w:color w:val="auto"/>
              </w:rPr>
            </w:pPr>
          </w:p>
        </w:tc>
      </w:tr>
      <w:tr>
        <w:trPr>
          <w:trHeight w:val="265"/>
        </w:trPr>
        <w:tc>
          <w:tcPr>
            <w:tcW w:w="534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2018</w:t>
            </w:r>
          </w:p>
        </w:tc>
        <w:tc>
          <w:tcPr>
            <w:tcW w:w="16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256"/>
        </w:trPr>
        <w:tc>
          <w:tcPr>
            <w:tcW w:w="5340" w:type="dxa"/>
            <w:vAlign w:val="bottom"/>
          </w:tcPr>
          <w:p>
            <w:pPr>
              <w:spacing w:after="0"/>
              <w:rPr>
                <w:sz w:val="20"/>
                <w:szCs w:val="20"/>
                <w:color w:val="auto"/>
              </w:rPr>
            </w:pPr>
            <w:r>
              <w:rPr>
                <w:rFonts w:ascii="Arial" w:cs="Arial" w:eastAsia="Arial" w:hAnsi="Arial"/>
                <w:sz w:val="22"/>
                <w:szCs w:val="22"/>
                <w:color w:val="auto"/>
              </w:rPr>
              <w:t>Product margin (GAAP)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10,617</w:t>
            </w:r>
          </w:p>
        </w:tc>
        <w:tc>
          <w:tcPr>
            <w:tcW w:w="10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8,706</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780" w:type="dxa"/>
            <w:vAlign w:val="bottom"/>
          </w:tcPr>
          <w:p>
            <w:pPr>
              <w:jc w:val="right"/>
              <w:spacing w:after="0"/>
              <w:rPr>
                <w:sz w:val="20"/>
                <w:szCs w:val="20"/>
                <w:color w:val="auto"/>
              </w:rPr>
            </w:pPr>
            <w:r>
              <w:rPr>
                <w:rFonts w:ascii="Arial" w:cs="Arial" w:eastAsia="Arial" w:hAnsi="Arial"/>
                <w:sz w:val="22"/>
                <w:szCs w:val="22"/>
                <w:color w:val="auto"/>
              </w:rPr>
              <w:t>20,872</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19,163</w:t>
            </w: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5,600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5,600</w:t>
            </w: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509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543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1,019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1,094</w:t>
            </w:r>
          </w:p>
        </w:tc>
      </w:tr>
      <w:tr>
        <w:trPr>
          <w:trHeight w:val="276"/>
        </w:trPr>
        <w:tc>
          <w:tcPr>
            <w:tcW w:w="534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221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229</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425</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569</w:t>
            </w:r>
          </w:p>
        </w:tc>
      </w:tr>
      <w:tr>
        <w:trPr>
          <w:trHeight w:val="265"/>
        </w:trPr>
        <w:tc>
          <w:tcPr>
            <w:tcW w:w="5340" w:type="dxa"/>
            <w:vAlign w:val="bottom"/>
          </w:tcPr>
          <w:p>
            <w:pPr>
              <w:spacing w:after="0"/>
              <w:rPr>
                <w:sz w:val="20"/>
                <w:szCs w:val="20"/>
                <w:color w:val="auto"/>
              </w:rPr>
            </w:pPr>
            <w:r>
              <w:rPr>
                <w:rFonts w:ascii="Arial" w:cs="Arial" w:eastAsia="Arial" w:hAnsi="Arial"/>
                <w:sz w:val="22"/>
                <w:szCs w:val="22"/>
                <w:color w:val="auto"/>
              </w:rPr>
              <w:t>Product margin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14,147</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12,278</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27,916</w:t>
            </w:r>
          </w:p>
        </w:tc>
        <w:tc>
          <w:tcPr>
            <w:tcW w:w="1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26,426</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Product margin percentage (GAAP)</w:t>
            </w:r>
          </w:p>
        </w:tc>
        <w:tc>
          <w:tcPr>
            <w:tcW w:w="2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48.8%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22"/>
                <w:szCs w:val="22"/>
                <w:color w:val="auto"/>
              </w:rPr>
              <w:t>44.6%</w:t>
            </w: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49.4%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47.0%</w:t>
            </w:r>
          </w:p>
        </w:tc>
      </w:tr>
      <w:tr>
        <w:trPr>
          <w:trHeight w:val="275"/>
        </w:trPr>
        <w:tc>
          <w:tcPr>
            <w:tcW w:w="5340" w:type="dxa"/>
            <w:vAlign w:val="bottom"/>
          </w:tcPr>
          <w:p>
            <w:pPr>
              <w:spacing w:after="0"/>
              <w:rPr>
                <w:sz w:val="20"/>
                <w:szCs w:val="20"/>
                <w:color w:val="auto"/>
              </w:rPr>
            </w:pPr>
            <w:r>
              <w:rPr>
                <w:rFonts w:ascii="Arial" w:cs="Arial" w:eastAsia="Arial" w:hAnsi="Arial"/>
                <w:sz w:val="22"/>
                <w:szCs w:val="22"/>
                <w:color w:val="auto"/>
              </w:rPr>
              <w:t>Product margin percentage (Non-GAAP)</w:t>
            </w:r>
          </w:p>
        </w:tc>
        <w:tc>
          <w:tcPr>
            <w:tcW w:w="240" w:type="dxa"/>
            <w:vAlign w:val="bottom"/>
          </w:tcPr>
          <w:p>
            <w:pPr>
              <w:spacing w:after="0"/>
              <w:rPr>
                <w:sz w:val="23"/>
                <w:szCs w:val="23"/>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65.0%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52"/>
              <w:spacing w:after="0"/>
              <w:rPr>
                <w:sz w:val="20"/>
                <w:szCs w:val="20"/>
                <w:color w:val="auto"/>
              </w:rPr>
            </w:pPr>
            <w:r>
              <w:rPr>
                <w:rFonts w:ascii="Arial" w:cs="Arial" w:eastAsia="Arial" w:hAnsi="Arial"/>
                <w:sz w:val="22"/>
                <w:szCs w:val="22"/>
                <w:color w:val="auto"/>
              </w:rPr>
              <w:t>63.0%</w:t>
            </w: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66.1%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64.8%</w:t>
            </w:r>
          </w:p>
        </w:tc>
      </w:tr>
      <w:tr>
        <w:trPr>
          <w:trHeight w:val="810"/>
        </w:trPr>
        <w:tc>
          <w:tcPr>
            <w:tcW w:w="10340" w:type="dxa"/>
            <w:vAlign w:val="bottom"/>
            <w:gridSpan w:val="10"/>
          </w:tcPr>
          <w:p>
            <w:pPr>
              <w:jc w:val="right"/>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tc>
        <w:tc>
          <w:tcPr>
            <w:tcW w:w="980" w:type="dxa"/>
            <w:vAlign w:val="bottom"/>
          </w:tcPr>
          <w:p>
            <w:pPr>
              <w:spacing w:after="0"/>
              <w:rPr>
                <w:sz w:val="24"/>
                <w:szCs w:val="24"/>
                <w:color w:val="auto"/>
              </w:rPr>
            </w:pPr>
          </w:p>
        </w:tc>
      </w:tr>
      <w:tr>
        <w:trPr>
          <w:trHeight w:val="503"/>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4"/>
          </w:tcPr>
          <w:p>
            <w:pPr>
              <w:jc w:val="right"/>
              <w:ind w:right="12"/>
              <w:spacing w:after="0"/>
              <w:rPr>
                <w:sz w:val="20"/>
                <w:szCs w:val="20"/>
                <w:color w:val="auto"/>
              </w:rPr>
            </w:pPr>
            <w:r>
              <w:rPr>
                <w:rFonts w:ascii="Arial" w:cs="Arial" w:eastAsia="Arial" w:hAnsi="Arial"/>
                <w:sz w:val="22"/>
                <w:szCs w:val="22"/>
                <w:b w:val="1"/>
                <w:bCs w:val="1"/>
                <w:color w:val="auto"/>
                <w:w w:val="92"/>
              </w:rPr>
              <w:t>Six Months Ended June</w:t>
            </w:r>
          </w:p>
        </w:tc>
      </w:tr>
      <w:tr>
        <w:trPr>
          <w:trHeight w:val="282"/>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 June 30,</w:t>
            </w:r>
          </w:p>
        </w:tc>
        <w:tc>
          <w:tcPr>
            <w:tcW w:w="146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rPr>
              <w:t>30,</w:t>
            </w:r>
          </w:p>
        </w:tc>
        <w:tc>
          <w:tcPr>
            <w:tcW w:w="980" w:type="dxa"/>
            <w:vAlign w:val="bottom"/>
          </w:tcPr>
          <w:p>
            <w:pPr>
              <w:spacing w:after="0"/>
              <w:rPr>
                <w:sz w:val="24"/>
                <w:szCs w:val="24"/>
                <w:color w:val="auto"/>
              </w:rPr>
            </w:pPr>
          </w:p>
        </w:tc>
      </w:tr>
      <w:tr>
        <w:trPr>
          <w:trHeight w:val="265"/>
        </w:trPr>
        <w:tc>
          <w:tcPr>
            <w:tcW w:w="534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11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2018</w:t>
            </w: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256"/>
        </w:trPr>
        <w:tc>
          <w:tcPr>
            <w:tcW w:w="534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26,373</w:t>
            </w:r>
          </w:p>
        </w:tc>
        <w:tc>
          <w:tcPr>
            <w:tcW w:w="10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28,436</w:t>
            </w:r>
          </w:p>
        </w:tc>
        <w:tc>
          <w:tcPr>
            <w:tcW w:w="80" w:type="dxa"/>
            <w:vAlign w:val="bottom"/>
          </w:tcPr>
          <w:p>
            <w:pPr>
              <w:spacing w:after="0"/>
              <w:rPr>
                <w:sz w:val="22"/>
                <w:szCs w:val="22"/>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  52,434</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59,537</w:t>
            </w:r>
          </w:p>
        </w:tc>
      </w:tr>
      <w:tr>
        <w:trPr>
          <w:trHeight w:val="270"/>
        </w:trPr>
        <w:tc>
          <w:tcPr>
            <w:tcW w:w="534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240" w:type="dxa"/>
            <w:vAlign w:val="bottom"/>
          </w:tcPr>
          <w:p>
            <w:pPr>
              <w:spacing w:after="0"/>
              <w:rPr>
                <w:sz w:val="23"/>
                <w:szCs w:val="23"/>
                <w:color w:val="auto"/>
              </w:rPr>
            </w:pP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(1,786)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(2,100)</w:t>
            </w:r>
          </w:p>
        </w:tc>
        <w:tc>
          <w:tcPr>
            <w:tcW w:w="8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22"/>
                <w:szCs w:val="22"/>
                <w:color w:val="auto"/>
              </w:rPr>
              <w:t>(3,329)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Arial" w:cs="Arial" w:eastAsia="Arial" w:hAnsi="Arial"/>
                <w:sz w:val="22"/>
                <w:szCs w:val="22"/>
                <w:color w:val="auto"/>
              </w:rPr>
              <w:t>(4,206)</w:t>
            </w:r>
          </w:p>
        </w:tc>
      </w:tr>
      <w:tr>
        <w:trPr>
          <w:trHeight w:val="276"/>
        </w:trPr>
        <w:tc>
          <w:tcPr>
            <w:tcW w:w="534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(900)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(1,505)</w:t>
            </w:r>
          </w:p>
        </w:tc>
        <w:tc>
          <w:tcPr>
            <w:tcW w:w="80" w:type="dxa"/>
            <w:vAlign w:val="bottom"/>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(1,823)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(2,825)</w:t>
            </w:r>
          </w:p>
        </w:tc>
      </w:tr>
    </w:tbl>
    <w:p>
      <w:pPr>
        <w:sectPr>
          <w:pgSz w:w="11900" w:h="16838" w:orient="portrait"/>
          <w:cols w:equalWidth="0" w:num="1">
            <w:col w:w="11320"/>
          </w:cols>
          <w:pgMar w:left="260" w:top="388" w:right="319" w:bottom="0" w:gutter="0" w:footer="0" w:header="0"/>
        </w:sectPr>
      </w:pPr>
    </w:p>
    <w:bookmarkStart w:id="10" w:name="page11"/>
    <w:bookmarkEnd w:id="10"/>
    <w:p>
      <w:pPr>
        <w:spacing w:after="0"/>
        <w:tabs>
          <w:tab w:leader="none" w:pos="5380" w:val="left"/>
          <w:tab w:leader="none" w:pos="6080" w:val="left"/>
          <w:tab w:leader="none" w:pos="7120" w:val="left"/>
          <w:tab w:leader="none" w:pos="7860" w:val="left"/>
          <w:tab w:leader="none" w:pos="8880" w:val="left"/>
          <w:tab w:leader="none" w:pos="9220" w:val="left"/>
          <w:tab w:leader="none" w:pos="10120" w:val="left"/>
          <w:tab w:leader="none" w:pos="10480" w:val="left"/>
        </w:tabs>
        <w:rPr>
          <w:sz w:val="20"/>
          <w:szCs w:val="20"/>
          <w:color w:val="auto"/>
        </w:rPr>
      </w:pPr>
      <w:r>
        <w:rPr>
          <w:rFonts w:ascii="Arial" w:cs="Arial" w:eastAsia="Arial" w:hAnsi="Arial"/>
          <w:sz w:val="22"/>
          <w:szCs w:val="22"/>
          <w:color w:val="auto"/>
        </w:rPr>
        <w:t>Operating expenses (Non-GAAP)</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23,687</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24,831</w:t>
      </w:r>
      <w:r>
        <w:rPr>
          <w:sz w:val="20"/>
          <w:szCs w:val="20"/>
          <w:color w:val="auto"/>
        </w:rPr>
        <w:tab/>
      </w:r>
      <w:r>
        <w:rPr>
          <w:rFonts w:ascii="Arial" w:cs="Arial" w:eastAsia="Arial" w:hAnsi="Arial"/>
          <w:sz w:val="22"/>
          <w:szCs w:val="22"/>
          <w:color w:val="auto"/>
        </w:rPr>
        <w:t>$</w:t>
        <w:tab/>
        <w:t>47,282</w:t>
        <w:tab/>
        <w:t>$</w:t>
      </w:r>
      <w:r>
        <w:rPr>
          <w:sz w:val="20"/>
          <w:szCs w:val="20"/>
          <w:color w:val="auto"/>
        </w:rPr>
        <w:tab/>
      </w:r>
      <w:r>
        <w:rPr>
          <w:rFonts w:ascii="Arial" w:cs="Arial" w:eastAsia="Arial" w:hAnsi="Arial"/>
          <w:sz w:val="18"/>
          <w:szCs w:val="18"/>
          <w:color w:val="auto"/>
        </w:rPr>
        <w:t>52,506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16510</wp:posOffset>
            </wp:positionV>
            <wp:extent cx="379031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903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ectPr>
          <w:pgSz w:w="11900" w:h="16838" w:orient="portrait"/>
          <w:cols w:equalWidth="0" w:num="1">
            <w:col w:w="11320"/>
          </w:cols>
          <w:pgMar w:left="260" w:top="1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Loss from operations (GAAP)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Stock-based compensation expense</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Amortization of developed technology (a)</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(e)</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Loss from operations (Non-GAAP)</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40" w:type="dxa"/>
            <w:vAlign w:val="bottom"/>
            <w:gridSpan w:val="6"/>
          </w:tcPr>
          <w:p>
            <w:pPr>
              <w:jc w:val="right"/>
              <w:ind w:right="12"/>
              <w:spacing w:after="0"/>
              <w:rPr>
                <w:sz w:val="20"/>
                <w:szCs w:val="20"/>
                <w:color w:val="auto"/>
              </w:rPr>
            </w:pPr>
            <w:r>
              <w:rPr>
                <w:rFonts w:ascii="Arial" w:cs="Arial" w:eastAsia="Arial" w:hAnsi="Arial"/>
                <w:sz w:val="22"/>
                <w:szCs w:val="22"/>
                <w:b w:val="1"/>
                <w:bCs w:val="1"/>
                <w:color w:val="auto"/>
                <w:w w:val="92"/>
              </w:rPr>
              <w:t>Six Months Ended June</w:t>
            </w:r>
          </w:p>
        </w:tc>
      </w:tr>
      <w:tr>
        <w:trPr>
          <w:trHeight w:val="282"/>
        </w:trPr>
        <w:tc>
          <w:tcPr>
            <w:tcW w:w="240" w:type="dxa"/>
            <w:vAlign w:val="bottom"/>
          </w:tcPr>
          <w:p>
            <w:pPr>
              <w:spacing w:after="0"/>
              <w:rPr>
                <w:sz w:val="24"/>
                <w:szCs w:val="24"/>
                <w:color w:val="auto"/>
              </w:rPr>
            </w:pPr>
          </w:p>
        </w:tc>
        <w:tc>
          <w:tcPr>
            <w:tcW w:w="330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 June 30,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1"/>
              </w:rPr>
              <w:t>30,</w:t>
            </w:r>
          </w:p>
        </w:tc>
        <w:tc>
          <w:tcPr>
            <w:tcW w:w="980" w:type="dxa"/>
            <w:vAlign w:val="bottom"/>
          </w:tcPr>
          <w:p>
            <w:pPr>
              <w:spacing w:after="0"/>
              <w:rPr>
                <w:sz w:val="24"/>
                <w:szCs w:val="24"/>
                <w:color w:val="auto"/>
              </w:rPr>
            </w:pPr>
          </w:p>
        </w:tc>
      </w:tr>
      <w:tr>
        <w:trPr>
          <w:trHeight w:val="265"/>
        </w:trPr>
        <w:tc>
          <w:tcPr>
            <w:tcW w:w="240" w:type="dxa"/>
            <w:vAlign w:val="bottom"/>
            <w:tcBorders>
              <w:top w:val="single" w:sz="8" w:color="auto"/>
              <w:bottom w:val="single" w:sz="8" w:color="auto"/>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c>
          <w:tcPr>
            <w:tcW w:w="100" w:type="dxa"/>
            <w:vAlign w:val="bottom"/>
            <w:tcBorders>
              <w:top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2018</w:t>
            </w:r>
          </w:p>
        </w:tc>
        <w:tc>
          <w:tcPr>
            <w:tcW w:w="1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22"/>
                <w:szCs w:val="22"/>
                <w:b w:val="1"/>
                <w:bCs w:val="1"/>
                <w:color w:val="auto"/>
              </w:rPr>
              <w:t>2017</w:t>
            </w:r>
          </w:p>
        </w:tc>
      </w:tr>
      <w:tr>
        <w:trPr>
          <w:trHeight w:val="256"/>
        </w:trPr>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(12,785)</w:t>
            </w:r>
          </w:p>
        </w:tc>
        <w:tc>
          <w:tcPr>
            <w:tcW w:w="100" w:type="dxa"/>
            <w:vAlign w:val="bottom"/>
          </w:tcPr>
          <w:p>
            <w:pPr>
              <w:spacing w:after="0"/>
              <w:rPr>
                <w:sz w:val="22"/>
                <w:szCs w:val="22"/>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(16,487)</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w w:val="97"/>
              </w:rPr>
              <w:t>(25,418)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(34,024)</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2,007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2,329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3,754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4,775</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5,600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5,600</w:t>
            </w:r>
          </w:p>
        </w:tc>
      </w:tr>
      <w:tr>
        <w:trPr>
          <w:trHeight w:val="270"/>
        </w:trPr>
        <w:tc>
          <w:tcPr>
            <w:tcW w:w="240" w:type="dxa"/>
            <w:vAlign w:val="bottom"/>
          </w:tcPr>
          <w:p>
            <w:pPr>
              <w:spacing w:after="0"/>
              <w:rPr>
                <w:sz w:val="23"/>
                <w:szCs w:val="23"/>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color w:val="auto"/>
              </w:rPr>
              <w:t>1,409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jc w:val="right"/>
              <w:ind w:right="232"/>
              <w:spacing w:after="0"/>
              <w:rPr>
                <w:sz w:val="20"/>
                <w:szCs w:val="20"/>
                <w:color w:val="auto"/>
              </w:rPr>
            </w:pPr>
            <w:r>
              <w:rPr>
                <w:rFonts w:ascii="Arial" w:cs="Arial" w:eastAsia="Arial" w:hAnsi="Arial"/>
                <w:sz w:val="22"/>
                <w:szCs w:val="22"/>
                <w:color w:val="auto"/>
              </w:rPr>
              <w:t>2,048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2,842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132"/>
              <w:spacing w:after="0"/>
              <w:rPr>
                <w:sz w:val="20"/>
                <w:szCs w:val="20"/>
                <w:color w:val="auto"/>
              </w:rPr>
            </w:pPr>
            <w:r>
              <w:rPr>
                <w:rFonts w:ascii="Arial" w:cs="Arial" w:eastAsia="Arial" w:hAnsi="Arial"/>
                <w:sz w:val="22"/>
                <w:szCs w:val="22"/>
                <w:color w:val="auto"/>
              </w:rPr>
              <w:t>3,919</w:t>
            </w:r>
          </w:p>
        </w:tc>
      </w:tr>
      <w:tr>
        <w:trPr>
          <w:trHeight w:val="276"/>
        </w:trPr>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112"/>
              <w:spacing w:after="0"/>
              <w:rPr>
                <w:sz w:val="20"/>
                <w:szCs w:val="20"/>
                <w:color w:val="auto"/>
              </w:rPr>
            </w:pPr>
            <w:r>
              <w:rPr>
                <w:rFonts w:ascii="Arial" w:cs="Arial" w:eastAsia="Arial" w:hAnsi="Arial"/>
                <w:sz w:val="22"/>
                <w:szCs w:val="22"/>
                <w:color w:val="auto"/>
              </w:rPr>
              <w:t>(6,569)</w:t>
            </w:r>
          </w:p>
        </w:tc>
        <w:tc>
          <w:tcPr>
            <w:tcW w:w="100" w:type="dxa"/>
            <w:vAlign w:val="bottom"/>
          </w:tcPr>
          <w:p>
            <w:pPr>
              <w:spacing w:after="0"/>
              <w:rPr>
                <w:sz w:val="24"/>
                <w:szCs w:val="24"/>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(9,310)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w w:val="97"/>
              </w:rPr>
              <w:t>(13,222)</w:t>
            </w:r>
          </w:p>
        </w:tc>
        <w:tc>
          <w:tcPr>
            <w:tcW w:w="42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52"/>
              <w:spacing w:after="0"/>
              <w:rPr>
                <w:sz w:val="20"/>
                <w:szCs w:val="20"/>
                <w:color w:val="auto"/>
              </w:rPr>
            </w:pPr>
            <w:r>
              <w:rPr>
                <w:rFonts w:ascii="Arial" w:cs="Arial" w:eastAsia="Arial" w:hAnsi="Arial"/>
                <w:sz w:val="22"/>
                <w:szCs w:val="22"/>
                <w:color w:val="auto"/>
                <w:w w:val="97"/>
              </w:rPr>
              <w:t>(19,730)</w:t>
            </w:r>
          </w:p>
        </w:tc>
      </w:tr>
      <w:tr>
        <w:trPr>
          <w:trHeight w:val="22"/>
        </w:trPr>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20" w:space="720"/>
            <w:col w:w="5980"/>
          </w:cols>
          <w:pgMar w:left="260" w:top="118" w:right="319" w:bottom="1440" w:gutter="0" w:footer="0" w:header="0"/>
          <w:type w:val="continuous"/>
        </w:sectPr>
      </w:pPr>
    </w:p>
    <w:p>
      <w:pPr>
        <w:spacing w:after="0" w:line="332" w:lineRule="exact"/>
        <w:rPr>
          <w:sz w:val="20"/>
          <w:szCs w:val="20"/>
          <w:color w:val="auto"/>
        </w:rPr>
      </w:pPr>
    </w:p>
    <w:p>
      <w:pPr>
        <w:ind w:left="300" w:hanging="298"/>
        <w:spacing w:after="0"/>
        <w:tabs>
          <w:tab w:leader="none" w:pos="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represents amortization of developed technology in connection with the DVS acquisition</w:t>
      </w:r>
    </w:p>
    <w:p>
      <w:pPr>
        <w:spacing w:after="0" w:line="33" w:lineRule="exact"/>
        <w:rPr>
          <w:rFonts w:ascii="Arial" w:cs="Arial" w:eastAsia="Arial" w:hAnsi="Arial"/>
          <w:sz w:val="21"/>
          <w:szCs w:val="21"/>
          <w:color w:val="auto"/>
        </w:rPr>
      </w:pP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spacing w:after="0" w:line="17" w:lineRule="exact"/>
        <w:rPr>
          <w:rFonts w:ascii="Arial" w:cs="Arial" w:eastAsia="Arial" w:hAnsi="Arial"/>
          <w:sz w:val="22"/>
          <w:szCs w:val="22"/>
          <w:color w:val="auto"/>
        </w:rPr>
      </w:pPr>
    </w:p>
    <w:p>
      <w:pPr>
        <w:ind w:right="3280" w:firstLine="2"/>
        <w:spacing w:after="0" w:line="243" w:lineRule="auto"/>
        <w:tabs>
          <w:tab w:leader="none" w:pos="294"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ind w:left="300" w:hanging="298"/>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right="2620" w:firstLine="2"/>
        <w:spacing w:after="0" w:line="246" w:lineRule="auto"/>
        <w:tabs>
          <w:tab w:leader="none" w:pos="294"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320"/>
      </w:cols>
      <w:pgMar w:left="260" w:top="118"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2019-12-28T20:53:50Z</dcterms:created>
  <dcterms:modified xsi:type="dcterms:W3CDTF">2019-12-28T20:53:50Z</dcterms:modified>
</cp:coreProperties>
</file>