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5315585</wp:posOffset>
            </wp:positionH>
            <wp:positionV relativeFrom="paragraph">
              <wp:posOffset>-610235</wp:posOffset>
            </wp:positionV>
            <wp:extent cx="8255" cy="6108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4011295</wp:posOffset>
            </wp:positionH>
            <wp:positionV relativeFrom="paragraph">
              <wp:posOffset>-618490</wp:posOffset>
            </wp:positionV>
            <wp:extent cx="8255" cy="6191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4036060</wp:posOffset>
            </wp:positionH>
            <wp:positionV relativeFrom="paragraph">
              <wp:posOffset>-593725</wp:posOffset>
            </wp:positionV>
            <wp:extent cx="1263015" cy="5695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015" cy="569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37465</wp:posOffset>
            </wp:positionV>
            <wp:extent cx="6967220" cy="18903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890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91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JOG VIKRAM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6" w:lineRule="exact"/>
        <w:rPr>
          <w:sz w:val="24"/>
          <w:szCs w:val="24"/>
          <w:color w:val="auto"/>
        </w:rPr>
      </w:pPr>
    </w:p>
    <w:p>
      <w:pPr>
        <w:ind w:left="120" w:right="680"/>
        <w:spacing w:after="0" w:line="38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FLUIDIGM CORPORATION 2 TOWER PLACE, STE 2000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FLUIDIGM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FLDM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11/20/2020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ind w:left="194"/>
        <w:spacing w:after="0"/>
        <w:tabs>
          <w:tab w:leader="none" w:pos="514" w:val="left"/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0000FF"/>
          <w:vertAlign w:val="subscript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9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5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16" w:right="359" w:bottom="91" w:gutter="0" w:footer="0" w:header="0"/>
          <w:type w:val="continuous"/>
        </w:sectPr>
      </w:pP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-2473325</wp:posOffset>
            </wp:positionH>
            <wp:positionV relativeFrom="paragraph">
              <wp:posOffset>268605</wp:posOffset>
            </wp:positionV>
            <wp:extent cx="6967220" cy="20885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2088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6" w:right="359" w:bottom="91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  <w:gridSpan w:val="5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jc w:val="center"/>
              <w:ind w:left="471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80" w:type="dxa"/>
            <w:vAlign w:val="bottom"/>
            <w:gridSpan w:val="5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80" w:type="dxa"/>
            <w:vAlign w:val="bottom"/>
            <w:gridSpan w:val="5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5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jc w:val="center"/>
              <w:ind w:left="4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11/20/2020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2,163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63,625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jc w:val="center"/>
              <w:ind w:left="4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11/20/2020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2,251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65,876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jc w:val="center"/>
              <w:ind w:left="4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11/20/2020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2,237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68,113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jc w:val="center"/>
              <w:ind w:left="4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11/20/2020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2,300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6.28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65,813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52,061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8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60" w:type="dxa"/>
            <w:vAlign w:val="bottom"/>
            <w:gridSpan w:val="9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2,163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11/20/2020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2,163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1,442</w:t>
            </w:r>
          </w:p>
        </w:tc>
        <w:tc>
          <w:tcPr>
            <w:tcW w:w="560" w:type="dxa"/>
            <w:vAlign w:val="bottom"/>
          </w:tcPr>
          <w:p>
            <w:pPr>
              <w:ind w:left="3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2,251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11/20/2020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2,251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13,506</w:t>
            </w:r>
          </w:p>
        </w:tc>
        <w:tc>
          <w:tcPr>
            <w:tcW w:w="560" w:type="dxa"/>
            <w:vAlign w:val="bottom"/>
          </w:tcPr>
          <w:p>
            <w:pPr>
              <w:ind w:left="3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2,237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11/20/2020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2,237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20,131</w:t>
            </w:r>
          </w:p>
        </w:tc>
        <w:tc>
          <w:tcPr>
            <w:tcW w:w="560" w:type="dxa"/>
            <w:vAlign w:val="bottom"/>
          </w:tcPr>
          <w:p>
            <w:pPr>
              <w:ind w:left="3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-2772410</wp:posOffset>
            </wp:positionV>
            <wp:extent cx="7033260" cy="28149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2814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held indirectly by the Vikram and Pratima Family Trust U/A dated June 23, 2009.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the contingent right to receive one share of FLDM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 w:firstLine="3"/>
        <w:spacing w:after="0" w:line="259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February 13, 2017, the Reporting Person was granted 34,600 Restricted Stock Units vesting as to 1/12th of the total number of shares on May 20, 2017, and as to 1/16th of the total number of shares each quarter thereafter.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40" w:firstLine="3"/>
        <w:spacing w:after="0" w:line="259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June 11, 2018, the Reporting Person was granted 36,016 Restricted Stock Units vesting as to 1/16th of the total number of shares on August 20, 2018, and 1/16th of the total number of shares each quarter thereafter.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3"/>
        <w:spacing w:after="0" w:line="259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February 19, 2019, the Reporting Person was granted 35,787 Restricted Stock Units vesting as to 1/4th of the total number of shares on February 20, 2020, and as to 1/16th of the total number of shares each quarter thereafter.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Vikram Jog by Nicholas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11/24/2020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80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Khadder, Attorney-in-Fact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91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222641" TargetMode="External"/><Relationship Id="rId14" Type="http://schemas.openxmlformats.org/officeDocument/2006/relationships/hyperlink" Target="http://www.sec.gov/cgi-bin/browse-edgar?action=getcompany&amp;CIK=0001162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2020-11-24T19:26:27Z</dcterms:created>
  <dcterms:modified xsi:type="dcterms:W3CDTF">2020-11-24T19:26:27Z</dcterms:modified>
</cp:coreProperties>
</file>