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ind w:left="6820"/>
        <w:spacing w:after="0"/>
        <w:rPr>
          <w:sz w:val="20"/>
          <w:szCs w:val="20"/>
          <w:color w:val="auto"/>
        </w:rPr>
      </w:pPr>
      <w:r>
        <w:rPr>
          <w:rFonts w:ascii="Arial" w:cs="Arial" w:eastAsia="Arial" w:hAnsi="Arial"/>
          <w:sz w:val="12"/>
          <w:szCs w:val="12"/>
          <w:b w:val="1"/>
          <w:bCs w:val="1"/>
          <w:color w:val="auto"/>
        </w:rPr>
        <w:t>As filed with the Securities and Exchange Commission on May 28, 2021</w:t>
      </w:r>
    </w:p>
    <w:p>
      <w:pPr>
        <w:spacing w:after="0" w:line="62" w:lineRule="exact"/>
        <w:rPr>
          <w:sz w:val="20"/>
          <w:szCs w:val="20"/>
          <w:color w:val="auto"/>
        </w:rPr>
      </w:pPr>
    </w:p>
    <w:p>
      <w:pPr>
        <w:ind w:left="938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64770</wp:posOffset>
            </wp:positionV>
            <wp:extent cx="71342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90170</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30" w:lineRule="exact"/>
        <w:rPr>
          <w:sz w:val="20"/>
          <w:szCs w:val="20"/>
          <w:color w:val="auto"/>
        </w:rPr>
      </w:pPr>
    </w:p>
    <w:tbl>
      <w:tblPr>
        <w:tblLayout w:type="fixed"/>
        <w:tblInd w:w="620" w:type="dxa"/>
        <w:tblCellMar>
          <w:top w:w="0" w:type="dxa"/>
          <w:left w:w="0" w:type="dxa"/>
          <w:bottom w:w="0" w:type="dxa"/>
          <w:right w:w="0" w:type="dxa"/>
        </w:tblCellMar>
      </w:tblPr>
      <w:tr>
        <w:trPr>
          <w:trHeight w:val="334"/>
        </w:trPr>
        <w:tc>
          <w:tcPr>
            <w:tcW w:w="17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080" w:type="dxa"/>
            <w:vAlign w:val="bottom"/>
            <w:gridSpan w:val="2"/>
          </w:tcPr>
          <w:p>
            <w:pPr>
              <w:jc w:val="center"/>
              <w:ind w:right="3358"/>
              <w:spacing w:after="0"/>
              <w:rPr>
                <w:sz w:val="20"/>
                <w:szCs w:val="20"/>
                <w:color w:val="auto"/>
              </w:rPr>
            </w:pPr>
            <w:r>
              <w:rPr>
                <w:rFonts w:ascii="Arial" w:cs="Arial" w:eastAsia="Arial" w:hAnsi="Arial"/>
                <w:sz w:val="28"/>
                <w:szCs w:val="28"/>
                <w:b w:val="1"/>
                <w:bCs w:val="1"/>
                <w:color w:val="auto"/>
                <w:w w:val="99"/>
              </w:rPr>
              <w:t>UNITED STATES</w:t>
            </w:r>
          </w:p>
        </w:tc>
      </w:tr>
      <w:tr>
        <w:trPr>
          <w:trHeight w:val="370"/>
        </w:trPr>
        <w:tc>
          <w:tcPr>
            <w:tcW w:w="1780" w:type="dxa"/>
            <w:vAlign w:val="bottom"/>
          </w:tcPr>
          <w:p>
            <w:pPr>
              <w:spacing w:after="0"/>
              <w:rPr>
                <w:sz w:val="24"/>
                <w:szCs w:val="24"/>
                <w:color w:val="auto"/>
              </w:rPr>
            </w:pPr>
          </w:p>
        </w:tc>
        <w:tc>
          <w:tcPr>
            <w:tcW w:w="7960" w:type="dxa"/>
            <w:vAlign w:val="bottom"/>
            <w:gridSpan w:val="3"/>
          </w:tcPr>
          <w:p>
            <w:pPr>
              <w:jc w:val="center"/>
              <w:ind w:right="1498"/>
              <w:spacing w:after="0"/>
              <w:rPr>
                <w:sz w:val="20"/>
                <w:szCs w:val="20"/>
                <w:color w:val="auto"/>
              </w:rPr>
            </w:pPr>
            <w:r>
              <w:rPr>
                <w:rFonts w:ascii="Arial" w:cs="Arial" w:eastAsia="Arial" w:hAnsi="Arial"/>
                <w:sz w:val="28"/>
                <w:szCs w:val="28"/>
                <w:b w:val="1"/>
                <w:bCs w:val="1"/>
                <w:color w:val="auto"/>
              </w:rPr>
              <w:t>SECURITIES AND EXCHANGE COMMISSION</w:t>
            </w:r>
          </w:p>
        </w:tc>
      </w:tr>
      <w:tr>
        <w:trPr>
          <w:trHeight w:val="262"/>
        </w:trPr>
        <w:tc>
          <w:tcPr>
            <w:tcW w:w="17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6080" w:type="dxa"/>
            <w:vAlign w:val="bottom"/>
            <w:gridSpan w:val="2"/>
          </w:tcPr>
          <w:p>
            <w:pPr>
              <w:jc w:val="center"/>
              <w:ind w:right="3378"/>
              <w:spacing w:after="0"/>
              <w:rPr>
                <w:sz w:val="20"/>
                <w:szCs w:val="20"/>
                <w:color w:val="auto"/>
              </w:rPr>
            </w:pPr>
            <w:r>
              <w:rPr>
                <w:rFonts w:ascii="Arial" w:cs="Arial" w:eastAsia="Arial" w:hAnsi="Arial"/>
                <w:sz w:val="18"/>
                <w:szCs w:val="18"/>
                <w:b w:val="1"/>
                <w:bCs w:val="1"/>
                <w:color w:val="auto"/>
                <w:w w:val="90"/>
              </w:rPr>
              <w:t>Washington, D.C. 20549</w:t>
            </w:r>
          </w:p>
        </w:tc>
      </w:tr>
      <w:tr>
        <w:trPr>
          <w:trHeight w:val="28"/>
        </w:trPr>
        <w:tc>
          <w:tcPr>
            <w:tcW w:w="17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3480" w:type="dxa"/>
            <w:vAlign w:val="bottom"/>
          </w:tcPr>
          <w:p>
            <w:pPr>
              <w:spacing w:after="0"/>
              <w:rPr>
                <w:sz w:val="2"/>
                <w:szCs w:val="2"/>
                <w:color w:val="auto"/>
              </w:rPr>
            </w:pPr>
          </w:p>
        </w:tc>
      </w:tr>
      <w:tr>
        <w:trPr>
          <w:trHeight w:val="798"/>
        </w:trPr>
        <w:tc>
          <w:tcPr>
            <w:tcW w:w="17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080" w:type="dxa"/>
            <w:vAlign w:val="bottom"/>
            <w:gridSpan w:val="2"/>
          </w:tcPr>
          <w:p>
            <w:pPr>
              <w:jc w:val="center"/>
              <w:ind w:right="3358"/>
              <w:spacing w:after="0"/>
              <w:rPr>
                <w:sz w:val="20"/>
                <w:szCs w:val="20"/>
                <w:color w:val="auto"/>
              </w:rPr>
            </w:pPr>
            <w:r>
              <w:rPr>
                <w:rFonts w:ascii="Arial" w:cs="Arial" w:eastAsia="Arial" w:hAnsi="Arial"/>
                <w:sz w:val="28"/>
                <w:szCs w:val="28"/>
                <w:b w:val="1"/>
                <w:bCs w:val="1"/>
                <w:color w:val="auto"/>
              </w:rPr>
              <w:t>FORM S-8</w:t>
            </w:r>
          </w:p>
        </w:tc>
      </w:tr>
      <w:tr>
        <w:trPr>
          <w:trHeight w:val="350"/>
        </w:trPr>
        <w:tc>
          <w:tcPr>
            <w:tcW w:w="1780" w:type="dxa"/>
            <w:vAlign w:val="bottom"/>
          </w:tcPr>
          <w:p>
            <w:pPr>
              <w:spacing w:after="0"/>
              <w:rPr>
                <w:sz w:val="24"/>
                <w:szCs w:val="24"/>
                <w:color w:val="auto"/>
              </w:rPr>
            </w:pPr>
          </w:p>
        </w:tc>
        <w:tc>
          <w:tcPr>
            <w:tcW w:w="7960" w:type="dxa"/>
            <w:vAlign w:val="bottom"/>
            <w:gridSpan w:val="3"/>
          </w:tcPr>
          <w:p>
            <w:pPr>
              <w:jc w:val="center"/>
              <w:ind w:right="1478"/>
              <w:spacing w:after="0"/>
              <w:rPr>
                <w:sz w:val="20"/>
                <w:szCs w:val="20"/>
                <w:color w:val="auto"/>
              </w:rPr>
            </w:pPr>
            <w:r>
              <w:rPr>
                <w:rFonts w:ascii="Arial" w:cs="Arial" w:eastAsia="Arial" w:hAnsi="Arial"/>
                <w:sz w:val="25"/>
                <w:szCs w:val="25"/>
                <w:b w:val="1"/>
                <w:bCs w:val="1"/>
                <w:color w:val="auto"/>
              </w:rPr>
              <w:t>REGISTRATION STATEMENT</w:t>
            </w:r>
          </w:p>
        </w:tc>
      </w:tr>
      <w:tr>
        <w:trPr>
          <w:trHeight w:val="245"/>
        </w:trPr>
        <w:tc>
          <w:tcPr>
            <w:tcW w:w="17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6080" w:type="dxa"/>
            <w:vAlign w:val="bottom"/>
            <w:gridSpan w:val="2"/>
          </w:tcPr>
          <w:p>
            <w:pPr>
              <w:jc w:val="center"/>
              <w:ind w:right="3358"/>
              <w:spacing w:after="0"/>
              <w:rPr>
                <w:sz w:val="20"/>
                <w:szCs w:val="20"/>
                <w:color w:val="auto"/>
              </w:rPr>
            </w:pPr>
            <w:r>
              <w:rPr>
                <w:rFonts w:ascii="Arial" w:cs="Arial" w:eastAsia="Arial" w:hAnsi="Arial"/>
                <w:sz w:val="18"/>
                <w:szCs w:val="18"/>
                <w:b w:val="1"/>
                <w:bCs w:val="1"/>
                <w:i w:val="1"/>
                <w:iCs w:val="1"/>
                <w:color w:val="auto"/>
                <w:w w:val="88"/>
              </w:rPr>
              <w:t>Under</w:t>
            </w:r>
          </w:p>
        </w:tc>
      </w:tr>
      <w:tr>
        <w:trPr>
          <w:trHeight w:val="226"/>
        </w:trPr>
        <w:tc>
          <w:tcPr>
            <w:tcW w:w="17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6080" w:type="dxa"/>
            <w:vAlign w:val="bottom"/>
            <w:gridSpan w:val="2"/>
          </w:tcPr>
          <w:p>
            <w:pPr>
              <w:jc w:val="center"/>
              <w:ind w:right="3358"/>
              <w:spacing w:after="0"/>
              <w:rPr>
                <w:sz w:val="20"/>
                <w:szCs w:val="20"/>
                <w:color w:val="auto"/>
              </w:rPr>
            </w:pPr>
            <w:r>
              <w:rPr>
                <w:rFonts w:ascii="Arial" w:cs="Arial" w:eastAsia="Arial" w:hAnsi="Arial"/>
                <w:sz w:val="18"/>
                <w:szCs w:val="18"/>
                <w:b w:val="1"/>
                <w:bCs w:val="1"/>
                <w:i w:val="1"/>
                <w:iCs w:val="1"/>
                <w:color w:val="auto"/>
                <w:w w:val="86"/>
              </w:rPr>
              <w:t>The Securities Act of 1933</w:t>
            </w:r>
          </w:p>
        </w:tc>
      </w:tr>
      <w:tr>
        <w:trPr>
          <w:trHeight w:val="28"/>
        </w:trPr>
        <w:tc>
          <w:tcPr>
            <w:tcW w:w="17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3480" w:type="dxa"/>
            <w:vAlign w:val="bottom"/>
          </w:tcPr>
          <w:p>
            <w:pPr>
              <w:spacing w:after="0"/>
              <w:rPr>
                <w:sz w:val="2"/>
                <w:szCs w:val="2"/>
                <w:color w:val="auto"/>
              </w:rPr>
            </w:pPr>
          </w:p>
        </w:tc>
      </w:tr>
      <w:tr>
        <w:trPr>
          <w:trHeight w:val="798"/>
        </w:trPr>
        <w:tc>
          <w:tcPr>
            <w:tcW w:w="1780" w:type="dxa"/>
            <w:vAlign w:val="bottom"/>
          </w:tcPr>
          <w:p>
            <w:pPr>
              <w:spacing w:after="0"/>
              <w:rPr>
                <w:sz w:val="24"/>
                <w:szCs w:val="24"/>
                <w:color w:val="auto"/>
              </w:rPr>
            </w:pPr>
          </w:p>
        </w:tc>
        <w:tc>
          <w:tcPr>
            <w:tcW w:w="7960" w:type="dxa"/>
            <w:vAlign w:val="bottom"/>
            <w:gridSpan w:val="3"/>
          </w:tcPr>
          <w:p>
            <w:pPr>
              <w:jc w:val="center"/>
              <w:ind w:right="1478"/>
              <w:spacing w:after="0"/>
              <w:rPr>
                <w:sz w:val="20"/>
                <w:szCs w:val="20"/>
                <w:color w:val="auto"/>
              </w:rPr>
            </w:pPr>
            <w:r>
              <w:rPr>
                <w:rFonts w:ascii="Arial" w:cs="Arial" w:eastAsia="Arial" w:hAnsi="Arial"/>
                <w:sz w:val="28"/>
                <w:szCs w:val="28"/>
                <w:b w:val="1"/>
                <w:bCs w:val="1"/>
                <w:color w:val="auto"/>
              </w:rPr>
              <w:t>FLUIDIGM CORPORATION</w:t>
            </w:r>
          </w:p>
        </w:tc>
      </w:tr>
      <w:tr>
        <w:trPr>
          <w:trHeight w:val="192"/>
        </w:trPr>
        <w:tc>
          <w:tcPr>
            <w:tcW w:w="1780" w:type="dxa"/>
            <w:vAlign w:val="bottom"/>
          </w:tcPr>
          <w:p>
            <w:pPr>
              <w:spacing w:after="0"/>
              <w:rPr>
                <w:sz w:val="16"/>
                <w:szCs w:val="16"/>
                <w:color w:val="auto"/>
              </w:rPr>
            </w:pPr>
          </w:p>
        </w:tc>
        <w:tc>
          <w:tcPr>
            <w:tcW w:w="7960" w:type="dxa"/>
            <w:vAlign w:val="bottom"/>
            <w:gridSpan w:val="3"/>
          </w:tcPr>
          <w:p>
            <w:pPr>
              <w:jc w:val="center"/>
              <w:ind w:right="1478"/>
              <w:spacing w:after="0"/>
              <w:rPr>
                <w:sz w:val="20"/>
                <w:szCs w:val="20"/>
                <w:color w:val="auto"/>
              </w:rPr>
            </w:pPr>
            <w:r>
              <w:rPr>
                <w:rFonts w:ascii="Arial" w:cs="Arial" w:eastAsia="Arial" w:hAnsi="Arial"/>
                <w:sz w:val="12"/>
                <w:szCs w:val="12"/>
                <w:b w:val="1"/>
                <w:bCs w:val="1"/>
                <w:color w:val="auto"/>
                <w:w w:val="92"/>
              </w:rPr>
              <w:t>(Exact name of Registrant as specified in its charter)</w:t>
            </w:r>
          </w:p>
        </w:tc>
      </w:tr>
      <w:tr>
        <w:trPr>
          <w:trHeight w:val="31"/>
        </w:trPr>
        <w:tc>
          <w:tcPr>
            <w:tcW w:w="17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3480" w:type="dxa"/>
            <w:vAlign w:val="bottom"/>
          </w:tcPr>
          <w:p>
            <w:pPr>
              <w:spacing w:after="0"/>
              <w:rPr>
                <w:sz w:val="2"/>
                <w:szCs w:val="2"/>
                <w:color w:val="auto"/>
              </w:rPr>
            </w:pPr>
          </w:p>
        </w:tc>
      </w:tr>
      <w:tr>
        <w:trPr>
          <w:trHeight w:val="672"/>
        </w:trPr>
        <w:tc>
          <w:tcPr>
            <w:tcW w:w="1780" w:type="dxa"/>
            <w:vAlign w:val="bottom"/>
          </w:tcPr>
          <w:p>
            <w:pPr>
              <w:jc w:val="center"/>
              <w:ind w:right="69"/>
              <w:spacing w:after="0"/>
              <w:rPr>
                <w:sz w:val="20"/>
                <w:szCs w:val="20"/>
                <w:color w:val="auto"/>
              </w:rPr>
            </w:pPr>
            <w:r>
              <w:rPr>
                <w:rFonts w:ascii="Arial" w:cs="Arial" w:eastAsia="Arial" w:hAnsi="Arial"/>
                <w:sz w:val="18"/>
                <w:szCs w:val="18"/>
                <w:b w:val="1"/>
                <w:bCs w:val="1"/>
                <w:color w:val="auto"/>
                <w:w w:val="91"/>
              </w:rPr>
              <w:t>Delaware</w:t>
            </w:r>
          </w:p>
        </w:tc>
        <w:tc>
          <w:tcPr>
            <w:tcW w:w="7960" w:type="dxa"/>
            <w:vAlign w:val="bottom"/>
            <w:gridSpan w:val="3"/>
          </w:tcPr>
          <w:p>
            <w:pPr>
              <w:jc w:val="center"/>
              <w:ind w:left="6643"/>
              <w:spacing w:after="0"/>
              <w:rPr>
                <w:sz w:val="20"/>
                <w:szCs w:val="20"/>
                <w:color w:val="auto"/>
              </w:rPr>
            </w:pPr>
            <w:r>
              <w:rPr>
                <w:rFonts w:ascii="Arial" w:cs="Arial" w:eastAsia="Arial" w:hAnsi="Arial"/>
                <w:sz w:val="18"/>
                <w:szCs w:val="18"/>
                <w:b w:val="1"/>
                <w:bCs w:val="1"/>
                <w:color w:val="auto"/>
                <w:w w:val="89"/>
              </w:rPr>
              <w:t>77-0513190</w:t>
            </w:r>
          </w:p>
        </w:tc>
      </w:tr>
      <w:tr>
        <w:trPr>
          <w:trHeight w:val="183"/>
        </w:trPr>
        <w:tc>
          <w:tcPr>
            <w:tcW w:w="1780" w:type="dxa"/>
            <w:vAlign w:val="bottom"/>
          </w:tcPr>
          <w:p>
            <w:pPr>
              <w:jc w:val="center"/>
              <w:ind w:right="69"/>
              <w:spacing w:after="0"/>
              <w:rPr>
                <w:sz w:val="20"/>
                <w:szCs w:val="20"/>
                <w:color w:val="auto"/>
              </w:rPr>
            </w:pPr>
            <w:r>
              <w:rPr>
                <w:rFonts w:ascii="Arial" w:cs="Arial" w:eastAsia="Arial" w:hAnsi="Arial"/>
                <w:sz w:val="12"/>
                <w:szCs w:val="12"/>
                <w:b w:val="1"/>
                <w:bCs w:val="1"/>
                <w:color w:val="auto"/>
                <w:w w:val="94"/>
              </w:rPr>
              <w:t>(State or other jurisdiction of</w:t>
            </w:r>
          </w:p>
        </w:tc>
        <w:tc>
          <w:tcPr>
            <w:tcW w:w="18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3480" w:type="dxa"/>
            <w:vAlign w:val="bottom"/>
          </w:tcPr>
          <w:p>
            <w:pPr>
              <w:jc w:val="center"/>
              <w:ind w:left="2178"/>
              <w:spacing w:after="0"/>
              <w:rPr>
                <w:sz w:val="20"/>
                <w:szCs w:val="20"/>
                <w:color w:val="auto"/>
              </w:rPr>
            </w:pPr>
            <w:r>
              <w:rPr>
                <w:rFonts w:ascii="Arial" w:cs="Arial" w:eastAsia="Arial" w:hAnsi="Arial"/>
                <w:sz w:val="12"/>
                <w:szCs w:val="12"/>
                <w:b w:val="1"/>
                <w:bCs w:val="1"/>
                <w:color w:val="auto"/>
                <w:w w:val="95"/>
              </w:rPr>
              <w:t>(I.R.S. Employer</w:t>
            </w:r>
          </w:p>
        </w:tc>
      </w:tr>
      <w:tr>
        <w:trPr>
          <w:trHeight w:val="161"/>
        </w:trPr>
        <w:tc>
          <w:tcPr>
            <w:tcW w:w="1780" w:type="dxa"/>
            <w:vAlign w:val="bottom"/>
          </w:tcPr>
          <w:p>
            <w:pPr>
              <w:jc w:val="center"/>
              <w:ind w:right="69"/>
              <w:spacing w:after="0"/>
              <w:rPr>
                <w:sz w:val="20"/>
                <w:szCs w:val="20"/>
                <w:color w:val="auto"/>
              </w:rPr>
            </w:pPr>
            <w:r>
              <w:rPr>
                <w:rFonts w:ascii="Arial" w:cs="Arial" w:eastAsia="Arial" w:hAnsi="Arial"/>
                <w:sz w:val="12"/>
                <w:szCs w:val="12"/>
                <w:b w:val="1"/>
                <w:bCs w:val="1"/>
                <w:color w:val="auto"/>
                <w:w w:val="95"/>
              </w:rPr>
              <w:t>incorporation or organization)</w:t>
            </w:r>
          </w:p>
        </w:tc>
        <w:tc>
          <w:tcPr>
            <w:tcW w:w="188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3480" w:type="dxa"/>
            <w:vAlign w:val="bottom"/>
          </w:tcPr>
          <w:p>
            <w:pPr>
              <w:jc w:val="center"/>
              <w:ind w:left="2178"/>
              <w:spacing w:after="0"/>
              <w:rPr>
                <w:sz w:val="20"/>
                <w:szCs w:val="20"/>
                <w:color w:val="auto"/>
              </w:rPr>
            </w:pPr>
            <w:r>
              <w:rPr>
                <w:rFonts w:ascii="Arial" w:cs="Arial" w:eastAsia="Arial" w:hAnsi="Arial"/>
                <w:sz w:val="12"/>
                <w:szCs w:val="12"/>
                <w:b w:val="1"/>
                <w:bCs w:val="1"/>
                <w:color w:val="auto"/>
                <w:w w:val="97"/>
              </w:rPr>
              <w:t>Identification Number)</w:t>
            </w:r>
          </w:p>
        </w:tc>
      </w:tr>
      <w:tr>
        <w:trPr>
          <w:trHeight w:val="31"/>
        </w:trPr>
        <w:tc>
          <w:tcPr>
            <w:tcW w:w="17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3480" w:type="dxa"/>
            <w:vAlign w:val="bottom"/>
          </w:tcPr>
          <w:p>
            <w:pPr>
              <w:spacing w:after="0"/>
              <w:rPr>
                <w:sz w:val="2"/>
                <w:szCs w:val="2"/>
                <w:color w:val="auto"/>
              </w:rPr>
            </w:pPr>
          </w:p>
        </w:tc>
      </w:tr>
      <w:tr>
        <w:trPr>
          <w:trHeight w:val="655"/>
        </w:trPr>
        <w:tc>
          <w:tcPr>
            <w:tcW w:w="17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080" w:type="dxa"/>
            <w:vAlign w:val="bottom"/>
            <w:gridSpan w:val="2"/>
          </w:tcPr>
          <w:p>
            <w:pPr>
              <w:jc w:val="center"/>
              <w:ind w:right="3358"/>
              <w:spacing w:after="0"/>
              <w:rPr>
                <w:sz w:val="20"/>
                <w:szCs w:val="20"/>
                <w:color w:val="auto"/>
              </w:rPr>
            </w:pPr>
            <w:r>
              <w:rPr>
                <w:rFonts w:ascii="Arial" w:cs="Arial" w:eastAsia="Arial" w:hAnsi="Arial"/>
                <w:sz w:val="18"/>
                <w:szCs w:val="18"/>
                <w:b w:val="1"/>
                <w:bCs w:val="1"/>
                <w:color w:val="auto"/>
                <w:w w:val="88"/>
              </w:rPr>
              <w:t>2 Tower Place, Suite 2000</w:t>
            </w:r>
          </w:p>
        </w:tc>
      </w:tr>
      <w:tr>
        <w:trPr>
          <w:trHeight w:val="213"/>
        </w:trPr>
        <w:tc>
          <w:tcPr>
            <w:tcW w:w="1780" w:type="dxa"/>
            <w:vAlign w:val="bottom"/>
          </w:tcPr>
          <w:p>
            <w:pPr>
              <w:spacing w:after="0"/>
              <w:rPr>
                <w:sz w:val="18"/>
                <w:szCs w:val="18"/>
                <w:color w:val="auto"/>
              </w:rPr>
            </w:pPr>
          </w:p>
        </w:tc>
        <w:tc>
          <w:tcPr>
            <w:tcW w:w="7960" w:type="dxa"/>
            <w:vAlign w:val="bottom"/>
            <w:gridSpan w:val="3"/>
          </w:tcPr>
          <w:p>
            <w:pPr>
              <w:jc w:val="center"/>
              <w:ind w:right="1498"/>
              <w:spacing w:after="0"/>
              <w:rPr>
                <w:sz w:val="20"/>
                <w:szCs w:val="20"/>
                <w:color w:val="auto"/>
              </w:rPr>
            </w:pPr>
            <w:r>
              <w:rPr>
                <w:rFonts w:ascii="Arial" w:cs="Arial" w:eastAsia="Arial" w:hAnsi="Arial"/>
                <w:sz w:val="18"/>
                <w:szCs w:val="18"/>
                <w:b w:val="1"/>
                <w:bCs w:val="1"/>
                <w:color w:val="auto"/>
                <w:w w:val="89"/>
              </w:rPr>
              <w:t>South San Francisco, California 94080</w:t>
            </w:r>
          </w:p>
        </w:tc>
      </w:tr>
      <w:tr>
        <w:trPr>
          <w:trHeight w:val="230"/>
        </w:trPr>
        <w:tc>
          <w:tcPr>
            <w:tcW w:w="1780" w:type="dxa"/>
            <w:vAlign w:val="bottom"/>
          </w:tcPr>
          <w:p>
            <w:pPr>
              <w:spacing w:after="0"/>
              <w:rPr>
                <w:sz w:val="20"/>
                <w:szCs w:val="20"/>
                <w:color w:val="auto"/>
              </w:rPr>
            </w:pPr>
          </w:p>
        </w:tc>
        <w:tc>
          <w:tcPr>
            <w:tcW w:w="4480" w:type="dxa"/>
            <w:vAlign w:val="bottom"/>
            <w:gridSpan w:val="2"/>
          </w:tcPr>
          <w:p>
            <w:pPr>
              <w:jc w:val="center"/>
              <w:ind w:left="1823"/>
              <w:spacing w:after="0"/>
              <w:rPr>
                <w:sz w:val="20"/>
                <w:szCs w:val="20"/>
                <w:color w:val="auto"/>
              </w:rPr>
            </w:pPr>
            <w:r>
              <w:rPr>
                <w:rFonts w:ascii="Arial" w:cs="Arial" w:eastAsia="Arial" w:hAnsi="Arial"/>
                <w:sz w:val="18"/>
                <w:szCs w:val="18"/>
                <w:b w:val="1"/>
                <w:bCs w:val="1"/>
                <w:color w:val="auto"/>
                <w:w w:val="90"/>
              </w:rPr>
              <w:t>(650) 266-6000</w:t>
            </w:r>
          </w:p>
        </w:tc>
        <w:tc>
          <w:tcPr>
            <w:tcW w:w="3480" w:type="dxa"/>
            <w:vAlign w:val="bottom"/>
          </w:tcPr>
          <w:p>
            <w:pPr>
              <w:spacing w:after="0"/>
              <w:rPr>
                <w:sz w:val="20"/>
                <w:szCs w:val="20"/>
                <w:color w:val="auto"/>
              </w:rPr>
            </w:pPr>
          </w:p>
        </w:tc>
      </w:tr>
      <w:tr>
        <w:trPr>
          <w:trHeight w:val="197"/>
        </w:trPr>
        <w:tc>
          <w:tcPr>
            <w:tcW w:w="1780" w:type="dxa"/>
            <w:vAlign w:val="bottom"/>
          </w:tcPr>
          <w:p>
            <w:pPr>
              <w:spacing w:after="0"/>
              <w:rPr>
                <w:sz w:val="17"/>
                <w:szCs w:val="17"/>
                <w:color w:val="auto"/>
              </w:rPr>
            </w:pPr>
          </w:p>
        </w:tc>
        <w:tc>
          <w:tcPr>
            <w:tcW w:w="7960" w:type="dxa"/>
            <w:vAlign w:val="bottom"/>
            <w:gridSpan w:val="3"/>
          </w:tcPr>
          <w:p>
            <w:pPr>
              <w:jc w:val="center"/>
              <w:ind w:right="1498"/>
              <w:spacing w:after="0"/>
              <w:rPr>
                <w:sz w:val="20"/>
                <w:szCs w:val="20"/>
                <w:color w:val="auto"/>
              </w:rPr>
            </w:pPr>
            <w:r>
              <w:rPr>
                <w:rFonts w:ascii="Arial" w:cs="Arial" w:eastAsia="Arial" w:hAnsi="Arial"/>
                <w:sz w:val="12"/>
                <w:szCs w:val="12"/>
                <w:b w:val="1"/>
                <w:bCs w:val="1"/>
                <w:color w:val="auto"/>
                <w:w w:val="91"/>
              </w:rPr>
              <w:t>(Address of principal executive offices, including zip code)</w:t>
            </w:r>
          </w:p>
        </w:tc>
      </w:tr>
      <w:tr>
        <w:trPr>
          <w:trHeight w:val="31"/>
        </w:trPr>
        <w:tc>
          <w:tcPr>
            <w:tcW w:w="17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3480" w:type="dxa"/>
            <w:vAlign w:val="bottom"/>
          </w:tcPr>
          <w:p>
            <w:pPr>
              <w:spacing w:after="0"/>
              <w:rPr>
                <w:sz w:val="2"/>
                <w:szCs w:val="2"/>
                <w:color w:val="auto"/>
              </w:rPr>
            </w:pPr>
          </w:p>
        </w:tc>
      </w:tr>
      <w:tr>
        <w:trPr>
          <w:trHeight w:val="762"/>
        </w:trPr>
        <w:tc>
          <w:tcPr>
            <w:tcW w:w="1780" w:type="dxa"/>
            <w:vAlign w:val="bottom"/>
          </w:tcPr>
          <w:p>
            <w:pPr>
              <w:spacing w:after="0"/>
              <w:rPr>
                <w:sz w:val="24"/>
                <w:szCs w:val="24"/>
                <w:color w:val="auto"/>
              </w:rPr>
            </w:pPr>
          </w:p>
        </w:tc>
        <w:tc>
          <w:tcPr>
            <w:tcW w:w="7960" w:type="dxa"/>
            <w:vAlign w:val="bottom"/>
            <w:gridSpan w:val="3"/>
          </w:tcPr>
          <w:p>
            <w:pPr>
              <w:jc w:val="center"/>
              <w:ind w:right="1478"/>
              <w:spacing w:after="0"/>
              <w:rPr>
                <w:sz w:val="20"/>
                <w:szCs w:val="20"/>
                <w:color w:val="auto"/>
              </w:rPr>
            </w:pPr>
            <w:r>
              <w:rPr>
                <w:rFonts w:ascii="Arial" w:cs="Arial" w:eastAsia="Arial" w:hAnsi="Arial"/>
                <w:sz w:val="28"/>
                <w:szCs w:val="28"/>
                <w:b w:val="1"/>
                <w:bCs w:val="1"/>
                <w:color w:val="auto"/>
                <w:w w:val="93"/>
              </w:rPr>
              <w:t>Fluidigm Corporation 2011 Equity Incentive Plan,</w:t>
            </w:r>
          </w:p>
        </w:tc>
      </w:tr>
      <w:tr>
        <w:trPr>
          <w:trHeight w:val="370"/>
        </w:trPr>
        <w:tc>
          <w:tcPr>
            <w:tcW w:w="17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080" w:type="dxa"/>
            <w:vAlign w:val="bottom"/>
            <w:gridSpan w:val="2"/>
          </w:tcPr>
          <w:p>
            <w:pPr>
              <w:jc w:val="center"/>
              <w:ind w:right="3378"/>
              <w:spacing w:after="0"/>
              <w:rPr>
                <w:sz w:val="20"/>
                <w:szCs w:val="20"/>
                <w:color w:val="auto"/>
              </w:rPr>
            </w:pPr>
            <w:r>
              <w:rPr>
                <w:rFonts w:ascii="Arial" w:cs="Arial" w:eastAsia="Arial" w:hAnsi="Arial"/>
                <w:sz w:val="28"/>
                <w:szCs w:val="28"/>
                <w:b w:val="1"/>
                <w:bCs w:val="1"/>
                <w:color w:val="auto"/>
                <w:w w:val="91"/>
              </w:rPr>
              <w:t>As Amended</w:t>
            </w:r>
          </w:p>
        </w:tc>
      </w:tr>
      <w:tr>
        <w:trPr>
          <w:trHeight w:val="192"/>
        </w:trPr>
        <w:tc>
          <w:tcPr>
            <w:tcW w:w="17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6080" w:type="dxa"/>
            <w:vAlign w:val="bottom"/>
            <w:gridSpan w:val="2"/>
          </w:tcPr>
          <w:p>
            <w:pPr>
              <w:jc w:val="center"/>
              <w:ind w:right="3358"/>
              <w:spacing w:after="0"/>
              <w:rPr>
                <w:sz w:val="20"/>
                <w:szCs w:val="20"/>
                <w:color w:val="auto"/>
              </w:rPr>
            </w:pPr>
            <w:r>
              <w:rPr>
                <w:rFonts w:ascii="Arial" w:cs="Arial" w:eastAsia="Arial" w:hAnsi="Arial"/>
                <w:sz w:val="12"/>
                <w:szCs w:val="12"/>
                <w:b w:val="1"/>
                <w:bCs w:val="1"/>
                <w:color w:val="auto"/>
                <w:w w:val="96"/>
              </w:rPr>
              <w:t>(Full title of the plan)</w:t>
            </w:r>
          </w:p>
        </w:tc>
      </w:tr>
      <w:tr>
        <w:trPr>
          <w:trHeight w:val="31"/>
        </w:trPr>
        <w:tc>
          <w:tcPr>
            <w:tcW w:w="17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3480" w:type="dxa"/>
            <w:vAlign w:val="bottom"/>
          </w:tcPr>
          <w:p>
            <w:pPr>
              <w:spacing w:after="0"/>
              <w:rPr>
                <w:sz w:val="2"/>
                <w:szCs w:val="2"/>
                <w:color w:val="auto"/>
              </w:rPr>
            </w:pPr>
          </w:p>
        </w:tc>
      </w:tr>
      <w:tr>
        <w:trPr>
          <w:trHeight w:val="655"/>
        </w:trPr>
        <w:tc>
          <w:tcPr>
            <w:tcW w:w="17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080" w:type="dxa"/>
            <w:vAlign w:val="bottom"/>
            <w:gridSpan w:val="2"/>
          </w:tcPr>
          <w:p>
            <w:pPr>
              <w:jc w:val="center"/>
              <w:ind w:right="3358"/>
              <w:spacing w:after="0"/>
              <w:rPr>
                <w:sz w:val="20"/>
                <w:szCs w:val="20"/>
                <w:color w:val="auto"/>
              </w:rPr>
            </w:pPr>
            <w:r>
              <w:rPr>
                <w:rFonts w:ascii="Arial" w:cs="Arial" w:eastAsia="Arial" w:hAnsi="Arial"/>
                <w:sz w:val="18"/>
                <w:szCs w:val="18"/>
                <w:b w:val="1"/>
                <w:bCs w:val="1"/>
                <w:color w:val="auto"/>
                <w:w w:val="90"/>
              </w:rPr>
              <w:t>Stephen Christopher Linthwaite</w:t>
            </w:r>
          </w:p>
        </w:tc>
      </w:tr>
      <w:tr>
        <w:trPr>
          <w:trHeight w:val="213"/>
        </w:trPr>
        <w:tc>
          <w:tcPr>
            <w:tcW w:w="1780" w:type="dxa"/>
            <w:vAlign w:val="bottom"/>
          </w:tcPr>
          <w:p>
            <w:pPr>
              <w:spacing w:after="0"/>
              <w:rPr>
                <w:sz w:val="18"/>
                <w:szCs w:val="18"/>
                <w:color w:val="auto"/>
              </w:rPr>
            </w:pPr>
          </w:p>
        </w:tc>
        <w:tc>
          <w:tcPr>
            <w:tcW w:w="7960" w:type="dxa"/>
            <w:vAlign w:val="bottom"/>
            <w:gridSpan w:val="3"/>
          </w:tcPr>
          <w:p>
            <w:pPr>
              <w:jc w:val="center"/>
              <w:ind w:right="1498"/>
              <w:spacing w:after="0"/>
              <w:rPr>
                <w:sz w:val="20"/>
                <w:szCs w:val="20"/>
                <w:color w:val="auto"/>
              </w:rPr>
            </w:pPr>
            <w:r>
              <w:rPr>
                <w:rFonts w:ascii="Arial" w:cs="Arial" w:eastAsia="Arial" w:hAnsi="Arial"/>
                <w:sz w:val="18"/>
                <w:szCs w:val="18"/>
                <w:b w:val="1"/>
                <w:bCs w:val="1"/>
                <w:color w:val="auto"/>
                <w:w w:val="89"/>
              </w:rPr>
              <w:t>President and Chief Executive Officer</w:t>
            </w:r>
          </w:p>
        </w:tc>
      </w:tr>
      <w:tr>
        <w:trPr>
          <w:trHeight w:val="213"/>
        </w:trPr>
        <w:tc>
          <w:tcPr>
            <w:tcW w:w="17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080" w:type="dxa"/>
            <w:vAlign w:val="bottom"/>
            <w:gridSpan w:val="2"/>
          </w:tcPr>
          <w:p>
            <w:pPr>
              <w:jc w:val="center"/>
              <w:ind w:right="3358"/>
              <w:spacing w:after="0"/>
              <w:rPr>
                <w:sz w:val="20"/>
                <w:szCs w:val="20"/>
                <w:color w:val="auto"/>
              </w:rPr>
            </w:pPr>
            <w:r>
              <w:rPr>
                <w:rFonts w:ascii="Arial" w:cs="Arial" w:eastAsia="Arial" w:hAnsi="Arial"/>
                <w:sz w:val="18"/>
                <w:szCs w:val="18"/>
                <w:b w:val="1"/>
                <w:bCs w:val="1"/>
                <w:color w:val="auto"/>
                <w:w w:val="88"/>
              </w:rPr>
              <w:t>2 Tower Place, Suite 2000</w:t>
            </w:r>
          </w:p>
        </w:tc>
      </w:tr>
      <w:tr>
        <w:trPr>
          <w:trHeight w:val="213"/>
        </w:trPr>
        <w:tc>
          <w:tcPr>
            <w:tcW w:w="1780" w:type="dxa"/>
            <w:vAlign w:val="bottom"/>
          </w:tcPr>
          <w:p>
            <w:pPr>
              <w:spacing w:after="0"/>
              <w:rPr>
                <w:sz w:val="18"/>
                <w:szCs w:val="18"/>
                <w:color w:val="auto"/>
              </w:rPr>
            </w:pPr>
          </w:p>
        </w:tc>
        <w:tc>
          <w:tcPr>
            <w:tcW w:w="7960" w:type="dxa"/>
            <w:vAlign w:val="bottom"/>
            <w:gridSpan w:val="3"/>
          </w:tcPr>
          <w:p>
            <w:pPr>
              <w:jc w:val="center"/>
              <w:ind w:right="1498"/>
              <w:spacing w:after="0"/>
              <w:rPr>
                <w:sz w:val="20"/>
                <w:szCs w:val="20"/>
                <w:color w:val="auto"/>
              </w:rPr>
            </w:pPr>
            <w:r>
              <w:rPr>
                <w:rFonts w:ascii="Arial" w:cs="Arial" w:eastAsia="Arial" w:hAnsi="Arial"/>
                <w:sz w:val="18"/>
                <w:szCs w:val="18"/>
                <w:b w:val="1"/>
                <w:bCs w:val="1"/>
                <w:color w:val="auto"/>
                <w:w w:val="89"/>
              </w:rPr>
              <w:t>South San Francisco, California 94080</w:t>
            </w:r>
          </w:p>
        </w:tc>
      </w:tr>
      <w:tr>
        <w:trPr>
          <w:trHeight w:val="230"/>
        </w:trPr>
        <w:tc>
          <w:tcPr>
            <w:tcW w:w="1780" w:type="dxa"/>
            <w:vAlign w:val="bottom"/>
          </w:tcPr>
          <w:p>
            <w:pPr>
              <w:spacing w:after="0"/>
              <w:rPr>
                <w:sz w:val="20"/>
                <w:szCs w:val="20"/>
                <w:color w:val="auto"/>
              </w:rPr>
            </w:pPr>
          </w:p>
        </w:tc>
        <w:tc>
          <w:tcPr>
            <w:tcW w:w="4480" w:type="dxa"/>
            <w:vAlign w:val="bottom"/>
            <w:gridSpan w:val="2"/>
          </w:tcPr>
          <w:p>
            <w:pPr>
              <w:jc w:val="center"/>
              <w:ind w:left="1823"/>
              <w:spacing w:after="0"/>
              <w:rPr>
                <w:sz w:val="20"/>
                <w:szCs w:val="20"/>
                <w:color w:val="auto"/>
              </w:rPr>
            </w:pPr>
            <w:r>
              <w:rPr>
                <w:rFonts w:ascii="Arial" w:cs="Arial" w:eastAsia="Arial" w:hAnsi="Arial"/>
                <w:sz w:val="18"/>
                <w:szCs w:val="18"/>
                <w:b w:val="1"/>
                <w:bCs w:val="1"/>
                <w:color w:val="auto"/>
                <w:w w:val="90"/>
              </w:rPr>
              <w:t>(650) 266-6000</w:t>
            </w:r>
          </w:p>
        </w:tc>
        <w:tc>
          <w:tcPr>
            <w:tcW w:w="3480" w:type="dxa"/>
            <w:vAlign w:val="bottom"/>
          </w:tcPr>
          <w:p>
            <w:pPr>
              <w:spacing w:after="0"/>
              <w:rPr>
                <w:sz w:val="20"/>
                <w:szCs w:val="20"/>
                <w:color w:val="auto"/>
              </w:rPr>
            </w:pPr>
          </w:p>
        </w:tc>
      </w:tr>
      <w:tr>
        <w:trPr>
          <w:trHeight w:val="197"/>
        </w:trPr>
        <w:tc>
          <w:tcPr>
            <w:tcW w:w="1780" w:type="dxa"/>
            <w:vAlign w:val="bottom"/>
          </w:tcPr>
          <w:p>
            <w:pPr>
              <w:spacing w:after="0"/>
              <w:rPr>
                <w:sz w:val="17"/>
                <w:szCs w:val="17"/>
                <w:color w:val="auto"/>
              </w:rPr>
            </w:pPr>
          </w:p>
        </w:tc>
        <w:tc>
          <w:tcPr>
            <w:tcW w:w="7960" w:type="dxa"/>
            <w:vAlign w:val="bottom"/>
            <w:gridSpan w:val="3"/>
          </w:tcPr>
          <w:p>
            <w:pPr>
              <w:jc w:val="center"/>
              <w:ind w:right="1498"/>
              <w:spacing w:after="0"/>
              <w:rPr>
                <w:sz w:val="20"/>
                <w:szCs w:val="20"/>
                <w:color w:val="auto"/>
              </w:rPr>
            </w:pPr>
            <w:r>
              <w:rPr>
                <w:rFonts w:ascii="Arial" w:cs="Arial" w:eastAsia="Arial" w:hAnsi="Arial"/>
                <w:sz w:val="12"/>
                <w:szCs w:val="12"/>
                <w:b w:val="1"/>
                <w:bCs w:val="1"/>
                <w:color w:val="auto"/>
                <w:w w:val="91"/>
              </w:rPr>
              <w:t>(Name, address and telephone number, including area code, of agent for service)</w:t>
            </w:r>
          </w:p>
        </w:tc>
      </w:tr>
      <w:tr>
        <w:trPr>
          <w:trHeight w:val="31"/>
        </w:trPr>
        <w:tc>
          <w:tcPr>
            <w:tcW w:w="17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3480" w:type="dxa"/>
            <w:vAlign w:val="bottom"/>
          </w:tcPr>
          <w:p>
            <w:pPr>
              <w:spacing w:after="0"/>
              <w:rPr>
                <w:sz w:val="2"/>
                <w:szCs w:val="2"/>
                <w:color w:val="auto"/>
              </w:rPr>
            </w:pPr>
          </w:p>
        </w:tc>
      </w:tr>
      <w:tr>
        <w:trPr>
          <w:trHeight w:val="672"/>
        </w:trPr>
        <w:tc>
          <w:tcPr>
            <w:tcW w:w="17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080" w:type="dxa"/>
            <w:vAlign w:val="bottom"/>
            <w:gridSpan w:val="2"/>
          </w:tcPr>
          <w:p>
            <w:pPr>
              <w:jc w:val="center"/>
              <w:ind w:right="3358"/>
              <w:spacing w:after="0"/>
              <w:rPr>
                <w:sz w:val="20"/>
                <w:szCs w:val="20"/>
                <w:color w:val="auto"/>
              </w:rPr>
            </w:pPr>
            <w:r>
              <w:rPr>
                <w:rFonts w:ascii="Arial" w:cs="Arial" w:eastAsia="Arial" w:hAnsi="Arial"/>
                <w:sz w:val="18"/>
                <w:szCs w:val="18"/>
                <w:i w:val="1"/>
                <w:iCs w:val="1"/>
                <w:color w:val="auto"/>
                <w:w w:val="91"/>
              </w:rPr>
              <w:t>Copies to:</w:t>
            </w:r>
          </w:p>
        </w:tc>
      </w:tr>
      <w:tr>
        <w:trPr>
          <w:trHeight w:val="250"/>
        </w:trPr>
        <w:tc>
          <w:tcPr>
            <w:tcW w:w="17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6080" w:type="dxa"/>
            <w:vAlign w:val="bottom"/>
            <w:gridSpan w:val="2"/>
          </w:tcPr>
          <w:p>
            <w:pPr>
              <w:jc w:val="center"/>
              <w:ind w:right="3358"/>
              <w:spacing w:after="0"/>
              <w:rPr>
                <w:sz w:val="20"/>
                <w:szCs w:val="20"/>
                <w:color w:val="auto"/>
              </w:rPr>
            </w:pPr>
            <w:r>
              <w:rPr>
                <w:rFonts w:ascii="Arial" w:cs="Arial" w:eastAsia="Arial" w:hAnsi="Arial"/>
                <w:sz w:val="18"/>
                <w:szCs w:val="18"/>
                <w:b w:val="1"/>
                <w:bCs w:val="1"/>
                <w:color w:val="auto"/>
                <w:w w:val="90"/>
              </w:rPr>
              <w:t>Nicholas Khadder</w:t>
            </w:r>
          </w:p>
        </w:tc>
      </w:tr>
      <w:tr>
        <w:trPr>
          <w:trHeight w:val="213"/>
        </w:trPr>
        <w:tc>
          <w:tcPr>
            <w:tcW w:w="17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080" w:type="dxa"/>
            <w:vAlign w:val="bottom"/>
            <w:gridSpan w:val="2"/>
          </w:tcPr>
          <w:p>
            <w:pPr>
              <w:jc w:val="center"/>
              <w:ind w:right="3378"/>
              <w:spacing w:after="0"/>
              <w:rPr>
                <w:sz w:val="20"/>
                <w:szCs w:val="20"/>
                <w:color w:val="auto"/>
              </w:rPr>
            </w:pPr>
            <w:r>
              <w:rPr>
                <w:rFonts w:ascii="Arial" w:cs="Arial" w:eastAsia="Arial" w:hAnsi="Arial"/>
                <w:sz w:val="18"/>
                <w:szCs w:val="18"/>
                <w:b w:val="1"/>
                <w:bCs w:val="1"/>
                <w:color w:val="auto"/>
                <w:w w:val="89"/>
              </w:rPr>
              <w:t>General Counsel</w:t>
            </w:r>
          </w:p>
        </w:tc>
      </w:tr>
      <w:tr>
        <w:trPr>
          <w:trHeight w:val="213"/>
        </w:trPr>
        <w:tc>
          <w:tcPr>
            <w:tcW w:w="17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080" w:type="dxa"/>
            <w:vAlign w:val="bottom"/>
            <w:gridSpan w:val="2"/>
          </w:tcPr>
          <w:p>
            <w:pPr>
              <w:jc w:val="center"/>
              <w:ind w:right="3358"/>
              <w:spacing w:after="0"/>
              <w:rPr>
                <w:sz w:val="20"/>
                <w:szCs w:val="20"/>
                <w:color w:val="auto"/>
              </w:rPr>
            </w:pPr>
            <w:r>
              <w:rPr>
                <w:rFonts w:ascii="Arial" w:cs="Arial" w:eastAsia="Arial" w:hAnsi="Arial"/>
                <w:sz w:val="18"/>
                <w:szCs w:val="18"/>
                <w:b w:val="1"/>
                <w:bCs w:val="1"/>
                <w:color w:val="auto"/>
                <w:w w:val="88"/>
              </w:rPr>
              <w:t>2 Tower Place, Suite 2000</w:t>
            </w:r>
          </w:p>
        </w:tc>
      </w:tr>
      <w:tr>
        <w:trPr>
          <w:trHeight w:val="213"/>
        </w:trPr>
        <w:tc>
          <w:tcPr>
            <w:tcW w:w="1780" w:type="dxa"/>
            <w:vAlign w:val="bottom"/>
          </w:tcPr>
          <w:p>
            <w:pPr>
              <w:spacing w:after="0"/>
              <w:rPr>
                <w:sz w:val="18"/>
                <w:szCs w:val="18"/>
                <w:color w:val="auto"/>
              </w:rPr>
            </w:pPr>
          </w:p>
        </w:tc>
        <w:tc>
          <w:tcPr>
            <w:tcW w:w="7960" w:type="dxa"/>
            <w:vAlign w:val="bottom"/>
            <w:gridSpan w:val="3"/>
          </w:tcPr>
          <w:p>
            <w:pPr>
              <w:jc w:val="center"/>
              <w:ind w:right="1498"/>
              <w:spacing w:after="0"/>
              <w:rPr>
                <w:sz w:val="20"/>
                <w:szCs w:val="20"/>
                <w:color w:val="auto"/>
              </w:rPr>
            </w:pPr>
            <w:r>
              <w:rPr>
                <w:rFonts w:ascii="Arial" w:cs="Arial" w:eastAsia="Arial" w:hAnsi="Arial"/>
                <w:sz w:val="18"/>
                <w:szCs w:val="18"/>
                <w:b w:val="1"/>
                <w:bCs w:val="1"/>
                <w:color w:val="auto"/>
                <w:w w:val="89"/>
              </w:rPr>
              <w:t>South San Francisco, California 94080</w:t>
            </w:r>
          </w:p>
        </w:tc>
      </w:tr>
      <w:tr>
        <w:trPr>
          <w:trHeight w:val="230"/>
        </w:trPr>
        <w:tc>
          <w:tcPr>
            <w:tcW w:w="17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6080" w:type="dxa"/>
            <w:vAlign w:val="bottom"/>
            <w:gridSpan w:val="2"/>
          </w:tcPr>
          <w:p>
            <w:pPr>
              <w:jc w:val="center"/>
              <w:ind w:right="3378"/>
              <w:spacing w:after="0"/>
              <w:rPr>
                <w:sz w:val="20"/>
                <w:szCs w:val="20"/>
                <w:color w:val="auto"/>
              </w:rPr>
            </w:pPr>
            <w:r>
              <w:rPr>
                <w:rFonts w:ascii="Arial" w:cs="Arial" w:eastAsia="Arial" w:hAnsi="Arial"/>
                <w:sz w:val="18"/>
                <w:szCs w:val="18"/>
                <w:b w:val="1"/>
                <w:bCs w:val="1"/>
                <w:color w:val="auto"/>
                <w:w w:val="89"/>
              </w:rPr>
              <w:t>Telephone: (650) 266-6000</w:t>
            </w:r>
          </w:p>
        </w:tc>
      </w:tr>
    </w:tbl>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Robert F. Kornegay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Zachary B. Myers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Wilson Sonsini Goodrich &amp; Rosati,</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Professional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650 Page Mill Road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Palo Alto, California 94304</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Telephone: (650) 493-9300</w:t>
      </w:r>
    </w:p>
    <w:p>
      <w:pPr>
        <w:spacing w:after="0" w:line="51" w:lineRule="exact"/>
        <w:rPr>
          <w:sz w:val="20"/>
          <w:szCs w:val="20"/>
          <w:color w:val="auto"/>
        </w:rPr>
      </w:pPr>
    </w:p>
    <w:p>
      <w:pPr>
        <w:ind w:right="240" w:firstLine="60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00"/>
          </w:cols>
          <w:pgMar w:left="340" w:top="170" w:right="359" w:bottom="724" w:gutter="0" w:footer="0" w:header="0"/>
        </w:sectPr>
      </w:pP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Large accelerated filer</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229" w:lineRule="exact"/>
        <w:rPr>
          <w:sz w:val="20"/>
          <w:szCs w:val="20"/>
          <w:color w:val="auto"/>
        </w:rPr>
      </w:pPr>
    </w:p>
    <w:p>
      <w:pPr>
        <w:sectPr>
          <w:pgSz w:w="11900" w:h="16838" w:orient="portrait"/>
          <w:cols w:equalWidth="0" w:num="3">
            <w:col w:w="1440" w:space="160"/>
            <w:col w:w="7620" w:space="720"/>
            <w:col w:w="1260"/>
          </w:cols>
          <w:pgMar w:left="340" w:top="170" w:right="359" w:bottom="724" w:gutter="0" w:footer="0" w:header="0"/>
          <w:type w:val="continuous"/>
        </w:sectPr>
      </w:pP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91" w:lineRule="exact"/>
        <w:rPr>
          <w:sz w:val="20"/>
          <w:szCs w:val="20"/>
          <w:color w:val="auto"/>
        </w:rPr>
      </w:pPr>
    </w:p>
    <w:p>
      <w:pPr>
        <w:sectPr>
          <w:pgSz w:w="11900" w:h="16838" w:orient="portrait"/>
          <w:cols w:equalWidth="0" w:num="3">
            <w:col w:w="1360" w:space="160"/>
            <w:col w:w="7020" w:space="720"/>
            <w:col w:w="1940"/>
          </w:cols>
          <w:pgMar w:left="340" w:top="170" w:right="359" w:bottom="724" w:gutter="0" w:footer="0" w:header="0"/>
          <w:type w:val="continuous"/>
        </w:sectPr>
      </w:pPr>
    </w:p>
    <w:p>
      <w:pPr>
        <w:ind w:left="926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ectPr>
          <w:pgSz w:w="11900" w:h="16838" w:orient="portrait"/>
          <w:cols w:equalWidth="0" w:num="1">
            <w:col w:w="11200"/>
          </w:cols>
          <w:pgMar w:left="340" w:top="170" w:right="359" w:bottom="724" w:gutter="0" w:footer="0" w:header="0"/>
          <w:type w:val="continuous"/>
        </w:sectPr>
      </w:pPr>
    </w:p>
    <w:p>
      <w:pPr>
        <w:spacing w:after="0" w:line="203" w:lineRule="exact"/>
        <w:rPr>
          <w:sz w:val="20"/>
          <w:szCs w:val="20"/>
          <w:color w:val="auto"/>
        </w:rPr>
      </w:pPr>
    </w:p>
    <w:p>
      <w:pPr>
        <w:ind w:right="20" w:firstLine="641"/>
        <w:spacing w:after="0" w:line="205"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2719705</wp:posOffset>
            </wp:positionH>
            <wp:positionV relativeFrom="paragraph">
              <wp:posOffset>356235</wp:posOffset>
            </wp:positionV>
            <wp:extent cx="16522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2270" cy="8255"/>
                    </a:xfrm>
                    <a:prstGeom prst="rect">
                      <a:avLst/>
                    </a:prstGeom>
                    <a:noFill/>
                  </pic:spPr>
                </pic:pic>
              </a:graphicData>
            </a:graphic>
          </wp:anchor>
        </w:drawing>
      </w:r>
    </w:p>
    <w:p>
      <w:pPr>
        <w:sectPr>
          <w:pgSz w:w="11900" w:h="16838" w:orient="portrait"/>
          <w:cols w:equalWidth="0" w:num="1">
            <w:col w:w="11200"/>
          </w:cols>
          <w:pgMar w:left="340" w:top="170" w:right="359" w:bottom="724"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CALCULATION OF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27305</wp:posOffset>
            </wp:positionV>
            <wp:extent cx="69138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13880" cy="8255"/>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520" w:type="dxa"/>
            <w:vAlign w:val="bottom"/>
            <w:tcBorders>
              <w:top w:val="single" w:sz="8" w:color="auto"/>
              <w:right w:val="single" w:sz="8" w:color="auto"/>
            </w:tcBorders>
          </w:tcPr>
          <w:p>
            <w:pPr>
              <w:spacing w:after="0"/>
              <w:rPr>
                <w:sz w:val="13"/>
                <w:szCs w:val="13"/>
                <w:color w:val="auto"/>
              </w:rPr>
            </w:pP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Amount to be</w:t>
            </w:r>
          </w:p>
        </w:tc>
        <w:tc>
          <w:tcPr>
            <w:tcW w:w="14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Proposed Maximum</w:t>
            </w:r>
          </w:p>
        </w:tc>
        <w:tc>
          <w:tcPr>
            <w:tcW w:w="100" w:type="dxa"/>
            <w:vAlign w:val="bottom"/>
            <w:tcBorders>
              <w:top w:val="single" w:sz="8" w:color="auto"/>
            </w:tcBorders>
          </w:tcPr>
          <w:p>
            <w:pPr>
              <w:spacing w:after="0"/>
              <w:rPr>
                <w:sz w:val="13"/>
                <w:szCs w:val="13"/>
                <w:color w:val="auto"/>
              </w:rPr>
            </w:pPr>
          </w:p>
        </w:tc>
        <w:tc>
          <w:tcPr>
            <w:tcW w:w="1500" w:type="dxa"/>
            <w:vAlign w:val="bottom"/>
            <w:tcBorders>
              <w:top w:val="single" w:sz="8" w:color="auto"/>
              <w:right w:val="single" w:sz="8" w:color="auto"/>
            </w:tcBorders>
          </w:tcPr>
          <w:p>
            <w:pPr>
              <w:jc w:val="right"/>
              <w:ind w:right="213"/>
              <w:spacing w:after="0"/>
              <w:rPr>
                <w:sz w:val="20"/>
                <w:szCs w:val="20"/>
                <w:color w:val="auto"/>
              </w:rPr>
            </w:pPr>
            <w:r>
              <w:rPr>
                <w:rFonts w:ascii="Arial" w:cs="Arial" w:eastAsia="Arial" w:hAnsi="Arial"/>
                <w:sz w:val="12"/>
                <w:szCs w:val="12"/>
                <w:b w:val="1"/>
                <w:bCs w:val="1"/>
                <w:color w:val="auto"/>
              </w:rPr>
              <w:t>Proposed Maximum</w:t>
            </w:r>
          </w:p>
        </w:tc>
        <w:tc>
          <w:tcPr>
            <w:tcW w:w="1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233"/>
              <w:spacing w:after="0"/>
              <w:rPr>
                <w:sz w:val="20"/>
                <w:szCs w:val="20"/>
                <w:color w:val="auto"/>
              </w:rPr>
            </w:pPr>
            <w:r>
              <w:rPr>
                <w:rFonts w:ascii="Arial" w:cs="Arial" w:eastAsia="Arial" w:hAnsi="Arial"/>
                <w:sz w:val="12"/>
                <w:szCs w:val="12"/>
                <w:b w:val="1"/>
                <w:bCs w:val="1"/>
                <w:color w:val="auto"/>
              </w:rPr>
              <w:t>Amount of</w:t>
            </w:r>
          </w:p>
        </w:tc>
        <w:tc>
          <w:tcPr>
            <w:tcW w:w="0" w:type="dxa"/>
            <w:vAlign w:val="bottom"/>
          </w:tcPr>
          <w:p>
            <w:pPr>
              <w:spacing w:after="0"/>
              <w:rPr>
                <w:sz w:val="1"/>
                <w:szCs w:val="1"/>
                <w:color w:val="auto"/>
              </w:rPr>
            </w:pPr>
          </w:p>
        </w:tc>
      </w:tr>
      <w:tr>
        <w:trPr>
          <w:trHeight w:val="178"/>
        </w:trPr>
        <w:tc>
          <w:tcPr>
            <w:tcW w:w="5520" w:type="dxa"/>
            <w:vAlign w:val="bottom"/>
            <w:tcBorders>
              <w:bottom w:val="single" w:sz="8" w:color="auto"/>
              <w:right w:val="single" w:sz="8" w:color="auto"/>
            </w:tcBorders>
          </w:tcPr>
          <w:p>
            <w:pPr>
              <w:ind w:left="1840"/>
              <w:spacing w:after="0"/>
              <w:rPr>
                <w:sz w:val="20"/>
                <w:szCs w:val="20"/>
                <w:color w:val="auto"/>
              </w:rPr>
            </w:pPr>
            <w:r>
              <w:rPr>
                <w:rFonts w:ascii="Arial" w:cs="Arial" w:eastAsia="Arial" w:hAnsi="Arial"/>
                <w:sz w:val="12"/>
                <w:szCs w:val="12"/>
                <w:b w:val="1"/>
                <w:bCs w:val="1"/>
                <w:color w:val="auto"/>
              </w:rPr>
              <w:t>Title of Securities to be Registered</w:t>
            </w:r>
          </w:p>
        </w:tc>
        <w:tc>
          <w:tcPr>
            <w:tcW w:w="1140" w:type="dxa"/>
            <w:vAlign w:val="bottom"/>
            <w:tcBorders>
              <w:bottom w:val="single" w:sz="8" w:color="auto"/>
              <w:right w:val="single" w:sz="8" w:color="auto"/>
            </w:tcBorders>
          </w:tcPr>
          <w:p>
            <w:pPr>
              <w:jc w:val="center"/>
              <w:spacing w:after="0" w:line="178" w:lineRule="exact"/>
              <w:rPr>
                <w:sz w:val="20"/>
                <w:szCs w:val="20"/>
                <w:color w:val="auto"/>
              </w:rPr>
            </w:pPr>
            <w:r>
              <w:rPr>
                <w:rFonts w:ascii="Arial" w:cs="Arial" w:eastAsia="Arial" w:hAnsi="Arial"/>
                <w:sz w:val="12"/>
                <w:szCs w:val="12"/>
                <w:b w:val="1"/>
                <w:bCs w:val="1"/>
                <w:color w:val="auto"/>
                <w:w w:val="87"/>
              </w:rPr>
              <w:t>Registered</w:t>
            </w:r>
            <w:r>
              <w:rPr>
                <w:rFonts w:ascii="Arial" w:cs="Arial" w:eastAsia="Arial" w:hAnsi="Arial"/>
                <w:sz w:val="16"/>
                <w:szCs w:val="16"/>
                <w:b w:val="1"/>
                <w:bCs w:val="1"/>
                <w:color w:val="auto"/>
                <w:w w:val="87"/>
                <w:vertAlign w:val="superscript"/>
              </w:rPr>
              <w:t>(1)</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Offering Price Per Share</w:t>
            </w:r>
          </w:p>
        </w:tc>
        <w:tc>
          <w:tcPr>
            <w:tcW w:w="100" w:type="dxa"/>
            <w:vAlign w:val="bottom"/>
            <w:tcBorders>
              <w:bottom w:val="single" w:sz="8" w:color="auto"/>
            </w:tcBorders>
          </w:tcPr>
          <w:p>
            <w:pPr>
              <w:spacing w:after="0"/>
              <w:rPr>
                <w:sz w:val="15"/>
                <w:szCs w:val="15"/>
                <w:color w:val="auto"/>
              </w:rPr>
            </w:pPr>
          </w:p>
        </w:tc>
        <w:tc>
          <w:tcPr>
            <w:tcW w:w="1500" w:type="dxa"/>
            <w:vAlign w:val="bottom"/>
            <w:tcBorders>
              <w:bottom w:val="single" w:sz="8" w:color="auto"/>
              <w:right w:val="single" w:sz="8" w:color="auto"/>
            </w:tcBorders>
          </w:tcPr>
          <w:p>
            <w:pPr>
              <w:jc w:val="right"/>
              <w:ind w:right="73"/>
              <w:spacing w:after="0"/>
              <w:rPr>
                <w:sz w:val="20"/>
                <w:szCs w:val="20"/>
                <w:color w:val="auto"/>
              </w:rPr>
            </w:pPr>
            <w:r>
              <w:rPr>
                <w:rFonts w:ascii="Arial" w:cs="Arial" w:eastAsia="Arial" w:hAnsi="Arial"/>
                <w:sz w:val="12"/>
                <w:szCs w:val="12"/>
                <w:b w:val="1"/>
                <w:bCs w:val="1"/>
                <w:color w:val="auto"/>
                <w:w w:val="94"/>
              </w:rPr>
              <w:t>Aggregate Offering Price</w:t>
            </w: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93"/>
              <w:spacing w:after="0"/>
              <w:rPr>
                <w:sz w:val="20"/>
                <w:szCs w:val="20"/>
                <w:color w:val="auto"/>
              </w:rPr>
            </w:pPr>
            <w:r>
              <w:rPr>
                <w:rFonts w:ascii="Arial" w:cs="Arial" w:eastAsia="Arial" w:hAnsi="Arial"/>
                <w:sz w:val="12"/>
                <w:szCs w:val="12"/>
                <w:b w:val="1"/>
                <w:bCs w:val="1"/>
                <w:color w:val="auto"/>
                <w:w w:val="93"/>
              </w:rPr>
              <w:t>Registration Fee</w:t>
            </w:r>
          </w:p>
        </w:tc>
        <w:tc>
          <w:tcPr>
            <w:tcW w:w="0" w:type="dxa"/>
            <w:vAlign w:val="bottom"/>
          </w:tcPr>
          <w:p>
            <w:pPr>
              <w:spacing w:after="0"/>
              <w:rPr>
                <w:sz w:val="1"/>
                <w:szCs w:val="1"/>
                <w:color w:val="auto"/>
              </w:rPr>
            </w:pPr>
          </w:p>
        </w:tc>
      </w:tr>
      <w:tr>
        <w:trPr>
          <w:trHeight w:val="161"/>
        </w:trPr>
        <w:tc>
          <w:tcPr>
            <w:tcW w:w="55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6"/>
              </w:rPr>
              <w:t>Common Stock, $0.001 par value per share, reserved for issuance pursuant to the Fluidigm</w:t>
            </w:r>
          </w:p>
        </w:tc>
        <w:tc>
          <w:tcPr>
            <w:tcW w:w="114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vMerge w:val="restart"/>
          </w:tcPr>
          <w:p>
            <w:pPr>
              <w:jc w:val="right"/>
              <w:ind w:right="395"/>
              <w:spacing w:after="0"/>
              <w:rPr>
                <w:sz w:val="20"/>
                <w:szCs w:val="20"/>
                <w:color w:val="auto"/>
              </w:rPr>
            </w:pPr>
            <w:r>
              <w:rPr>
                <w:rFonts w:ascii="Arial" w:cs="Arial" w:eastAsia="Arial" w:hAnsi="Arial"/>
                <w:sz w:val="14"/>
                <w:szCs w:val="14"/>
                <w:color w:val="auto"/>
              </w:rPr>
              <w:t>$5.68</w:t>
            </w:r>
            <w:r>
              <w:rPr>
                <w:rFonts w:ascii="Arial" w:cs="Arial" w:eastAsia="Arial" w:hAnsi="Arial"/>
                <w:sz w:val="18"/>
                <w:szCs w:val="18"/>
                <w:color w:val="auto"/>
                <w:vertAlign w:val="superscript"/>
              </w:rPr>
              <w:t>(2)</w:t>
            </w:r>
          </w:p>
        </w:tc>
        <w:tc>
          <w:tcPr>
            <w:tcW w:w="100" w:type="dxa"/>
            <w:vAlign w:val="bottom"/>
          </w:tcPr>
          <w:p>
            <w:pPr>
              <w:spacing w:after="0"/>
              <w:rPr>
                <w:sz w:val="14"/>
                <w:szCs w:val="14"/>
                <w:color w:val="auto"/>
              </w:rPr>
            </w:pPr>
          </w:p>
        </w:tc>
        <w:tc>
          <w:tcPr>
            <w:tcW w:w="150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55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Corporation 2011 Equity Incentive Plan, as amended</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4,075,000</w:t>
            </w:r>
          </w:p>
        </w:tc>
        <w:tc>
          <w:tcPr>
            <w:tcW w:w="1460" w:type="dxa"/>
            <w:vAlign w:val="bottom"/>
            <w:tcBorders>
              <w:bottom w:val="single" w:sz="8" w:color="auto"/>
              <w:right w:val="single" w:sz="8" w:color="auto"/>
            </w:tcBorders>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4"/>
                <w:szCs w:val="14"/>
                <w:color w:val="auto"/>
              </w:rPr>
              <w:t>23,146,000.00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2,525.23</w:t>
            </w:r>
          </w:p>
        </w:tc>
        <w:tc>
          <w:tcPr>
            <w:tcW w:w="0" w:type="dxa"/>
            <w:vAlign w:val="bottom"/>
          </w:tcPr>
          <w:p>
            <w:pPr>
              <w:spacing w:after="0"/>
              <w:rPr>
                <w:sz w:val="1"/>
                <w:szCs w:val="1"/>
                <w:color w:val="auto"/>
              </w:rPr>
            </w:pPr>
          </w:p>
        </w:tc>
      </w:tr>
      <w:tr>
        <w:trPr>
          <w:trHeight w:val="182"/>
        </w:trPr>
        <w:tc>
          <w:tcPr>
            <w:tcW w:w="552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TOTAL:</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4,075,000</w:t>
            </w:r>
          </w:p>
        </w:tc>
        <w:tc>
          <w:tcPr>
            <w:tcW w:w="1460" w:type="dxa"/>
            <w:vAlign w:val="bottom"/>
            <w:tcBorders>
              <w:right w:val="single" w:sz="8" w:color="auto"/>
            </w:tcBorders>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tcBorders>
              <w:right w:val="single" w:sz="8" w:color="auto"/>
            </w:tcBorders>
          </w:tcPr>
          <w:p>
            <w:pPr>
              <w:jc w:val="right"/>
              <w:ind w:right="13"/>
              <w:spacing w:after="0"/>
              <w:rPr>
                <w:sz w:val="20"/>
                <w:szCs w:val="20"/>
                <w:color w:val="auto"/>
              </w:rPr>
            </w:pPr>
            <w:r>
              <w:rPr>
                <w:rFonts w:ascii="Arial" w:cs="Arial" w:eastAsia="Arial" w:hAnsi="Arial"/>
                <w:sz w:val="14"/>
                <w:szCs w:val="14"/>
                <w:color w:val="auto"/>
              </w:rPr>
              <w:t>23,146,000.00</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2,525.23</w:t>
            </w:r>
          </w:p>
        </w:tc>
        <w:tc>
          <w:tcPr>
            <w:tcW w:w="0" w:type="dxa"/>
            <w:vAlign w:val="bottom"/>
          </w:tcPr>
          <w:p>
            <w:pPr>
              <w:spacing w:after="0"/>
              <w:rPr>
                <w:sz w:val="1"/>
                <w:szCs w:val="1"/>
                <w:color w:val="auto"/>
              </w:rPr>
            </w:pPr>
          </w:p>
        </w:tc>
      </w:tr>
      <w:tr>
        <w:trPr>
          <w:trHeight w:val="25"/>
        </w:trPr>
        <w:tc>
          <w:tcPr>
            <w:tcW w:w="55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6917690</wp:posOffset>
            </wp:positionH>
            <wp:positionV relativeFrom="paragraph">
              <wp:posOffset>-422910</wp:posOffset>
            </wp:positionV>
            <wp:extent cx="8255" cy="2540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55" cy="254000"/>
                    </a:xfrm>
                    <a:prstGeom prst="rect">
                      <a:avLst/>
                    </a:prstGeom>
                    <a:noFill/>
                  </pic:spPr>
                </pic:pic>
              </a:graphicData>
            </a:graphic>
          </wp:anchor>
        </w:drawing>
      </w:r>
    </w:p>
    <w:p>
      <w:pPr>
        <w:spacing w:after="0" w:line="15" w:lineRule="exact"/>
        <w:rPr>
          <w:sz w:val="20"/>
          <w:szCs w:val="20"/>
          <w:color w:val="auto"/>
        </w:rPr>
      </w:pPr>
    </w:p>
    <w:p>
      <w:pPr>
        <w:ind w:left="340" w:right="140" w:hanging="316"/>
        <w:spacing w:after="0" w:line="235"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Pursuant to Rule 416(a) of the Securities Act of 1933, as amended (the “Securities Act”), this Registration Statement shall also cover any additional shares of the Registrant’s common stock that become issuable under the Fluidigm Corporation 2011 Equity Incentive Plan, as amended, by reason of any stock dividend, stock split, recapitalization or other similar transaction effected without receipt of consideration that increases the number of the Registrant’s outstanding shares of common stock.</w:t>
      </w:r>
    </w:p>
    <w:p>
      <w:pPr>
        <w:spacing w:after="0" w:line="20" w:lineRule="exact"/>
        <w:rPr>
          <w:rFonts w:ascii="Arial" w:cs="Arial" w:eastAsia="Arial" w:hAnsi="Arial"/>
          <w:sz w:val="14"/>
          <w:szCs w:val="14"/>
          <w:color w:val="auto"/>
        </w:rPr>
      </w:pPr>
    </w:p>
    <w:p>
      <w:pPr>
        <w:ind w:left="340" w:right="220" w:hanging="316"/>
        <w:spacing w:after="0" w:line="268"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in accordance with Rule 457(c) and (h) of the Securities Act solely for the purpose of calculating the total registration fee on the basis of $5.68, the average of the high and low prices of the Registrant’s common stock as reported on Nasdaq on May 24,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6913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1388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29210</wp:posOffset>
            </wp:positionV>
            <wp:extent cx="6913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13880" cy="8255"/>
                    </a:xfrm>
                    <a:prstGeom prst="rect">
                      <a:avLst/>
                    </a:prstGeom>
                    <a:noFill/>
                  </pic:spPr>
                </pic:pic>
              </a:graphicData>
            </a:graphic>
          </wp:anchor>
        </w:drawing>
      </w:r>
    </w:p>
    <w:p>
      <w:pPr>
        <w:sectPr>
          <w:pgSz w:w="11900" w:h="16838" w:orient="portrait"/>
          <w:cols w:equalWidth="0" w:num="1">
            <w:col w:w="10900"/>
          </w:cols>
          <w:pgMar w:left="320" w:top="913" w:right="679" w:bottom="1440" w:gutter="0" w:footer="0" w:header="0"/>
        </w:sectPr>
      </w:pPr>
    </w:p>
    <w:bookmarkStart w:id="3" w:name="page4"/>
    <w:bookmarkEnd w:id="3"/>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FLUIDIGM CORPORATION</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4" w:lineRule="exact"/>
        <w:rPr>
          <w:sz w:val="20"/>
          <w:szCs w:val="20"/>
          <w:color w:val="auto"/>
        </w:rPr>
      </w:pPr>
    </w:p>
    <w:p>
      <w:pPr>
        <w:ind w:right="280" w:firstLine="640"/>
        <w:spacing w:after="0" w:line="258" w:lineRule="auto"/>
        <w:rPr>
          <w:sz w:val="20"/>
          <w:szCs w:val="20"/>
          <w:color w:val="auto"/>
        </w:rPr>
      </w:pPr>
      <w:r>
        <w:rPr>
          <w:rFonts w:ascii="Arial" w:cs="Arial" w:eastAsia="Arial" w:hAnsi="Arial"/>
          <w:sz w:val="18"/>
          <w:szCs w:val="18"/>
          <w:color w:val="auto"/>
        </w:rPr>
        <w:t>This Registration Statement on Form S-8 (the “Registration Statement”) is filed by Fluidigm Corporation (the “Registrant”) for the purpose of registering an additional 4,075,000 shares of common stock of the Registrant that were reserved for issuance under the Fluidigm Corporation 2011 Equity Incentive Plan, as amended.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4" w:lineRule="exact"/>
        <w:rPr>
          <w:sz w:val="20"/>
          <w:szCs w:val="20"/>
          <w:color w:val="auto"/>
        </w:rPr>
      </w:pPr>
    </w:p>
    <w:p>
      <w:pPr>
        <w:ind w:right="140" w:firstLine="640"/>
        <w:spacing w:after="0" w:line="255" w:lineRule="auto"/>
        <w:rPr>
          <w:sz w:val="20"/>
          <w:szCs w:val="20"/>
          <w:color w:val="auto"/>
        </w:rPr>
      </w:pPr>
      <w:r>
        <w:rPr>
          <w:rFonts w:ascii="Arial" w:cs="Arial" w:eastAsia="Arial" w:hAnsi="Arial"/>
          <w:sz w:val="18"/>
          <w:szCs w:val="18"/>
          <w:color w:val="auto"/>
        </w:rPr>
        <w:t>The information specified in Item 1 and Item 2 of Part I of Form S-8 is omitted from this Registration Statement in accordance with the provisions of Rule 428 under the Securities Act of 1933, as amended (the “Securities Act”), and the introductory note to Part I of Form S-8. The documents containing the information specified in Part I of Form S-8 will be delivered to the participants in the equity benefit plans covered by this Registration Statement as specified by Rule 428(b)(1) under the Securities Act.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0"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Registrant hereby incorporates by reference into this Registration Statement the following documents previously filed with the Securities and</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Exchange Commission (the “Commission”):</w:t>
      </w:r>
    </w:p>
    <w:p>
      <w:pPr>
        <w:spacing w:after="0" w:line="207" w:lineRule="exact"/>
        <w:rPr>
          <w:sz w:val="20"/>
          <w:szCs w:val="20"/>
          <w:color w:val="auto"/>
        </w:rPr>
      </w:pPr>
    </w:p>
    <w:p>
      <w:pPr>
        <w:ind w:left="1040" w:hanging="393"/>
        <w:spacing w:after="0"/>
        <w:tabs>
          <w:tab w:leader="none" w:pos="104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the Registrant’s Annual Report on Form 10-K for the fiscal year ended December 31, 2020, filed with the Commission on </w:t>
      </w:r>
      <w:hyperlink r:id="rId15">
        <w:r>
          <w:rPr>
            <w:rFonts w:ascii="Arial" w:cs="Arial" w:eastAsia="Arial" w:hAnsi="Arial"/>
            <w:sz w:val="16"/>
            <w:szCs w:val="16"/>
            <w:u w:val="single" w:color="auto"/>
            <w:color w:val="0000FF"/>
          </w:rPr>
          <w:t>February 25, 2021</w:t>
        </w:r>
      </w:hyperlink>
      <w:r>
        <w:rPr>
          <w:rFonts w:ascii="Arial" w:cs="Arial" w:eastAsia="Arial" w:hAnsi="Arial"/>
          <w:sz w:val="16"/>
          <w:szCs w:val="16"/>
          <w:color w:val="auto"/>
        </w:rPr>
        <w:t>;</w:t>
      </w:r>
    </w:p>
    <w:p>
      <w:pPr>
        <w:spacing w:after="0" w:line="242" w:lineRule="exact"/>
        <w:rPr>
          <w:rFonts w:ascii="Arial" w:cs="Arial" w:eastAsia="Arial" w:hAnsi="Arial"/>
          <w:sz w:val="16"/>
          <w:szCs w:val="16"/>
          <w:color w:val="auto"/>
        </w:rPr>
      </w:pPr>
    </w:p>
    <w:p>
      <w:pPr>
        <w:ind w:left="1040" w:hanging="393"/>
        <w:spacing w:after="0"/>
        <w:tabs>
          <w:tab w:leader="none" w:pos="1040"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the Registrant’s Quarterly Report on Form 10-Q for the three months ended March 31, 2021, filed with the Commission on </w:t>
      </w:r>
      <w:hyperlink r:id="rId16">
        <w:r>
          <w:rPr>
            <w:rFonts w:ascii="Arial" w:cs="Arial" w:eastAsia="Arial" w:hAnsi="Arial"/>
            <w:sz w:val="17"/>
            <w:szCs w:val="17"/>
            <w:u w:val="single" w:color="auto"/>
            <w:color w:val="0000FF"/>
          </w:rPr>
          <w:t>May 7, 2021</w:t>
        </w:r>
      </w:hyperlink>
      <w:r>
        <w:rPr>
          <w:rFonts w:ascii="Arial" w:cs="Arial" w:eastAsia="Arial" w:hAnsi="Arial"/>
          <w:sz w:val="17"/>
          <w:szCs w:val="17"/>
          <w:color w:val="auto"/>
        </w:rPr>
        <w:t>;</w:t>
      </w:r>
    </w:p>
    <w:p>
      <w:pPr>
        <w:spacing w:after="0" w:line="231" w:lineRule="exact"/>
        <w:rPr>
          <w:rFonts w:ascii="Arial" w:cs="Arial" w:eastAsia="Arial" w:hAnsi="Arial"/>
          <w:sz w:val="17"/>
          <w:szCs w:val="17"/>
          <w:color w:val="auto"/>
        </w:rPr>
      </w:pPr>
    </w:p>
    <w:p>
      <w:pPr>
        <w:ind w:left="1280" w:hanging="633"/>
        <w:spacing w:after="0" w:line="270" w:lineRule="auto"/>
        <w:tabs>
          <w:tab w:leader="none" w:pos="1025"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Registrant’s Definitive Proxy Statement on Schedule 14A, filed with the Commission on </w:t>
      </w:r>
      <w:hyperlink r:id="rId17">
        <w:r>
          <w:rPr>
            <w:rFonts w:ascii="Arial" w:cs="Arial" w:eastAsia="Arial" w:hAnsi="Arial"/>
            <w:sz w:val="18"/>
            <w:szCs w:val="18"/>
            <w:u w:val="single" w:color="auto"/>
            <w:color w:val="0000FF"/>
          </w:rPr>
          <w:t>April 14, 2021</w:t>
        </w:r>
      </w:hyperlink>
      <w:r>
        <w:rPr>
          <w:rFonts w:ascii="Arial" w:cs="Arial" w:eastAsia="Arial" w:hAnsi="Arial"/>
          <w:sz w:val="18"/>
          <w:szCs w:val="18"/>
          <w:color w:val="auto"/>
        </w:rPr>
        <w:t>, but only to the extent incorporated by reference in the Registrant’s Annual Report on Form 10-K for the fiscal year ended December 31, 2020;</w:t>
      </w:r>
    </w:p>
    <w:p>
      <w:pPr>
        <w:spacing w:after="0" w:line="174" w:lineRule="exact"/>
        <w:rPr>
          <w:rFonts w:ascii="Arial" w:cs="Arial" w:eastAsia="Arial" w:hAnsi="Arial"/>
          <w:sz w:val="18"/>
          <w:szCs w:val="18"/>
          <w:color w:val="auto"/>
        </w:rPr>
      </w:pPr>
    </w:p>
    <w:p>
      <w:pPr>
        <w:ind w:left="1280" w:right="600" w:hanging="633"/>
        <w:spacing w:after="0" w:line="258" w:lineRule="auto"/>
        <w:tabs>
          <w:tab w:leader="none" w:pos="1025"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other reports filed with the Commission pursuant to Section 13(a) or 15(d) of the Securities Exchange Act of 1934, as amended (the “Exchange Act”), since the end of the fiscal year covered by the Registrant’s Annual Report referred to in (1) above (other than the portions of these documents not deemed to be filed); and</w:t>
      </w:r>
    </w:p>
    <w:p>
      <w:pPr>
        <w:spacing w:after="0" w:line="186" w:lineRule="exact"/>
        <w:rPr>
          <w:rFonts w:ascii="Arial" w:cs="Arial" w:eastAsia="Arial" w:hAnsi="Arial"/>
          <w:sz w:val="18"/>
          <w:szCs w:val="18"/>
          <w:color w:val="auto"/>
        </w:rPr>
      </w:pPr>
    </w:p>
    <w:p>
      <w:pPr>
        <w:ind w:left="1280" w:right="80" w:hanging="633"/>
        <w:spacing w:after="0" w:line="258" w:lineRule="auto"/>
        <w:tabs>
          <w:tab w:leader="none" w:pos="1025"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description of the Registrant’s common stock contained in the Registrant’s Registration Statement on Form 8-A (File No. 001-34180) filed with the Commission on </w:t>
      </w:r>
      <w:hyperlink r:id="rId18">
        <w:r>
          <w:rPr>
            <w:rFonts w:ascii="Arial" w:cs="Arial" w:eastAsia="Arial" w:hAnsi="Arial"/>
            <w:sz w:val="18"/>
            <w:szCs w:val="18"/>
            <w:u w:val="single" w:color="auto"/>
            <w:color w:val="0000FF"/>
          </w:rPr>
          <w:t>February 7, 2011</w:t>
        </w:r>
      </w:hyperlink>
      <w:r>
        <w:rPr>
          <w:rFonts w:ascii="Arial" w:cs="Arial" w:eastAsia="Arial" w:hAnsi="Arial"/>
          <w:sz w:val="18"/>
          <w:szCs w:val="18"/>
          <w:color w:val="auto"/>
        </w:rPr>
        <w:t>, pursuant to Section 12(b) of the Exchange Act, including any amendment or report filed for the purpose of updating such description.</w:t>
      </w:r>
    </w:p>
    <w:p>
      <w:pPr>
        <w:spacing w:after="0" w:line="186" w:lineRule="exact"/>
        <w:rPr>
          <w:rFonts w:ascii="Arial" w:cs="Arial" w:eastAsia="Arial" w:hAnsi="Arial"/>
          <w:sz w:val="18"/>
          <w:szCs w:val="18"/>
          <w:color w:val="auto"/>
        </w:rPr>
      </w:pPr>
    </w:p>
    <w:p>
      <w:pPr>
        <w:jc w:val="both"/>
        <w:ind w:firstLine="640"/>
        <w:spacing w:after="0" w:line="289" w:lineRule="auto"/>
        <w:rPr>
          <w:sz w:val="20"/>
          <w:szCs w:val="20"/>
          <w:color w:val="auto"/>
        </w:rPr>
      </w:pPr>
      <w:r>
        <w:rPr>
          <w:rFonts w:ascii="Arial" w:cs="Arial" w:eastAsia="Arial" w:hAnsi="Arial"/>
          <w:sz w:val="16"/>
          <w:szCs w:val="16"/>
          <w:color w:val="auto"/>
        </w:rPr>
        <w:t xml:space="preserve">All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documents or information deemed to have been furnished and not filed in accordance with the rules of the Commission shall not be deemed to be incorporated by reference into this Registration Statement. Any statement contained in a document incorporated or deemed to be incorporated by reference herein shall be deemed to be modified or</w:t>
      </w:r>
    </w:p>
    <w:p>
      <w:pPr>
        <w:sectPr>
          <w:pgSz w:w="11900" w:h="16838" w:orient="portrait"/>
          <w:cols w:equalWidth="0" w:num="1">
            <w:col w:w="11240"/>
          </w:cols>
          <w:pgMar w:left="320" w:top="1440" w:right="339" w:bottom="1440" w:gutter="0" w:footer="0" w:header="0"/>
        </w:sectPr>
      </w:pPr>
    </w:p>
    <w:bookmarkStart w:id="4" w:name="page5"/>
    <w:bookmarkEnd w:id="4"/>
    <w:p>
      <w:pPr>
        <w:spacing w:after="0" w:line="200" w:lineRule="exact"/>
        <w:rPr>
          <w:sz w:val="20"/>
          <w:szCs w:val="20"/>
          <w:color w:val="auto"/>
        </w:rPr>
      </w:pPr>
    </w:p>
    <w:p>
      <w:pPr>
        <w:spacing w:after="0" w:line="234" w:lineRule="exact"/>
        <w:rPr>
          <w:sz w:val="20"/>
          <w:szCs w:val="20"/>
          <w:color w:val="auto"/>
        </w:rPr>
      </w:pPr>
    </w:p>
    <w:p>
      <w:pPr>
        <w:jc w:val="both"/>
        <w:ind w:right="220"/>
        <w:spacing w:after="0" w:line="258" w:lineRule="auto"/>
        <w:rPr>
          <w:sz w:val="20"/>
          <w:szCs w:val="20"/>
          <w:color w:val="auto"/>
        </w:rPr>
      </w:pPr>
      <w:r>
        <w:rPr>
          <w:rFonts w:ascii="Arial" w:cs="Arial" w:eastAsia="Arial" w:hAnsi="Arial"/>
          <w:sz w:val="18"/>
          <w:szCs w:val="18"/>
          <w:color w:val="auto"/>
        </w:rPr>
        <w:t>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86" w:lineRule="exact"/>
        <w:rPr>
          <w:sz w:val="20"/>
          <w:szCs w:val="20"/>
          <w:color w:val="auto"/>
        </w:rPr>
      </w:pPr>
    </w:p>
    <w:p>
      <w:pPr>
        <w:ind w:right="180" w:firstLine="640"/>
        <w:spacing w:after="0" w:line="270" w:lineRule="auto"/>
        <w:rPr>
          <w:sz w:val="20"/>
          <w:szCs w:val="20"/>
          <w:color w:val="auto"/>
        </w:rPr>
      </w:pPr>
      <w:r>
        <w:rPr>
          <w:rFonts w:ascii="Arial" w:cs="Arial" w:eastAsia="Arial" w:hAnsi="Arial"/>
          <w:sz w:val="18"/>
          <w:szCs w:val="18"/>
          <w:color w:val="auto"/>
        </w:rPr>
        <w:t>Under no circumstances will any information furnished under current items 2.02 or 7.01 of Form 8-K be deemed incorporated herein by reference unless such Form 8-K expressly provides to the contrary.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224" w:lineRule="exact"/>
        <w:rPr>
          <w:sz w:val="20"/>
          <w:szCs w:val="20"/>
          <w:color w:val="auto"/>
        </w:rPr>
      </w:pPr>
    </w:p>
    <w:p>
      <w:pPr>
        <w:ind w:right="540" w:firstLine="640"/>
        <w:spacing w:after="0" w:line="270" w:lineRule="auto"/>
        <w:rPr>
          <w:sz w:val="20"/>
          <w:szCs w:val="20"/>
          <w:color w:val="auto"/>
        </w:rPr>
      </w:pPr>
      <w:r>
        <w:rPr>
          <w:rFonts w:ascii="Arial" w:cs="Arial" w:eastAsia="Arial" w:hAnsi="Arial"/>
          <w:sz w:val="18"/>
          <w:szCs w:val="18"/>
          <w:color w:val="auto"/>
        </w:rPr>
        <w:t>Section 145 of the Delaware General Corporation Law authorizes a corporation’s board of directors to grant, and authorizes a court to award, indemnity to officers, directors, and other corporate agents.</w:t>
      </w:r>
    </w:p>
    <w:p>
      <w:pPr>
        <w:spacing w:after="0" w:line="175" w:lineRule="exact"/>
        <w:rPr>
          <w:sz w:val="20"/>
          <w:szCs w:val="20"/>
          <w:color w:val="auto"/>
        </w:rPr>
      </w:pPr>
    </w:p>
    <w:p>
      <w:pPr>
        <w:ind w:right="200" w:firstLine="640"/>
        <w:spacing w:after="0" w:line="333" w:lineRule="auto"/>
        <w:rPr>
          <w:sz w:val="20"/>
          <w:szCs w:val="20"/>
          <w:color w:val="auto"/>
        </w:rPr>
      </w:pPr>
      <w:r>
        <w:rPr>
          <w:rFonts w:ascii="Arial" w:cs="Arial" w:eastAsia="Arial" w:hAnsi="Arial"/>
          <w:sz w:val="16"/>
          <w:szCs w:val="16"/>
          <w:color w:val="auto"/>
        </w:rPr>
        <w:t>As permitted by Section 102(b)(7) of the Delaware General Corporation Law, the Registrant’s certificate of incorporation includes provisions that eliminate the personal liability of its directors and officers for monetary damages for breach of their fiduciary duty as directors and officers.</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as permitted by Section 145 of the Delaware General Corporation Law, the bylaws of the Registrant provide that:</w:t>
      </w:r>
    </w:p>
    <w:p>
      <w:pPr>
        <w:spacing w:after="0" w:line="220" w:lineRule="exact"/>
        <w:rPr>
          <w:sz w:val="20"/>
          <w:szCs w:val="20"/>
          <w:color w:val="auto"/>
        </w:rPr>
      </w:pPr>
    </w:p>
    <w:p>
      <w:pPr>
        <w:ind w:left="960" w:right="20" w:hanging="313"/>
        <w:spacing w:after="0" w:line="296" w:lineRule="auto"/>
        <w:tabs>
          <w:tab w:leader="none" w:pos="955"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Registrant shall indemnify its directors and officers for serving the Registrant in those capacities or for serving other business enterprises at the Registrant’s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159" w:lineRule="exact"/>
        <w:rPr>
          <w:rFonts w:ascii="Arial" w:cs="Arial" w:eastAsia="Arial" w:hAnsi="Arial"/>
          <w:sz w:val="16"/>
          <w:szCs w:val="16"/>
          <w:color w:val="auto"/>
        </w:rPr>
      </w:pPr>
    </w:p>
    <w:p>
      <w:pPr>
        <w:ind w:left="960" w:hanging="313"/>
        <w:spacing w:after="0"/>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Registrant may, in its discretion, indemnify employees and agents in those circumstances where indemnification is not required by law.</w:t>
      </w:r>
    </w:p>
    <w:p>
      <w:pPr>
        <w:spacing w:after="0" w:line="242" w:lineRule="exact"/>
        <w:rPr>
          <w:rFonts w:ascii="Arial" w:cs="Arial" w:eastAsia="Arial" w:hAnsi="Arial"/>
          <w:sz w:val="16"/>
          <w:szCs w:val="16"/>
          <w:color w:val="auto"/>
        </w:rPr>
      </w:pPr>
    </w:p>
    <w:p>
      <w:pPr>
        <w:jc w:val="both"/>
        <w:ind w:left="960" w:right="100" w:hanging="313"/>
        <w:spacing w:after="0" w:line="333" w:lineRule="auto"/>
        <w:tabs>
          <w:tab w:leader="none" w:pos="955"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Registrant is required to advance expenses, as incurred, to its directors and officers in connection with defending a proceeding, except that such director or officer shall undertake to repay such advances if it is ultimately determined that such person is not entitled to indemnification.</w:t>
      </w:r>
    </w:p>
    <w:p>
      <w:pPr>
        <w:spacing w:after="0" w:line="129" w:lineRule="exact"/>
        <w:rPr>
          <w:rFonts w:ascii="Arial" w:cs="Arial" w:eastAsia="Arial" w:hAnsi="Arial"/>
          <w:sz w:val="16"/>
          <w:szCs w:val="16"/>
          <w:color w:val="auto"/>
        </w:rPr>
      </w:pPr>
    </w:p>
    <w:p>
      <w:pPr>
        <w:ind w:left="960" w:right="220" w:hanging="313"/>
        <w:spacing w:after="0" w:line="300" w:lineRule="auto"/>
        <w:tabs>
          <w:tab w:leader="none" w:pos="95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Registrant will not be obligated pursuant to the bylaws to indemnify a person with respect to proceedings initiated by that person, except with respect to proceedings authorized by the Registrant’s board of directors or brought to enforce a right to indemnification.</w:t>
      </w:r>
    </w:p>
    <w:p>
      <w:pPr>
        <w:spacing w:after="0" w:line="151" w:lineRule="exact"/>
        <w:rPr>
          <w:rFonts w:ascii="Arial" w:cs="Arial" w:eastAsia="Arial" w:hAnsi="Arial"/>
          <w:sz w:val="17"/>
          <w:szCs w:val="17"/>
          <w:color w:val="auto"/>
        </w:rPr>
      </w:pPr>
    </w:p>
    <w:p>
      <w:pPr>
        <w:ind w:left="960" w:right="20" w:hanging="313"/>
        <w:spacing w:after="0" w:line="270" w:lineRule="auto"/>
        <w:tabs>
          <w:tab w:leader="none" w:pos="9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rights conferred in the bylaws are not exclusive, and the Registrant is authorized to enter into indemnification agreements with its directors, officers, employees, and agents and to obtain insurance to indemnify such persons.</w:t>
      </w:r>
    </w:p>
    <w:p>
      <w:pPr>
        <w:spacing w:after="0" w:line="174" w:lineRule="exact"/>
        <w:rPr>
          <w:rFonts w:ascii="Arial" w:cs="Arial" w:eastAsia="Arial" w:hAnsi="Arial"/>
          <w:sz w:val="18"/>
          <w:szCs w:val="18"/>
          <w:color w:val="auto"/>
        </w:rPr>
      </w:pPr>
    </w:p>
    <w:p>
      <w:pPr>
        <w:ind w:left="960" w:hanging="313"/>
        <w:spacing w:after="0" w:line="270" w:lineRule="auto"/>
        <w:tabs>
          <w:tab w:leader="none" w:pos="9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 may not retroactively amend the bylaw provisions to reduce its indemnification obligations to directors, officers, employees, and agents.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1440" w:right="359" w:bottom="1440" w:gutter="0" w:footer="0" w:header="0"/>
        </w:sectPr>
      </w:pPr>
    </w:p>
    <w:bookmarkStart w:id="5" w:name="page6"/>
    <w:bookmarkEnd w:id="5"/>
    <w:p>
      <w:pPr>
        <w:spacing w:after="0" w:line="200" w:lineRule="exact"/>
        <w:rPr>
          <w:sz w:val="20"/>
          <w:szCs w:val="20"/>
          <w:color w:val="auto"/>
        </w:rPr>
      </w:pPr>
    </w:p>
    <w:p>
      <w:pPr>
        <w:spacing w:after="0" w:line="234" w:lineRule="exact"/>
        <w:rPr>
          <w:sz w:val="20"/>
          <w:szCs w:val="20"/>
          <w:color w:val="auto"/>
        </w:rPr>
      </w:pPr>
    </w:p>
    <w:p>
      <w:pPr>
        <w:ind w:right="560" w:firstLine="640"/>
        <w:spacing w:after="0" w:line="306" w:lineRule="auto"/>
        <w:rPr>
          <w:sz w:val="20"/>
          <w:szCs w:val="20"/>
          <w:color w:val="auto"/>
        </w:rPr>
      </w:pPr>
      <w:r>
        <w:rPr>
          <w:rFonts w:ascii="Arial" w:cs="Arial" w:eastAsia="Arial" w:hAnsi="Arial"/>
          <w:sz w:val="16"/>
          <w:szCs w:val="16"/>
          <w:color w:val="auto"/>
        </w:rPr>
        <w:t>The Registrant’s policy is to enter into separate indemnification agreements with each of its directors and officers that provide the maximum indemnity allowed to directors and executive officers by Section 145 of the Delaware General Corporation Law and also provides for certain additional procedural protections. The Registrant also maintains directors and officers insurance to insure such persons against certain liabilities.</w:t>
      </w:r>
    </w:p>
    <w:p>
      <w:pPr>
        <w:spacing w:after="0" w:line="150" w:lineRule="exact"/>
        <w:rPr>
          <w:sz w:val="20"/>
          <w:szCs w:val="20"/>
          <w:color w:val="auto"/>
        </w:rPr>
      </w:pPr>
    </w:p>
    <w:p>
      <w:pPr>
        <w:ind w:right="360" w:firstLine="640"/>
        <w:spacing w:after="0" w:line="258" w:lineRule="auto"/>
        <w:rPr>
          <w:sz w:val="20"/>
          <w:szCs w:val="20"/>
          <w:color w:val="auto"/>
        </w:rPr>
      </w:pPr>
      <w:r>
        <w:rPr>
          <w:rFonts w:ascii="Arial" w:cs="Arial" w:eastAsia="Arial" w:hAnsi="Arial"/>
          <w:sz w:val="18"/>
          <w:szCs w:val="18"/>
          <w:color w:val="auto"/>
        </w:rPr>
        <w:t>These indemnification provisions and the indemnification agreements entered into between the Registrant and its officers and directors may be sufficiently broad to permit indemnification of the Registrant’s officers and directors for liabilities (including reimbursement of expenses incurred) arising under the Securities Act.</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also Registrant’s undertakings in Item 9 of this Registration Statement.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55"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jc w:val="center"/>
              <w:ind w:left="441"/>
              <w:spacing w:after="0"/>
              <w:rPr>
                <w:sz w:val="20"/>
                <w:szCs w:val="20"/>
                <w:color w:val="auto"/>
              </w:rPr>
            </w:pPr>
            <w:r>
              <w:rPr>
                <w:rFonts w:ascii="Arial" w:cs="Arial" w:eastAsia="Arial" w:hAnsi="Arial"/>
                <w:sz w:val="14"/>
                <w:szCs w:val="14"/>
                <w:b w:val="1"/>
                <w:bCs w:val="1"/>
                <w:color w:val="auto"/>
                <w:w w:val="93"/>
              </w:rPr>
              <w:t>Incorporated</w:t>
            </w:r>
          </w:p>
        </w:tc>
        <w:tc>
          <w:tcPr>
            <w:tcW w:w="1600" w:type="dxa"/>
            <w:vAlign w:val="bottom"/>
            <w:gridSpan w:val="2"/>
          </w:tcPr>
          <w:p>
            <w:pPr>
              <w:ind w:left="660"/>
              <w:spacing w:after="0"/>
              <w:rPr>
                <w:sz w:val="20"/>
                <w:szCs w:val="20"/>
                <w:color w:val="auto"/>
              </w:rPr>
            </w:pPr>
            <w:r>
              <w:rPr>
                <w:rFonts w:ascii="Arial" w:cs="Arial" w:eastAsia="Arial" w:hAnsi="Arial"/>
                <w:sz w:val="14"/>
                <w:szCs w:val="14"/>
                <w:b w:val="1"/>
                <w:bCs w:val="1"/>
                <w:color w:val="auto"/>
              </w:rPr>
              <w:t>Incorporated</w:t>
            </w:r>
          </w:p>
        </w:tc>
        <w:tc>
          <w:tcPr>
            <w:tcW w:w="1280" w:type="dxa"/>
            <w:vAlign w:val="bottom"/>
          </w:tcPr>
          <w:p>
            <w:pPr>
              <w:spacing w:after="0"/>
              <w:rPr>
                <w:sz w:val="14"/>
                <w:szCs w:val="14"/>
                <w:color w:val="auto"/>
              </w:rPr>
            </w:pPr>
          </w:p>
        </w:tc>
      </w:tr>
      <w:tr>
        <w:trPr>
          <w:trHeight w:val="160"/>
        </w:trPr>
        <w:tc>
          <w:tcPr>
            <w:tcW w:w="1240" w:type="dxa"/>
            <w:vAlign w:val="bottom"/>
            <w:gridSpan w:val="2"/>
          </w:tcPr>
          <w:p>
            <w:pPr>
              <w:ind w:left="66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by Reference From</w:t>
            </w: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by Reference From</w:t>
            </w:r>
          </w:p>
        </w:tc>
        <w:tc>
          <w:tcPr>
            <w:tcW w:w="1280" w:type="dxa"/>
            <w:vAlign w:val="bottom"/>
          </w:tcPr>
          <w:p>
            <w:pPr>
              <w:spacing w:after="0"/>
              <w:rPr>
                <w:sz w:val="13"/>
                <w:szCs w:val="13"/>
                <w:color w:val="auto"/>
              </w:rPr>
            </w:pPr>
          </w:p>
        </w:tc>
      </w:tr>
      <w:tr>
        <w:trPr>
          <w:trHeight w:val="185"/>
        </w:trPr>
        <w:tc>
          <w:tcPr>
            <w:tcW w:w="1240" w:type="dxa"/>
            <w:vAlign w:val="bottom"/>
            <w:gridSpan w:val="2"/>
          </w:tcPr>
          <w:p>
            <w:pPr>
              <w:ind w:left="3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80" w:type="dxa"/>
            <w:vAlign w:val="bottom"/>
            <w:gridSpan w:val="20"/>
          </w:tcPr>
          <w:p>
            <w:pPr>
              <w:ind w:left="220"/>
              <w:spacing w:after="0"/>
              <w:rPr>
                <w:sz w:val="20"/>
                <w:szCs w:val="20"/>
                <w:color w:val="auto"/>
              </w:rPr>
            </w:pPr>
            <w:r>
              <w:rPr>
                <w:rFonts w:ascii="Arial" w:cs="Arial" w:eastAsia="Arial" w:hAnsi="Arial"/>
                <w:sz w:val="14"/>
                <w:szCs w:val="14"/>
                <w:b w:val="1"/>
                <w:bCs w:val="1"/>
                <w:color w:val="auto"/>
              </w:rPr>
              <w:t>Description</w:t>
            </w: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Form</w:t>
            </w: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Exhibit Number</w:t>
            </w: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Date File</w:t>
            </w:r>
          </w:p>
        </w:tc>
      </w:tr>
      <w:tr>
        <w:trPr>
          <w:trHeight w:val="25"/>
        </w:trPr>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0"/>
        </w:trPr>
        <w:tc>
          <w:tcPr>
            <w:tcW w:w="1140" w:type="dxa"/>
            <w:vAlign w:val="bottom"/>
          </w:tcPr>
          <w:p>
            <w:pPr>
              <w:ind w:left="780"/>
              <w:spacing w:after="0" w:line="180" w:lineRule="exact"/>
              <w:rPr>
                <w:sz w:val="20"/>
                <w:szCs w:val="20"/>
                <w:color w:val="auto"/>
              </w:rPr>
            </w:pPr>
            <w:r>
              <w:rPr>
                <w:rFonts w:ascii="Arial" w:cs="Arial" w:eastAsia="Arial" w:hAnsi="Arial"/>
                <w:sz w:val="16"/>
                <w:szCs w:val="16"/>
                <w:color w:val="auto"/>
              </w:rPr>
              <w:t>4.1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540" w:type="dxa"/>
            <w:vAlign w:val="bottom"/>
            <w:tcBorders>
              <w:bottom w:val="single" w:sz="8" w:color="0000FF"/>
            </w:tcBorders>
            <w:gridSpan w:val="10"/>
          </w:tcPr>
          <w:p>
            <w:pPr>
              <w:spacing w:after="0" w:line="180" w:lineRule="exact"/>
              <w:rPr>
                <w:rFonts w:ascii="Arial" w:cs="Arial" w:eastAsia="Arial" w:hAnsi="Arial"/>
                <w:sz w:val="16"/>
                <w:szCs w:val="16"/>
                <w:color w:val="0000FF"/>
                <w:w w:val="90"/>
              </w:rPr>
            </w:pPr>
            <w:hyperlink r:id="rId19">
              <w:r>
                <w:rPr>
                  <w:rFonts w:ascii="Arial" w:cs="Arial" w:eastAsia="Arial" w:hAnsi="Arial"/>
                  <w:sz w:val="16"/>
                  <w:szCs w:val="16"/>
                  <w:color w:val="0000FF"/>
                  <w:w w:val="90"/>
                </w:rPr>
                <w:t>Specimen Common Stock Certificate of the Registrant.</w:t>
              </w:r>
            </w:hyperlink>
          </w:p>
        </w:tc>
        <w:tc>
          <w:tcPr>
            <w:tcW w:w="720" w:type="dxa"/>
            <w:vAlign w:val="bottom"/>
            <w:gridSpan w:val="15"/>
          </w:tcPr>
          <w:p>
            <w:pPr>
              <w:spacing w:after="0"/>
              <w:rPr>
                <w:sz w:val="15"/>
                <w:szCs w:val="15"/>
                <w:color w:val="auto"/>
              </w:rPr>
            </w:pPr>
          </w:p>
        </w:tc>
        <w:tc>
          <w:tcPr>
            <w:tcW w:w="1640" w:type="dxa"/>
            <w:vAlign w:val="bottom"/>
            <w:gridSpan w:val="2"/>
          </w:tcPr>
          <w:p>
            <w:pPr>
              <w:jc w:val="center"/>
              <w:ind w:left="461"/>
              <w:spacing w:after="0" w:line="180" w:lineRule="exact"/>
              <w:rPr>
                <w:sz w:val="20"/>
                <w:szCs w:val="20"/>
                <w:color w:val="auto"/>
              </w:rPr>
            </w:pPr>
            <w:r>
              <w:rPr>
                <w:rFonts w:ascii="Arial" w:cs="Arial" w:eastAsia="Arial" w:hAnsi="Arial"/>
                <w:sz w:val="16"/>
                <w:szCs w:val="16"/>
                <w:color w:val="auto"/>
                <w:w w:val="88"/>
              </w:rPr>
              <w:t>S-8</w:t>
            </w:r>
          </w:p>
        </w:tc>
        <w:tc>
          <w:tcPr>
            <w:tcW w:w="1480" w:type="dxa"/>
            <w:vAlign w:val="bottom"/>
          </w:tcPr>
          <w:p>
            <w:pPr>
              <w:jc w:val="center"/>
              <w:ind w:left="561"/>
              <w:spacing w:after="0" w:line="180" w:lineRule="exact"/>
              <w:rPr>
                <w:sz w:val="20"/>
                <w:szCs w:val="20"/>
                <w:color w:val="auto"/>
              </w:rPr>
            </w:pPr>
            <w:r>
              <w:rPr>
                <w:rFonts w:ascii="Arial" w:cs="Arial" w:eastAsia="Arial" w:hAnsi="Arial"/>
                <w:sz w:val="16"/>
                <w:szCs w:val="16"/>
                <w:color w:val="auto"/>
                <w:w w:val="89"/>
              </w:rPr>
              <w:t>4.1</w:t>
            </w:r>
          </w:p>
        </w:tc>
        <w:tc>
          <w:tcPr>
            <w:tcW w:w="120" w:type="dxa"/>
            <w:vAlign w:val="bottom"/>
          </w:tcPr>
          <w:p>
            <w:pPr>
              <w:spacing w:after="0"/>
              <w:rPr>
                <w:sz w:val="15"/>
                <w:szCs w:val="15"/>
                <w:color w:val="auto"/>
              </w:rPr>
            </w:pPr>
          </w:p>
        </w:tc>
        <w:tc>
          <w:tcPr>
            <w:tcW w:w="1280" w:type="dxa"/>
            <w:vAlign w:val="bottom"/>
          </w:tcPr>
          <w:p>
            <w:pPr>
              <w:jc w:val="right"/>
              <w:spacing w:after="0" w:line="180" w:lineRule="exact"/>
              <w:rPr>
                <w:sz w:val="20"/>
                <w:szCs w:val="20"/>
                <w:color w:val="auto"/>
              </w:rPr>
            </w:pPr>
            <w:r>
              <w:rPr>
                <w:rFonts w:ascii="Arial" w:cs="Arial" w:eastAsia="Arial" w:hAnsi="Arial"/>
                <w:sz w:val="16"/>
                <w:szCs w:val="16"/>
                <w:color w:val="auto"/>
              </w:rPr>
              <w:t>8/3/2017</w:t>
            </w:r>
          </w:p>
        </w:tc>
      </w:tr>
      <w:tr>
        <w:trPr>
          <w:trHeight w:val="220"/>
        </w:trPr>
        <w:tc>
          <w:tcPr>
            <w:tcW w:w="1140" w:type="dxa"/>
            <w:vAlign w:val="bottom"/>
          </w:tcPr>
          <w:p>
            <w:pPr>
              <w:ind w:left="780"/>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60" w:type="dxa"/>
            <w:vAlign w:val="bottom"/>
            <w:gridSpan w:val="25"/>
          </w:tcPr>
          <w:p>
            <w:pPr>
              <w:spacing w:after="0"/>
              <w:rPr>
                <w:rFonts w:ascii="Arial" w:cs="Arial" w:eastAsia="Arial" w:hAnsi="Arial"/>
                <w:sz w:val="16"/>
                <w:szCs w:val="16"/>
                <w:color w:val="0000FF"/>
              </w:rPr>
            </w:pPr>
            <w:hyperlink r:id="rId20">
              <w:r>
                <w:rPr>
                  <w:rFonts w:ascii="Arial" w:cs="Arial" w:eastAsia="Arial" w:hAnsi="Arial"/>
                  <w:sz w:val="16"/>
                  <w:szCs w:val="16"/>
                  <w:color w:val="0000FF"/>
                </w:rPr>
                <w:t>2011 Equity Incentive Plan of Fluidigm Corporation, as</w:t>
              </w:r>
            </w:hyperlink>
          </w:p>
        </w:tc>
        <w:tc>
          <w:tcPr>
            <w:tcW w:w="1640" w:type="dxa"/>
            <w:vAlign w:val="bottom"/>
            <w:gridSpan w:val="2"/>
          </w:tcPr>
          <w:p>
            <w:pPr>
              <w:jc w:val="center"/>
              <w:ind w:left="461"/>
              <w:spacing w:after="0"/>
              <w:rPr>
                <w:sz w:val="20"/>
                <w:szCs w:val="20"/>
                <w:color w:val="auto"/>
              </w:rPr>
            </w:pPr>
            <w:r>
              <w:rPr>
                <w:rFonts w:ascii="Arial" w:cs="Arial" w:eastAsia="Arial" w:hAnsi="Arial"/>
                <w:sz w:val="16"/>
                <w:szCs w:val="16"/>
                <w:color w:val="auto"/>
              </w:rPr>
              <w:t>8-K</w:t>
            </w:r>
          </w:p>
        </w:tc>
        <w:tc>
          <w:tcPr>
            <w:tcW w:w="1480" w:type="dxa"/>
            <w:vAlign w:val="bottom"/>
          </w:tcPr>
          <w:p>
            <w:pPr>
              <w:jc w:val="center"/>
              <w:ind w:left="561"/>
              <w:spacing w:after="0"/>
              <w:rPr>
                <w:sz w:val="20"/>
                <w:szCs w:val="20"/>
                <w:color w:val="auto"/>
              </w:rPr>
            </w:pPr>
            <w:r>
              <w:rPr>
                <w:rFonts w:ascii="Arial" w:cs="Arial" w:eastAsia="Arial" w:hAnsi="Arial"/>
                <w:sz w:val="16"/>
                <w:szCs w:val="16"/>
                <w:color w:val="auto"/>
                <w:w w:val="89"/>
              </w:rPr>
              <w:t>10.1</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5/25/202</w:t>
            </w: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67"/>
        </w:trPr>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20" w:type="dxa"/>
            <w:vAlign w:val="bottom"/>
            <w:gridSpan w:val="28"/>
          </w:tcPr>
          <w:p>
            <w:pPr>
              <w:spacing w:after="0" w:line="167" w:lineRule="exact"/>
              <w:rPr>
                <w:rFonts w:ascii="Arial" w:cs="Arial" w:eastAsia="Arial" w:hAnsi="Arial"/>
                <w:sz w:val="16"/>
                <w:szCs w:val="16"/>
                <w:color w:val="0000FF"/>
              </w:rPr>
            </w:pPr>
            <w:hyperlink r:id="rId20">
              <w:r>
                <w:rPr>
                  <w:rFonts w:ascii="Arial" w:cs="Arial" w:eastAsia="Arial" w:hAnsi="Arial"/>
                  <w:sz w:val="16"/>
                  <w:szCs w:val="16"/>
                  <w:color w:val="0000FF"/>
                </w:rPr>
                <w:t>amended effective May 25, 2021.</w:t>
              </w:r>
            </w:hyperlink>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20"/>
        </w:trPr>
        <w:tc>
          <w:tcPr>
            <w:tcW w:w="1140" w:type="dxa"/>
            <w:vAlign w:val="bottom"/>
          </w:tcPr>
          <w:p>
            <w:pPr>
              <w:ind w:left="780"/>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140" w:type="dxa"/>
            <w:vAlign w:val="bottom"/>
            <w:tcBorders>
              <w:bottom w:val="single" w:sz="8" w:color="0000FF"/>
            </w:tcBorders>
            <w:gridSpan w:val="23"/>
          </w:tcPr>
          <w:p>
            <w:pPr>
              <w:spacing w:after="0"/>
              <w:rPr>
                <w:rFonts w:ascii="Arial" w:cs="Arial" w:eastAsia="Arial" w:hAnsi="Arial"/>
                <w:sz w:val="16"/>
                <w:szCs w:val="16"/>
                <w:color w:val="0000FF"/>
                <w:w w:val="89"/>
              </w:rPr>
            </w:pPr>
            <w:hyperlink r:id="rId21">
              <w:r>
                <w:rPr>
                  <w:rFonts w:ascii="Arial" w:cs="Arial" w:eastAsia="Arial" w:hAnsi="Arial"/>
                  <w:sz w:val="16"/>
                  <w:szCs w:val="16"/>
                  <w:color w:val="0000FF"/>
                  <w:w w:val="89"/>
                </w:rPr>
                <w:t>Forms of U.S. agreements under the 2011 Equity Incentive Plan.</w:t>
              </w:r>
            </w:hyperlink>
          </w:p>
        </w:tc>
        <w:tc>
          <w:tcPr>
            <w:tcW w:w="120" w:type="dxa"/>
            <w:vAlign w:val="bottom"/>
            <w:gridSpan w:val="2"/>
          </w:tcPr>
          <w:p>
            <w:pPr>
              <w:spacing w:after="0"/>
              <w:rPr>
                <w:sz w:val="19"/>
                <w:szCs w:val="19"/>
                <w:color w:val="auto"/>
              </w:rPr>
            </w:pPr>
          </w:p>
        </w:tc>
        <w:tc>
          <w:tcPr>
            <w:tcW w:w="1640" w:type="dxa"/>
            <w:vAlign w:val="bottom"/>
            <w:gridSpan w:val="2"/>
          </w:tcPr>
          <w:p>
            <w:pPr>
              <w:jc w:val="center"/>
              <w:ind w:left="441"/>
              <w:spacing w:after="0"/>
              <w:rPr>
                <w:sz w:val="20"/>
                <w:szCs w:val="20"/>
                <w:color w:val="auto"/>
              </w:rPr>
            </w:pPr>
            <w:r>
              <w:rPr>
                <w:rFonts w:ascii="Arial" w:cs="Arial" w:eastAsia="Arial" w:hAnsi="Arial"/>
                <w:sz w:val="16"/>
                <w:szCs w:val="16"/>
                <w:color w:val="auto"/>
                <w:w w:val="95"/>
              </w:rPr>
              <w:t>SC TO-I</w:t>
            </w:r>
          </w:p>
        </w:tc>
        <w:tc>
          <w:tcPr>
            <w:tcW w:w="1600" w:type="dxa"/>
            <w:vAlign w:val="bottom"/>
            <w:gridSpan w:val="2"/>
          </w:tcPr>
          <w:p>
            <w:pPr>
              <w:jc w:val="center"/>
              <w:ind w:left="441"/>
              <w:spacing w:after="0"/>
              <w:rPr>
                <w:sz w:val="20"/>
                <w:szCs w:val="20"/>
                <w:color w:val="auto"/>
              </w:rPr>
            </w:pPr>
            <w:r>
              <w:rPr>
                <w:rFonts w:ascii="Arial" w:cs="Arial" w:eastAsia="Arial" w:hAnsi="Arial"/>
                <w:sz w:val="16"/>
                <w:szCs w:val="16"/>
                <w:color w:val="auto"/>
                <w:w w:val="91"/>
              </w:rPr>
              <w:t>(d)(2)</w:t>
            </w:r>
          </w:p>
        </w:tc>
        <w:tc>
          <w:tcPr>
            <w:tcW w:w="1280" w:type="dxa"/>
            <w:vAlign w:val="bottom"/>
          </w:tcPr>
          <w:p>
            <w:pPr>
              <w:jc w:val="right"/>
              <w:spacing w:after="0"/>
              <w:rPr>
                <w:sz w:val="20"/>
                <w:szCs w:val="20"/>
                <w:color w:val="auto"/>
              </w:rPr>
            </w:pPr>
            <w:r>
              <w:rPr>
                <w:rFonts w:ascii="Arial" w:cs="Arial" w:eastAsia="Arial" w:hAnsi="Arial"/>
                <w:sz w:val="16"/>
                <w:szCs w:val="16"/>
                <w:color w:val="auto"/>
              </w:rPr>
              <w:t>8/23/201</w:t>
            </w:r>
          </w:p>
        </w:tc>
      </w:tr>
      <w:tr>
        <w:trPr>
          <w:trHeight w:val="220"/>
        </w:trPr>
        <w:tc>
          <w:tcPr>
            <w:tcW w:w="1140" w:type="dxa"/>
            <w:vAlign w:val="bottom"/>
          </w:tcPr>
          <w:p>
            <w:pPr>
              <w:ind w:left="780"/>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60" w:type="dxa"/>
            <w:vAlign w:val="bottom"/>
            <w:gridSpan w:val="25"/>
          </w:tcPr>
          <w:p>
            <w:pPr>
              <w:spacing w:after="0"/>
              <w:rPr>
                <w:rFonts w:ascii="Arial" w:cs="Arial" w:eastAsia="Arial" w:hAnsi="Arial"/>
                <w:sz w:val="16"/>
                <w:szCs w:val="16"/>
                <w:color w:val="0000FF"/>
                <w:w w:val="98"/>
              </w:rPr>
            </w:pPr>
            <w:hyperlink r:id="rId22">
              <w:r>
                <w:rPr>
                  <w:rFonts w:ascii="Arial" w:cs="Arial" w:eastAsia="Arial" w:hAnsi="Arial"/>
                  <w:sz w:val="16"/>
                  <w:szCs w:val="16"/>
                  <w:color w:val="0000FF"/>
                  <w:w w:val="98"/>
                </w:rPr>
                <w:t>Rules of the Fluidigm Corporation 2011 Equity Incentive Plan</w:t>
              </w:r>
            </w:hyperlink>
          </w:p>
        </w:tc>
        <w:tc>
          <w:tcPr>
            <w:tcW w:w="1640" w:type="dxa"/>
            <w:vAlign w:val="bottom"/>
            <w:gridSpan w:val="2"/>
          </w:tcPr>
          <w:p>
            <w:pPr>
              <w:jc w:val="center"/>
              <w:ind w:left="441"/>
              <w:spacing w:after="0"/>
              <w:rPr>
                <w:sz w:val="20"/>
                <w:szCs w:val="20"/>
                <w:color w:val="auto"/>
              </w:rPr>
            </w:pPr>
            <w:r>
              <w:rPr>
                <w:rFonts w:ascii="Arial" w:cs="Arial" w:eastAsia="Arial" w:hAnsi="Arial"/>
                <w:sz w:val="16"/>
                <w:szCs w:val="16"/>
                <w:color w:val="auto"/>
                <w:w w:val="95"/>
              </w:rPr>
              <w:t>SC TO-I</w:t>
            </w:r>
          </w:p>
        </w:tc>
        <w:tc>
          <w:tcPr>
            <w:tcW w:w="1600" w:type="dxa"/>
            <w:vAlign w:val="bottom"/>
            <w:gridSpan w:val="2"/>
          </w:tcPr>
          <w:p>
            <w:pPr>
              <w:jc w:val="center"/>
              <w:ind w:left="441"/>
              <w:spacing w:after="0"/>
              <w:rPr>
                <w:sz w:val="20"/>
                <w:szCs w:val="20"/>
                <w:color w:val="auto"/>
              </w:rPr>
            </w:pPr>
            <w:r>
              <w:rPr>
                <w:rFonts w:ascii="Arial" w:cs="Arial" w:eastAsia="Arial" w:hAnsi="Arial"/>
                <w:sz w:val="16"/>
                <w:szCs w:val="16"/>
                <w:color w:val="auto"/>
                <w:w w:val="91"/>
              </w:rPr>
              <w:t>(d)(3)</w:t>
            </w:r>
          </w:p>
        </w:tc>
        <w:tc>
          <w:tcPr>
            <w:tcW w:w="1280" w:type="dxa"/>
            <w:vAlign w:val="bottom"/>
          </w:tcPr>
          <w:p>
            <w:pPr>
              <w:jc w:val="right"/>
              <w:spacing w:after="0"/>
              <w:rPr>
                <w:sz w:val="20"/>
                <w:szCs w:val="20"/>
                <w:color w:val="auto"/>
              </w:rPr>
            </w:pPr>
            <w:r>
              <w:rPr>
                <w:rFonts w:ascii="Arial" w:cs="Arial" w:eastAsia="Arial" w:hAnsi="Arial"/>
                <w:sz w:val="16"/>
                <w:szCs w:val="16"/>
                <w:color w:val="auto"/>
              </w:rPr>
              <w:t>8/23/201</w:t>
            </w: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67"/>
        </w:trPr>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0" w:type="dxa"/>
            <w:vAlign w:val="bottom"/>
            <w:tcBorders>
              <w:bottom w:val="single" w:sz="8" w:color="0000FF"/>
            </w:tcBorders>
            <w:gridSpan w:val="13"/>
          </w:tcPr>
          <w:p>
            <w:pPr>
              <w:spacing w:after="0" w:line="167" w:lineRule="exact"/>
              <w:rPr>
                <w:rFonts w:ascii="Arial" w:cs="Arial" w:eastAsia="Arial" w:hAnsi="Arial"/>
                <w:sz w:val="16"/>
                <w:szCs w:val="16"/>
                <w:color w:val="0000FF"/>
                <w:w w:val="91"/>
              </w:rPr>
            </w:pPr>
            <w:hyperlink r:id="rId22">
              <w:r>
                <w:rPr>
                  <w:rFonts w:ascii="Arial" w:cs="Arial" w:eastAsia="Arial" w:hAnsi="Arial"/>
                  <w:sz w:val="16"/>
                  <w:szCs w:val="16"/>
                  <w:color w:val="0000FF"/>
                  <w:w w:val="91"/>
                </w:rPr>
                <w:t>for Restricted Stock Unit Awards Granted to French Participants.</w:t>
              </w:r>
            </w:hyperlink>
          </w:p>
        </w:tc>
        <w:tc>
          <w:tcPr>
            <w:tcW w:w="720" w:type="dxa"/>
            <w:vAlign w:val="bottom"/>
            <w:gridSpan w:val="15"/>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20"/>
        </w:trPr>
        <w:tc>
          <w:tcPr>
            <w:tcW w:w="1140" w:type="dxa"/>
            <w:vAlign w:val="bottom"/>
          </w:tcPr>
          <w:p>
            <w:pPr>
              <w:ind w:left="780"/>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60" w:type="dxa"/>
            <w:vAlign w:val="bottom"/>
            <w:gridSpan w:val="25"/>
          </w:tcPr>
          <w:p>
            <w:pPr>
              <w:spacing w:after="0"/>
              <w:rPr>
                <w:rFonts w:ascii="Arial" w:cs="Arial" w:eastAsia="Arial" w:hAnsi="Arial"/>
                <w:sz w:val="16"/>
                <w:szCs w:val="16"/>
                <w:color w:val="0000FF"/>
                <w:w w:val="98"/>
              </w:rPr>
            </w:pPr>
            <w:hyperlink r:id="rId23">
              <w:r>
                <w:rPr>
                  <w:rFonts w:ascii="Arial" w:cs="Arial" w:eastAsia="Arial" w:hAnsi="Arial"/>
                  <w:sz w:val="16"/>
                  <w:szCs w:val="16"/>
                  <w:color w:val="0000FF"/>
                  <w:w w:val="98"/>
                </w:rPr>
                <w:t>Rules of the Fluidigm Corporation 2011 Equity Incentive Plan</w:t>
              </w:r>
            </w:hyperlink>
          </w:p>
        </w:tc>
        <w:tc>
          <w:tcPr>
            <w:tcW w:w="1640" w:type="dxa"/>
            <w:vAlign w:val="bottom"/>
            <w:gridSpan w:val="2"/>
          </w:tcPr>
          <w:p>
            <w:pPr>
              <w:jc w:val="center"/>
              <w:ind w:left="441"/>
              <w:spacing w:after="0"/>
              <w:rPr>
                <w:sz w:val="20"/>
                <w:szCs w:val="20"/>
                <w:color w:val="auto"/>
              </w:rPr>
            </w:pPr>
            <w:r>
              <w:rPr>
                <w:rFonts w:ascii="Arial" w:cs="Arial" w:eastAsia="Arial" w:hAnsi="Arial"/>
                <w:sz w:val="16"/>
                <w:szCs w:val="16"/>
                <w:color w:val="auto"/>
                <w:w w:val="95"/>
              </w:rPr>
              <w:t>SC TO-I</w:t>
            </w:r>
          </w:p>
        </w:tc>
        <w:tc>
          <w:tcPr>
            <w:tcW w:w="1600" w:type="dxa"/>
            <w:vAlign w:val="bottom"/>
            <w:gridSpan w:val="2"/>
          </w:tcPr>
          <w:p>
            <w:pPr>
              <w:jc w:val="center"/>
              <w:ind w:left="441"/>
              <w:spacing w:after="0"/>
              <w:rPr>
                <w:sz w:val="20"/>
                <w:szCs w:val="20"/>
                <w:color w:val="auto"/>
              </w:rPr>
            </w:pPr>
            <w:r>
              <w:rPr>
                <w:rFonts w:ascii="Arial" w:cs="Arial" w:eastAsia="Arial" w:hAnsi="Arial"/>
                <w:sz w:val="16"/>
                <w:szCs w:val="16"/>
                <w:color w:val="auto"/>
                <w:w w:val="91"/>
              </w:rPr>
              <w:t>(d)(4)</w:t>
            </w:r>
          </w:p>
        </w:tc>
        <w:tc>
          <w:tcPr>
            <w:tcW w:w="1280" w:type="dxa"/>
            <w:vAlign w:val="bottom"/>
          </w:tcPr>
          <w:p>
            <w:pPr>
              <w:jc w:val="right"/>
              <w:spacing w:after="0"/>
              <w:rPr>
                <w:sz w:val="20"/>
                <w:szCs w:val="20"/>
                <w:color w:val="auto"/>
              </w:rPr>
            </w:pPr>
            <w:r>
              <w:rPr>
                <w:rFonts w:ascii="Arial" w:cs="Arial" w:eastAsia="Arial" w:hAnsi="Arial"/>
                <w:sz w:val="16"/>
                <w:szCs w:val="16"/>
                <w:color w:val="auto"/>
              </w:rPr>
              <w:t>8/23/201</w:t>
            </w: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67"/>
        </w:trPr>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20" w:type="dxa"/>
            <w:vAlign w:val="bottom"/>
            <w:gridSpan w:val="28"/>
          </w:tcPr>
          <w:p>
            <w:pPr>
              <w:spacing w:after="0" w:line="167" w:lineRule="exact"/>
              <w:rPr>
                <w:rFonts w:ascii="Arial" w:cs="Arial" w:eastAsia="Arial" w:hAnsi="Arial"/>
                <w:sz w:val="16"/>
                <w:szCs w:val="16"/>
                <w:color w:val="0000FF"/>
              </w:rPr>
            </w:pPr>
            <w:hyperlink r:id="rId23">
              <w:r>
                <w:rPr>
                  <w:rFonts w:ascii="Arial" w:cs="Arial" w:eastAsia="Arial" w:hAnsi="Arial"/>
                  <w:sz w:val="16"/>
                  <w:szCs w:val="16"/>
                  <w:color w:val="0000FF"/>
                </w:rPr>
                <w:t>for Options Granted to French Participants.</w:t>
              </w:r>
            </w:hyperlink>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20"/>
        </w:trPr>
        <w:tc>
          <w:tcPr>
            <w:tcW w:w="1140" w:type="dxa"/>
            <w:vAlign w:val="bottom"/>
          </w:tcPr>
          <w:p>
            <w:pPr>
              <w:ind w:left="780"/>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60" w:type="dxa"/>
            <w:vAlign w:val="bottom"/>
            <w:gridSpan w:val="25"/>
          </w:tcPr>
          <w:p>
            <w:pPr>
              <w:spacing w:after="0"/>
              <w:rPr>
                <w:rFonts w:ascii="Arial" w:cs="Arial" w:eastAsia="Arial" w:hAnsi="Arial"/>
                <w:sz w:val="16"/>
                <w:szCs w:val="16"/>
                <w:color w:val="0000FF"/>
                <w:w w:val="95"/>
              </w:rPr>
            </w:pPr>
            <w:hyperlink r:id="rId24">
              <w:r>
                <w:rPr>
                  <w:rFonts w:ascii="Arial" w:cs="Arial" w:eastAsia="Arial" w:hAnsi="Arial"/>
                  <w:sz w:val="16"/>
                  <w:szCs w:val="16"/>
                  <w:color w:val="0000FF"/>
                  <w:w w:val="95"/>
                </w:rPr>
                <w:t>UK Sub-plan to the Fluidigm Corporation 2011 Equity Incentive</w:t>
              </w:r>
            </w:hyperlink>
          </w:p>
        </w:tc>
        <w:tc>
          <w:tcPr>
            <w:tcW w:w="1640" w:type="dxa"/>
            <w:vAlign w:val="bottom"/>
            <w:gridSpan w:val="2"/>
          </w:tcPr>
          <w:p>
            <w:pPr>
              <w:jc w:val="center"/>
              <w:ind w:left="441"/>
              <w:spacing w:after="0"/>
              <w:rPr>
                <w:sz w:val="20"/>
                <w:szCs w:val="20"/>
                <w:color w:val="auto"/>
              </w:rPr>
            </w:pPr>
            <w:r>
              <w:rPr>
                <w:rFonts w:ascii="Arial" w:cs="Arial" w:eastAsia="Arial" w:hAnsi="Arial"/>
                <w:sz w:val="16"/>
                <w:szCs w:val="16"/>
                <w:color w:val="auto"/>
                <w:w w:val="95"/>
              </w:rPr>
              <w:t>SC TO-I</w:t>
            </w:r>
          </w:p>
        </w:tc>
        <w:tc>
          <w:tcPr>
            <w:tcW w:w="1600" w:type="dxa"/>
            <w:vAlign w:val="bottom"/>
            <w:gridSpan w:val="2"/>
          </w:tcPr>
          <w:p>
            <w:pPr>
              <w:jc w:val="center"/>
              <w:ind w:left="441"/>
              <w:spacing w:after="0"/>
              <w:rPr>
                <w:sz w:val="20"/>
                <w:szCs w:val="20"/>
                <w:color w:val="auto"/>
              </w:rPr>
            </w:pPr>
            <w:r>
              <w:rPr>
                <w:rFonts w:ascii="Arial" w:cs="Arial" w:eastAsia="Arial" w:hAnsi="Arial"/>
                <w:sz w:val="16"/>
                <w:szCs w:val="16"/>
                <w:color w:val="auto"/>
                <w:w w:val="91"/>
              </w:rPr>
              <w:t>(d)(5)</w:t>
            </w:r>
          </w:p>
        </w:tc>
        <w:tc>
          <w:tcPr>
            <w:tcW w:w="1280" w:type="dxa"/>
            <w:vAlign w:val="bottom"/>
          </w:tcPr>
          <w:p>
            <w:pPr>
              <w:jc w:val="right"/>
              <w:spacing w:after="0"/>
              <w:rPr>
                <w:sz w:val="20"/>
                <w:szCs w:val="20"/>
                <w:color w:val="auto"/>
              </w:rPr>
            </w:pPr>
            <w:r>
              <w:rPr>
                <w:rFonts w:ascii="Arial" w:cs="Arial" w:eastAsia="Arial" w:hAnsi="Arial"/>
                <w:sz w:val="16"/>
                <w:szCs w:val="16"/>
                <w:color w:val="auto"/>
              </w:rPr>
              <w:t>8/23/201</w:t>
            </w:r>
          </w:p>
        </w:tc>
      </w:tr>
      <w:tr>
        <w:trPr>
          <w:trHeight w:val="167"/>
        </w:trPr>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3"/>
          </w:tcPr>
          <w:p>
            <w:pPr>
              <w:spacing w:after="0" w:line="167" w:lineRule="exact"/>
              <w:rPr>
                <w:rFonts w:ascii="Arial" w:cs="Arial" w:eastAsia="Arial" w:hAnsi="Arial"/>
                <w:sz w:val="16"/>
                <w:szCs w:val="16"/>
                <w:color w:val="0000FF"/>
              </w:rPr>
            </w:pPr>
            <w:hyperlink r:id="rId24">
              <w:r>
                <w:rPr>
                  <w:rFonts w:ascii="Arial" w:cs="Arial" w:eastAsia="Arial" w:hAnsi="Arial"/>
                  <w:sz w:val="16"/>
                  <w:szCs w:val="16"/>
                  <w:color w:val="0000FF"/>
                </w:rPr>
                <w:t>Plan.</w:t>
              </w:r>
            </w:hyperlink>
          </w:p>
        </w:tc>
        <w:tc>
          <w:tcPr>
            <w:tcW w:w="4140" w:type="dxa"/>
            <w:vAlign w:val="bottom"/>
            <w:tcBorders>
              <w:top w:val="single" w:sz="8" w:color="0000FF"/>
            </w:tcBorders>
            <w:gridSpan w:val="23"/>
          </w:tcPr>
          <w:p>
            <w:pPr>
              <w:spacing w:after="0"/>
              <w:rPr>
                <w:sz w:val="14"/>
                <w:szCs w:val="14"/>
                <w:color w:val="auto"/>
              </w:rPr>
            </w:pPr>
          </w:p>
        </w:tc>
        <w:tc>
          <w:tcPr>
            <w:tcW w:w="120" w:type="dxa"/>
            <w:vAlign w:val="bottom"/>
            <w:gridSpan w:val="2"/>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20"/>
        </w:trPr>
        <w:tc>
          <w:tcPr>
            <w:tcW w:w="1140" w:type="dxa"/>
            <w:vAlign w:val="bottom"/>
          </w:tcPr>
          <w:p>
            <w:pPr>
              <w:ind w:left="780"/>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120" w:type="dxa"/>
            <w:vAlign w:val="bottom"/>
            <w:tcBorders>
              <w:bottom w:val="single" w:sz="8" w:color="0000FF"/>
            </w:tcBorders>
            <w:gridSpan w:val="22"/>
          </w:tcPr>
          <w:p>
            <w:pPr>
              <w:spacing w:after="0"/>
              <w:rPr>
                <w:rFonts w:ascii="Arial" w:cs="Arial" w:eastAsia="Arial" w:hAnsi="Arial"/>
                <w:sz w:val="16"/>
                <w:szCs w:val="16"/>
                <w:color w:val="0000FF"/>
                <w:w w:val="91"/>
              </w:rPr>
            </w:pPr>
            <w:hyperlink r:id="rId25">
              <w:r>
                <w:rPr>
                  <w:rFonts w:ascii="Arial" w:cs="Arial" w:eastAsia="Arial" w:hAnsi="Arial"/>
                  <w:sz w:val="16"/>
                  <w:szCs w:val="16"/>
                  <w:color w:val="0000FF"/>
                  <w:w w:val="91"/>
                </w:rPr>
                <w:t>Form of Restricted Stock Unit Agreement—Non–U.S. under the</w:t>
              </w:r>
            </w:hyperlink>
          </w:p>
        </w:tc>
        <w:tc>
          <w:tcPr>
            <w:tcW w:w="140" w:type="dxa"/>
            <w:vAlign w:val="bottom"/>
            <w:gridSpan w:val="3"/>
          </w:tcPr>
          <w:p>
            <w:pPr>
              <w:spacing w:after="0"/>
              <w:rPr>
                <w:sz w:val="19"/>
                <w:szCs w:val="19"/>
                <w:color w:val="auto"/>
              </w:rPr>
            </w:pPr>
          </w:p>
        </w:tc>
        <w:tc>
          <w:tcPr>
            <w:tcW w:w="1640" w:type="dxa"/>
            <w:vAlign w:val="bottom"/>
            <w:gridSpan w:val="2"/>
          </w:tcPr>
          <w:p>
            <w:pPr>
              <w:jc w:val="center"/>
              <w:ind w:left="441"/>
              <w:spacing w:after="0"/>
              <w:rPr>
                <w:sz w:val="20"/>
                <w:szCs w:val="20"/>
                <w:color w:val="auto"/>
              </w:rPr>
            </w:pPr>
            <w:r>
              <w:rPr>
                <w:rFonts w:ascii="Arial" w:cs="Arial" w:eastAsia="Arial" w:hAnsi="Arial"/>
                <w:sz w:val="16"/>
                <w:szCs w:val="16"/>
                <w:color w:val="auto"/>
                <w:w w:val="95"/>
              </w:rPr>
              <w:t>SC TO-I</w:t>
            </w:r>
          </w:p>
        </w:tc>
        <w:tc>
          <w:tcPr>
            <w:tcW w:w="1600" w:type="dxa"/>
            <w:vAlign w:val="bottom"/>
            <w:gridSpan w:val="2"/>
          </w:tcPr>
          <w:p>
            <w:pPr>
              <w:jc w:val="center"/>
              <w:ind w:left="441"/>
              <w:spacing w:after="0"/>
              <w:rPr>
                <w:sz w:val="20"/>
                <w:szCs w:val="20"/>
                <w:color w:val="auto"/>
              </w:rPr>
            </w:pPr>
            <w:r>
              <w:rPr>
                <w:rFonts w:ascii="Arial" w:cs="Arial" w:eastAsia="Arial" w:hAnsi="Arial"/>
                <w:sz w:val="16"/>
                <w:szCs w:val="16"/>
                <w:color w:val="auto"/>
                <w:w w:val="91"/>
              </w:rPr>
              <w:t>(d)(6)</w:t>
            </w:r>
          </w:p>
        </w:tc>
        <w:tc>
          <w:tcPr>
            <w:tcW w:w="1280" w:type="dxa"/>
            <w:vAlign w:val="bottom"/>
          </w:tcPr>
          <w:p>
            <w:pPr>
              <w:jc w:val="right"/>
              <w:spacing w:after="0"/>
              <w:rPr>
                <w:sz w:val="20"/>
                <w:szCs w:val="20"/>
                <w:color w:val="auto"/>
              </w:rPr>
            </w:pPr>
            <w:r>
              <w:rPr>
                <w:rFonts w:ascii="Arial" w:cs="Arial" w:eastAsia="Arial" w:hAnsi="Arial"/>
                <w:sz w:val="16"/>
                <w:szCs w:val="16"/>
                <w:color w:val="auto"/>
              </w:rPr>
              <w:t>8/23/201</w:t>
            </w:r>
          </w:p>
        </w:tc>
      </w:tr>
      <w:tr>
        <w:trPr>
          <w:trHeight w:val="167"/>
        </w:trPr>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80" w:type="dxa"/>
            <w:vAlign w:val="bottom"/>
            <w:tcBorders>
              <w:bottom w:val="single" w:sz="8" w:color="0000FF"/>
            </w:tcBorders>
            <w:gridSpan w:val="7"/>
          </w:tcPr>
          <w:p>
            <w:pPr>
              <w:spacing w:after="0" w:line="167" w:lineRule="exact"/>
              <w:rPr>
                <w:rFonts w:ascii="Arial" w:cs="Arial" w:eastAsia="Arial" w:hAnsi="Arial"/>
                <w:sz w:val="16"/>
                <w:szCs w:val="16"/>
                <w:color w:val="0000FF"/>
                <w:w w:val="90"/>
              </w:rPr>
            </w:pPr>
            <w:hyperlink r:id="rId25">
              <w:r>
                <w:rPr>
                  <w:rFonts w:ascii="Arial" w:cs="Arial" w:eastAsia="Arial" w:hAnsi="Arial"/>
                  <w:sz w:val="16"/>
                  <w:szCs w:val="16"/>
                  <w:color w:val="0000FF"/>
                  <w:w w:val="90"/>
                </w:rPr>
                <w:t>2011 Equity Incentive Plan.</w:t>
              </w:r>
            </w:hyperlink>
          </w:p>
        </w:tc>
        <w:tc>
          <w:tcPr>
            <w:tcW w:w="3140" w:type="dxa"/>
            <w:vAlign w:val="bottom"/>
            <w:gridSpan w:val="21"/>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20"/>
        </w:trPr>
        <w:tc>
          <w:tcPr>
            <w:tcW w:w="1140" w:type="dxa"/>
            <w:vAlign w:val="bottom"/>
          </w:tcPr>
          <w:p>
            <w:pPr>
              <w:ind w:left="780"/>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60" w:type="dxa"/>
            <w:vAlign w:val="bottom"/>
            <w:tcBorders>
              <w:bottom w:val="single" w:sz="8" w:color="0000FF"/>
            </w:tcBorders>
            <w:gridSpan w:val="17"/>
          </w:tcPr>
          <w:p>
            <w:pPr>
              <w:spacing w:after="0"/>
              <w:rPr>
                <w:rFonts w:ascii="Arial" w:cs="Arial" w:eastAsia="Arial" w:hAnsi="Arial"/>
                <w:sz w:val="16"/>
                <w:szCs w:val="16"/>
                <w:color w:val="0000FF"/>
                <w:w w:val="90"/>
              </w:rPr>
            </w:pPr>
            <w:hyperlink r:id="rId26">
              <w:r>
                <w:rPr>
                  <w:rFonts w:ascii="Arial" w:cs="Arial" w:eastAsia="Arial" w:hAnsi="Arial"/>
                  <w:sz w:val="16"/>
                  <w:szCs w:val="16"/>
                  <w:color w:val="0000FF"/>
                  <w:w w:val="90"/>
                </w:rPr>
                <w:t>Form of Stock Option Agreement—Non–U.S. under the 2011</w:t>
              </w:r>
            </w:hyperlink>
          </w:p>
        </w:tc>
        <w:tc>
          <w:tcPr>
            <w:tcW w:w="300" w:type="dxa"/>
            <w:vAlign w:val="bottom"/>
            <w:gridSpan w:val="8"/>
          </w:tcPr>
          <w:p>
            <w:pPr>
              <w:spacing w:after="0"/>
              <w:rPr>
                <w:sz w:val="19"/>
                <w:szCs w:val="19"/>
                <w:color w:val="auto"/>
              </w:rPr>
            </w:pPr>
          </w:p>
        </w:tc>
        <w:tc>
          <w:tcPr>
            <w:tcW w:w="1640" w:type="dxa"/>
            <w:vAlign w:val="bottom"/>
            <w:gridSpan w:val="2"/>
          </w:tcPr>
          <w:p>
            <w:pPr>
              <w:jc w:val="center"/>
              <w:ind w:left="441"/>
              <w:spacing w:after="0"/>
              <w:rPr>
                <w:sz w:val="20"/>
                <w:szCs w:val="20"/>
                <w:color w:val="auto"/>
              </w:rPr>
            </w:pPr>
            <w:r>
              <w:rPr>
                <w:rFonts w:ascii="Arial" w:cs="Arial" w:eastAsia="Arial" w:hAnsi="Arial"/>
                <w:sz w:val="16"/>
                <w:szCs w:val="16"/>
                <w:color w:val="auto"/>
                <w:w w:val="95"/>
              </w:rPr>
              <w:t>SC TO-I</w:t>
            </w:r>
          </w:p>
        </w:tc>
        <w:tc>
          <w:tcPr>
            <w:tcW w:w="1600" w:type="dxa"/>
            <w:vAlign w:val="bottom"/>
            <w:gridSpan w:val="2"/>
          </w:tcPr>
          <w:p>
            <w:pPr>
              <w:jc w:val="center"/>
              <w:ind w:left="441"/>
              <w:spacing w:after="0"/>
              <w:rPr>
                <w:sz w:val="20"/>
                <w:szCs w:val="20"/>
                <w:color w:val="auto"/>
              </w:rPr>
            </w:pPr>
            <w:r>
              <w:rPr>
                <w:rFonts w:ascii="Arial" w:cs="Arial" w:eastAsia="Arial" w:hAnsi="Arial"/>
                <w:sz w:val="16"/>
                <w:szCs w:val="16"/>
                <w:color w:val="auto"/>
                <w:w w:val="91"/>
              </w:rPr>
              <w:t>(d)(7)</w:t>
            </w:r>
          </w:p>
        </w:tc>
        <w:tc>
          <w:tcPr>
            <w:tcW w:w="1280" w:type="dxa"/>
            <w:vAlign w:val="bottom"/>
          </w:tcPr>
          <w:p>
            <w:pPr>
              <w:jc w:val="right"/>
              <w:spacing w:after="0"/>
              <w:rPr>
                <w:sz w:val="20"/>
                <w:szCs w:val="20"/>
                <w:color w:val="auto"/>
              </w:rPr>
            </w:pPr>
            <w:r>
              <w:rPr>
                <w:rFonts w:ascii="Arial" w:cs="Arial" w:eastAsia="Arial" w:hAnsi="Arial"/>
                <w:sz w:val="16"/>
                <w:szCs w:val="16"/>
                <w:color w:val="auto"/>
              </w:rPr>
              <w:t>8/23/201</w:t>
            </w:r>
          </w:p>
        </w:tc>
      </w:tr>
      <w:tr>
        <w:trPr>
          <w:trHeight w:val="167"/>
        </w:trPr>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tcBorders>
              <w:bottom w:val="single" w:sz="8" w:color="0000FF"/>
            </w:tcBorders>
            <w:gridSpan w:val="6"/>
          </w:tcPr>
          <w:p>
            <w:pPr>
              <w:spacing w:after="0" w:line="167" w:lineRule="exact"/>
              <w:rPr>
                <w:rFonts w:ascii="Arial" w:cs="Arial" w:eastAsia="Arial" w:hAnsi="Arial"/>
                <w:sz w:val="16"/>
                <w:szCs w:val="16"/>
                <w:color w:val="0000FF"/>
                <w:w w:val="90"/>
              </w:rPr>
            </w:pPr>
            <w:hyperlink r:id="rId26">
              <w:r>
                <w:rPr>
                  <w:rFonts w:ascii="Arial" w:cs="Arial" w:eastAsia="Arial" w:hAnsi="Arial"/>
                  <w:sz w:val="16"/>
                  <w:szCs w:val="16"/>
                  <w:color w:val="0000FF"/>
                  <w:w w:val="90"/>
                </w:rPr>
                <w:t>Equity Incentive Plan.</w:t>
              </w:r>
            </w:hyperlink>
          </w:p>
        </w:tc>
        <w:tc>
          <w:tcPr>
            <w:tcW w:w="3500" w:type="dxa"/>
            <w:vAlign w:val="bottom"/>
            <w:gridSpan w:val="22"/>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20"/>
        </w:trPr>
        <w:tc>
          <w:tcPr>
            <w:tcW w:w="1140" w:type="dxa"/>
            <w:vAlign w:val="bottom"/>
          </w:tcPr>
          <w:p>
            <w:pPr>
              <w:ind w:left="780"/>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60" w:type="dxa"/>
            <w:vAlign w:val="bottom"/>
            <w:gridSpan w:val="25"/>
          </w:tcPr>
          <w:p>
            <w:pPr>
              <w:spacing w:after="0"/>
              <w:rPr>
                <w:rFonts w:ascii="Arial" w:cs="Arial" w:eastAsia="Arial" w:hAnsi="Arial"/>
                <w:sz w:val="16"/>
                <w:szCs w:val="16"/>
                <w:color w:val="0000FF"/>
                <w:w w:val="98"/>
              </w:rPr>
            </w:pPr>
            <w:hyperlink r:id="rId27">
              <w:r>
                <w:rPr>
                  <w:rFonts w:ascii="Arial" w:cs="Arial" w:eastAsia="Arial" w:hAnsi="Arial"/>
                  <w:sz w:val="16"/>
                  <w:szCs w:val="16"/>
                  <w:color w:val="0000FF"/>
                  <w:w w:val="98"/>
                </w:rPr>
                <w:t>Indenture, dated February 4, 2014, by and between Fluidigm</w:t>
              </w:r>
            </w:hyperlink>
          </w:p>
        </w:tc>
        <w:tc>
          <w:tcPr>
            <w:tcW w:w="1640" w:type="dxa"/>
            <w:vAlign w:val="bottom"/>
            <w:gridSpan w:val="2"/>
          </w:tcPr>
          <w:p>
            <w:pPr>
              <w:jc w:val="center"/>
              <w:ind w:left="461"/>
              <w:spacing w:after="0"/>
              <w:rPr>
                <w:sz w:val="20"/>
                <w:szCs w:val="20"/>
                <w:color w:val="auto"/>
              </w:rPr>
            </w:pPr>
            <w:r>
              <w:rPr>
                <w:rFonts w:ascii="Arial" w:cs="Arial" w:eastAsia="Arial" w:hAnsi="Arial"/>
                <w:sz w:val="16"/>
                <w:szCs w:val="16"/>
                <w:color w:val="auto"/>
              </w:rPr>
              <w:t>8-K</w:t>
            </w:r>
          </w:p>
        </w:tc>
        <w:tc>
          <w:tcPr>
            <w:tcW w:w="1480" w:type="dxa"/>
            <w:vAlign w:val="bottom"/>
          </w:tcPr>
          <w:p>
            <w:pPr>
              <w:jc w:val="center"/>
              <w:ind w:left="561"/>
              <w:spacing w:after="0"/>
              <w:rPr>
                <w:sz w:val="20"/>
                <w:szCs w:val="20"/>
                <w:color w:val="auto"/>
              </w:rPr>
            </w:pPr>
            <w:r>
              <w:rPr>
                <w:rFonts w:ascii="Arial" w:cs="Arial" w:eastAsia="Arial" w:hAnsi="Arial"/>
                <w:sz w:val="16"/>
                <w:szCs w:val="16"/>
                <w:color w:val="auto"/>
                <w:w w:val="89"/>
              </w:rPr>
              <w:t>4.1</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2/4/2014</w:t>
            </w: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40" w:type="dxa"/>
            <w:vAlign w:val="bottom"/>
            <w:gridSpan w:val="5"/>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67"/>
        </w:trPr>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20" w:type="dxa"/>
            <w:vAlign w:val="bottom"/>
            <w:gridSpan w:val="28"/>
          </w:tcPr>
          <w:p>
            <w:pPr>
              <w:spacing w:after="0" w:line="167" w:lineRule="exact"/>
              <w:rPr>
                <w:rFonts w:ascii="Arial" w:cs="Arial" w:eastAsia="Arial" w:hAnsi="Arial"/>
                <w:sz w:val="16"/>
                <w:szCs w:val="16"/>
                <w:color w:val="0000FF"/>
              </w:rPr>
            </w:pPr>
            <w:hyperlink r:id="rId27">
              <w:r>
                <w:rPr>
                  <w:rFonts w:ascii="Arial" w:cs="Arial" w:eastAsia="Arial" w:hAnsi="Arial"/>
                  <w:sz w:val="16"/>
                  <w:szCs w:val="16"/>
                  <w:color w:val="0000FF"/>
                </w:rPr>
                <w:t>Corporation and U.S. Bank National Association.</w:t>
              </w:r>
            </w:hyperlink>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40" w:type="dxa"/>
            <w:vAlign w:val="bottom"/>
            <w:gridSpan w:val="5"/>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20"/>
        </w:trPr>
        <w:tc>
          <w:tcPr>
            <w:tcW w:w="1140" w:type="dxa"/>
            <w:vAlign w:val="bottom"/>
          </w:tcPr>
          <w:p>
            <w:pPr>
              <w:ind w:left="780"/>
              <w:spacing w:after="0"/>
              <w:rPr>
                <w:sz w:val="20"/>
                <w:szCs w:val="20"/>
                <w:color w:val="auto"/>
              </w:rPr>
            </w:pPr>
            <w:r>
              <w:rPr>
                <w:rFonts w:ascii="Arial" w:cs="Arial" w:eastAsia="Arial" w:hAnsi="Arial"/>
                <w:sz w:val="16"/>
                <w:szCs w:val="16"/>
                <w:color w:val="auto"/>
              </w:rPr>
              <w:t>4.10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20" w:type="dxa"/>
            <w:vAlign w:val="bottom"/>
            <w:tcBorders>
              <w:bottom w:val="single" w:sz="8" w:color="0000FF"/>
            </w:tcBorders>
            <w:gridSpan w:val="16"/>
          </w:tcPr>
          <w:p>
            <w:pPr>
              <w:spacing w:after="0"/>
              <w:rPr>
                <w:rFonts w:ascii="Arial" w:cs="Arial" w:eastAsia="Arial" w:hAnsi="Arial"/>
                <w:sz w:val="16"/>
                <w:szCs w:val="16"/>
                <w:color w:val="0000FF"/>
                <w:w w:val="89"/>
              </w:rPr>
            </w:pPr>
            <w:hyperlink r:id="rId28">
              <w:r>
                <w:rPr>
                  <w:rFonts w:ascii="Arial" w:cs="Arial" w:eastAsia="Arial" w:hAnsi="Arial"/>
                  <w:sz w:val="16"/>
                  <w:szCs w:val="16"/>
                  <w:color w:val="0000FF"/>
                  <w:w w:val="89"/>
                </w:rPr>
                <w:t>First Supplemental Indenture, dated February 4, 2014, by and</w:t>
              </w:r>
            </w:hyperlink>
          </w:p>
        </w:tc>
        <w:tc>
          <w:tcPr>
            <w:tcW w:w="340" w:type="dxa"/>
            <w:vAlign w:val="bottom"/>
            <w:gridSpan w:val="9"/>
          </w:tcPr>
          <w:p>
            <w:pPr>
              <w:spacing w:after="0"/>
              <w:rPr>
                <w:sz w:val="19"/>
                <w:szCs w:val="19"/>
                <w:color w:val="auto"/>
              </w:rPr>
            </w:pPr>
          </w:p>
        </w:tc>
        <w:tc>
          <w:tcPr>
            <w:tcW w:w="1640" w:type="dxa"/>
            <w:vAlign w:val="bottom"/>
            <w:gridSpan w:val="2"/>
          </w:tcPr>
          <w:p>
            <w:pPr>
              <w:jc w:val="center"/>
              <w:ind w:left="461"/>
              <w:spacing w:after="0"/>
              <w:rPr>
                <w:sz w:val="20"/>
                <w:szCs w:val="20"/>
                <w:color w:val="auto"/>
              </w:rPr>
            </w:pPr>
            <w:r>
              <w:rPr>
                <w:rFonts w:ascii="Arial" w:cs="Arial" w:eastAsia="Arial" w:hAnsi="Arial"/>
                <w:sz w:val="16"/>
                <w:szCs w:val="16"/>
                <w:color w:val="auto"/>
              </w:rPr>
              <w:t>8-K</w:t>
            </w:r>
          </w:p>
        </w:tc>
        <w:tc>
          <w:tcPr>
            <w:tcW w:w="1480" w:type="dxa"/>
            <w:vAlign w:val="bottom"/>
          </w:tcPr>
          <w:p>
            <w:pPr>
              <w:jc w:val="center"/>
              <w:ind w:left="561"/>
              <w:spacing w:after="0"/>
              <w:rPr>
                <w:sz w:val="20"/>
                <w:szCs w:val="20"/>
                <w:color w:val="auto"/>
              </w:rPr>
            </w:pPr>
            <w:r>
              <w:rPr>
                <w:rFonts w:ascii="Arial" w:cs="Arial" w:eastAsia="Arial" w:hAnsi="Arial"/>
                <w:sz w:val="16"/>
                <w:szCs w:val="16"/>
                <w:color w:val="auto"/>
                <w:w w:val="89"/>
              </w:rPr>
              <w:t>4.2</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2/4/2014</w:t>
            </w:r>
          </w:p>
        </w:tc>
      </w:tr>
      <w:tr>
        <w:trPr>
          <w:trHeight w:val="167"/>
        </w:trPr>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20" w:type="dxa"/>
            <w:vAlign w:val="bottom"/>
            <w:gridSpan w:val="28"/>
          </w:tcPr>
          <w:p>
            <w:pPr>
              <w:spacing w:after="0" w:line="167" w:lineRule="exact"/>
              <w:rPr>
                <w:rFonts w:ascii="Arial" w:cs="Arial" w:eastAsia="Arial" w:hAnsi="Arial"/>
                <w:sz w:val="16"/>
                <w:szCs w:val="16"/>
                <w:color w:val="0000FF"/>
              </w:rPr>
            </w:pPr>
            <w:hyperlink r:id="rId28">
              <w:r>
                <w:rPr>
                  <w:rFonts w:ascii="Arial" w:cs="Arial" w:eastAsia="Arial" w:hAnsi="Arial"/>
                  <w:sz w:val="16"/>
                  <w:szCs w:val="16"/>
                  <w:color w:val="0000FF"/>
                </w:rPr>
                <w:t>between Fluidigm Corporation and U.S. Bank National Association.</w:t>
              </w:r>
            </w:hyperlink>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20"/>
        </w:trPr>
        <w:tc>
          <w:tcPr>
            <w:tcW w:w="1140" w:type="dxa"/>
            <w:vAlign w:val="bottom"/>
          </w:tcPr>
          <w:p>
            <w:pPr>
              <w:ind w:left="780"/>
              <w:spacing w:after="0"/>
              <w:rPr>
                <w:sz w:val="20"/>
                <w:szCs w:val="20"/>
                <w:color w:val="auto"/>
              </w:rPr>
            </w:pPr>
            <w:r>
              <w:rPr>
                <w:rFonts w:ascii="Arial" w:cs="Arial" w:eastAsia="Arial" w:hAnsi="Arial"/>
                <w:sz w:val="16"/>
                <w:szCs w:val="16"/>
                <w:color w:val="auto"/>
              </w:rPr>
              <w:t>4.11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3060" w:type="dxa"/>
            <w:vAlign w:val="bottom"/>
            <w:tcBorders>
              <w:top w:val="single" w:sz="8" w:color="0000FF"/>
              <w:bottom w:val="single" w:sz="8" w:color="0000FF"/>
            </w:tcBorders>
            <w:gridSpan w:val="8"/>
          </w:tcPr>
          <w:p>
            <w:pPr>
              <w:spacing w:after="0"/>
              <w:rPr>
                <w:rFonts w:ascii="Arial" w:cs="Arial" w:eastAsia="Arial" w:hAnsi="Arial"/>
                <w:sz w:val="16"/>
                <w:szCs w:val="16"/>
                <w:color w:val="0000FF"/>
                <w:w w:val="92"/>
              </w:rPr>
            </w:pPr>
            <w:hyperlink r:id="rId28">
              <w:r>
                <w:rPr>
                  <w:rFonts w:ascii="Arial" w:cs="Arial" w:eastAsia="Arial" w:hAnsi="Arial"/>
                  <w:sz w:val="16"/>
                  <w:szCs w:val="16"/>
                  <w:color w:val="0000FF"/>
                  <w:w w:val="92"/>
                </w:rPr>
                <w:t xml:space="preserve">Form of Global Note (included in Exhibit </w:t>
              </w:r>
            </w:hyperlink>
            <w:r>
              <w:rPr>
                <w:rFonts w:ascii="Arial" w:cs="Arial" w:eastAsia="Arial" w:hAnsi="Arial"/>
                <w:sz w:val="16"/>
                <w:szCs w:val="16"/>
                <w:color w:val="0000FF"/>
                <w:w w:val="92"/>
              </w:rPr>
              <w:t>4.10)</w:t>
            </w:r>
            <w:hyperlink r:id="rId28">
              <w:r>
                <w:rPr>
                  <w:rFonts w:ascii="Arial" w:cs="Arial" w:eastAsia="Arial" w:hAnsi="Arial"/>
                  <w:sz w:val="16"/>
                  <w:szCs w:val="16"/>
                  <w:color w:val="0000FF"/>
                  <w:w w:val="92"/>
                </w:rPr>
                <w:t>.</w:t>
              </w:r>
            </w:hyperlink>
          </w:p>
        </w:tc>
        <w:tc>
          <w:tcPr>
            <w:tcW w:w="640" w:type="dxa"/>
            <w:vAlign w:val="bottom"/>
            <w:tcBorders>
              <w:top w:val="single" w:sz="8" w:color="0000FF"/>
            </w:tcBorders>
            <w:gridSpan w:val="4"/>
          </w:tcPr>
          <w:p>
            <w:pPr>
              <w:spacing w:after="0"/>
              <w:rPr>
                <w:sz w:val="19"/>
                <w:szCs w:val="19"/>
                <w:color w:val="auto"/>
              </w:rPr>
            </w:pPr>
          </w:p>
        </w:tc>
        <w:tc>
          <w:tcPr>
            <w:tcW w:w="560" w:type="dxa"/>
            <w:vAlign w:val="bottom"/>
            <w:gridSpan w:val="13"/>
          </w:tcPr>
          <w:p>
            <w:pPr>
              <w:spacing w:after="0"/>
              <w:rPr>
                <w:sz w:val="19"/>
                <w:szCs w:val="19"/>
                <w:color w:val="auto"/>
              </w:rPr>
            </w:pPr>
          </w:p>
        </w:tc>
        <w:tc>
          <w:tcPr>
            <w:tcW w:w="1640" w:type="dxa"/>
            <w:vAlign w:val="bottom"/>
            <w:gridSpan w:val="2"/>
          </w:tcPr>
          <w:p>
            <w:pPr>
              <w:jc w:val="center"/>
              <w:ind w:left="461"/>
              <w:spacing w:after="0"/>
              <w:rPr>
                <w:sz w:val="20"/>
                <w:szCs w:val="20"/>
                <w:color w:val="auto"/>
              </w:rPr>
            </w:pPr>
            <w:r>
              <w:rPr>
                <w:rFonts w:ascii="Arial" w:cs="Arial" w:eastAsia="Arial" w:hAnsi="Arial"/>
                <w:sz w:val="16"/>
                <w:szCs w:val="16"/>
                <w:color w:val="auto"/>
              </w:rPr>
              <w:t>8-K</w:t>
            </w:r>
          </w:p>
        </w:tc>
        <w:tc>
          <w:tcPr>
            <w:tcW w:w="1480" w:type="dxa"/>
            <w:vAlign w:val="bottom"/>
          </w:tcPr>
          <w:p>
            <w:pPr>
              <w:jc w:val="center"/>
              <w:ind w:left="561"/>
              <w:spacing w:after="0"/>
              <w:rPr>
                <w:sz w:val="20"/>
                <w:szCs w:val="20"/>
                <w:color w:val="auto"/>
              </w:rPr>
            </w:pPr>
            <w:r>
              <w:rPr>
                <w:rFonts w:ascii="Arial" w:cs="Arial" w:eastAsia="Arial" w:hAnsi="Arial"/>
                <w:sz w:val="16"/>
                <w:szCs w:val="16"/>
                <w:color w:val="auto"/>
                <w:w w:val="89"/>
              </w:rPr>
              <w:t>4.3</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2/4/2014</w:t>
            </w:r>
          </w:p>
        </w:tc>
      </w:tr>
      <w:tr>
        <w:trPr>
          <w:trHeight w:val="220"/>
        </w:trPr>
        <w:tc>
          <w:tcPr>
            <w:tcW w:w="1140" w:type="dxa"/>
            <w:vAlign w:val="bottom"/>
          </w:tcPr>
          <w:p>
            <w:pPr>
              <w:ind w:left="780"/>
              <w:spacing w:after="0"/>
              <w:rPr>
                <w:sz w:val="20"/>
                <w:szCs w:val="20"/>
                <w:color w:val="auto"/>
              </w:rPr>
            </w:pPr>
            <w:r>
              <w:rPr>
                <w:rFonts w:ascii="Arial" w:cs="Arial" w:eastAsia="Arial" w:hAnsi="Arial"/>
                <w:sz w:val="16"/>
                <w:szCs w:val="16"/>
                <w:color w:val="auto"/>
              </w:rPr>
              <w:t>4.12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60" w:type="dxa"/>
            <w:vAlign w:val="bottom"/>
            <w:tcBorders>
              <w:bottom w:val="single" w:sz="8" w:color="0000FF"/>
            </w:tcBorders>
            <w:gridSpan w:val="20"/>
          </w:tcPr>
          <w:p>
            <w:pPr>
              <w:spacing w:after="0"/>
              <w:rPr>
                <w:rFonts w:ascii="Arial" w:cs="Arial" w:eastAsia="Arial" w:hAnsi="Arial"/>
                <w:sz w:val="16"/>
                <w:szCs w:val="16"/>
                <w:color w:val="0000FF"/>
                <w:w w:val="90"/>
              </w:rPr>
            </w:pPr>
            <w:hyperlink r:id="rId29">
              <w:r>
                <w:rPr>
                  <w:rFonts w:ascii="Arial" w:cs="Arial" w:eastAsia="Arial" w:hAnsi="Arial"/>
                  <w:sz w:val="16"/>
                  <w:szCs w:val="16"/>
                  <w:color w:val="0000FF"/>
                  <w:w w:val="90"/>
                </w:rPr>
                <w:t>Indenture, dated November 22, 2019, by and between Fluidigm</w:t>
              </w:r>
            </w:hyperlink>
          </w:p>
        </w:tc>
        <w:tc>
          <w:tcPr>
            <w:tcW w:w="200" w:type="dxa"/>
            <w:vAlign w:val="bottom"/>
            <w:gridSpan w:val="5"/>
          </w:tcPr>
          <w:p>
            <w:pPr>
              <w:spacing w:after="0"/>
              <w:rPr>
                <w:sz w:val="19"/>
                <w:szCs w:val="19"/>
                <w:color w:val="auto"/>
              </w:rPr>
            </w:pPr>
          </w:p>
        </w:tc>
        <w:tc>
          <w:tcPr>
            <w:tcW w:w="1640" w:type="dxa"/>
            <w:vAlign w:val="bottom"/>
            <w:gridSpan w:val="2"/>
          </w:tcPr>
          <w:p>
            <w:pPr>
              <w:jc w:val="center"/>
              <w:ind w:left="461"/>
              <w:spacing w:after="0"/>
              <w:rPr>
                <w:sz w:val="20"/>
                <w:szCs w:val="20"/>
                <w:color w:val="auto"/>
              </w:rPr>
            </w:pPr>
            <w:r>
              <w:rPr>
                <w:rFonts w:ascii="Arial" w:cs="Arial" w:eastAsia="Arial" w:hAnsi="Arial"/>
                <w:sz w:val="16"/>
                <w:szCs w:val="16"/>
                <w:color w:val="auto"/>
              </w:rPr>
              <w:t>8-K</w:t>
            </w:r>
          </w:p>
        </w:tc>
        <w:tc>
          <w:tcPr>
            <w:tcW w:w="1480" w:type="dxa"/>
            <w:vAlign w:val="bottom"/>
          </w:tcPr>
          <w:p>
            <w:pPr>
              <w:jc w:val="center"/>
              <w:ind w:left="561"/>
              <w:spacing w:after="0"/>
              <w:rPr>
                <w:sz w:val="20"/>
                <w:szCs w:val="20"/>
                <w:color w:val="auto"/>
              </w:rPr>
            </w:pPr>
            <w:r>
              <w:rPr>
                <w:rFonts w:ascii="Arial" w:cs="Arial" w:eastAsia="Arial" w:hAnsi="Arial"/>
                <w:sz w:val="16"/>
                <w:szCs w:val="16"/>
                <w:color w:val="auto"/>
                <w:w w:val="89"/>
              </w:rPr>
              <w:t>4.1</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11/22/201</w:t>
            </w:r>
          </w:p>
        </w:tc>
      </w:tr>
      <w:tr>
        <w:trPr>
          <w:trHeight w:val="167"/>
        </w:trPr>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20" w:type="dxa"/>
            <w:vAlign w:val="bottom"/>
            <w:gridSpan w:val="28"/>
          </w:tcPr>
          <w:p>
            <w:pPr>
              <w:spacing w:after="0" w:line="167" w:lineRule="exact"/>
              <w:rPr>
                <w:rFonts w:ascii="Arial" w:cs="Arial" w:eastAsia="Arial" w:hAnsi="Arial"/>
                <w:sz w:val="16"/>
                <w:szCs w:val="16"/>
                <w:color w:val="0000FF"/>
              </w:rPr>
            </w:pPr>
            <w:hyperlink r:id="rId29">
              <w:r>
                <w:rPr>
                  <w:rFonts w:ascii="Arial" w:cs="Arial" w:eastAsia="Arial" w:hAnsi="Arial"/>
                  <w:sz w:val="16"/>
                  <w:szCs w:val="16"/>
                  <w:color w:val="0000FF"/>
                </w:rPr>
                <w:t>Corporation and U.S. Bank National Association.</w:t>
              </w:r>
            </w:hyperlink>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40" w:type="dxa"/>
            <w:vAlign w:val="bottom"/>
            <w:gridSpan w:val="5"/>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20"/>
        </w:trPr>
        <w:tc>
          <w:tcPr>
            <w:tcW w:w="1140" w:type="dxa"/>
            <w:vAlign w:val="bottom"/>
          </w:tcPr>
          <w:p>
            <w:pPr>
              <w:ind w:left="780"/>
              <w:spacing w:after="0"/>
              <w:rPr>
                <w:sz w:val="20"/>
                <w:szCs w:val="20"/>
                <w:color w:val="auto"/>
              </w:rPr>
            </w:pPr>
            <w:r>
              <w:rPr>
                <w:rFonts w:ascii="Arial" w:cs="Arial" w:eastAsia="Arial" w:hAnsi="Arial"/>
                <w:sz w:val="16"/>
                <w:szCs w:val="16"/>
                <w:color w:val="auto"/>
              </w:rPr>
              <w:t>4.13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0" w:type="dxa"/>
            <w:vAlign w:val="bottom"/>
            <w:tcBorders>
              <w:bottom w:val="single" w:sz="8" w:color="0000FF"/>
            </w:tcBorders>
            <w:gridSpan w:val="18"/>
          </w:tcPr>
          <w:p>
            <w:pPr>
              <w:spacing w:after="0"/>
              <w:rPr>
                <w:rFonts w:ascii="Arial" w:cs="Arial" w:eastAsia="Arial" w:hAnsi="Arial"/>
                <w:sz w:val="16"/>
                <w:szCs w:val="16"/>
                <w:color w:val="0000FF"/>
                <w:w w:val="91"/>
              </w:rPr>
            </w:pPr>
            <w:hyperlink r:id="rId29">
              <w:r>
                <w:rPr>
                  <w:rFonts w:ascii="Arial" w:cs="Arial" w:eastAsia="Arial" w:hAnsi="Arial"/>
                  <w:sz w:val="16"/>
                  <w:szCs w:val="16"/>
                  <w:color w:val="0000FF"/>
                  <w:w w:val="91"/>
                </w:rPr>
                <w:t>Form of 5.25% Convertible Senior Note due 2024 (included in</w:t>
              </w:r>
            </w:hyperlink>
          </w:p>
        </w:tc>
        <w:tc>
          <w:tcPr>
            <w:tcW w:w="260" w:type="dxa"/>
            <w:vAlign w:val="bottom"/>
            <w:gridSpan w:val="7"/>
          </w:tcPr>
          <w:p>
            <w:pPr>
              <w:spacing w:after="0"/>
              <w:rPr>
                <w:sz w:val="19"/>
                <w:szCs w:val="19"/>
                <w:color w:val="auto"/>
              </w:rPr>
            </w:pPr>
          </w:p>
        </w:tc>
        <w:tc>
          <w:tcPr>
            <w:tcW w:w="1640" w:type="dxa"/>
            <w:vAlign w:val="bottom"/>
            <w:gridSpan w:val="2"/>
          </w:tcPr>
          <w:p>
            <w:pPr>
              <w:jc w:val="center"/>
              <w:ind w:left="461"/>
              <w:spacing w:after="0"/>
              <w:rPr>
                <w:sz w:val="20"/>
                <w:szCs w:val="20"/>
                <w:color w:val="auto"/>
              </w:rPr>
            </w:pPr>
            <w:r>
              <w:rPr>
                <w:rFonts w:ascii="Arial" w:cs="Arial" w:eastAsia="Arial" w:hAnsi="Arial"/>
                <w:sz w:val="16"/>
                <w:szCs w:val="16"/>
                <w:color w:val="auto"/>
              </w:rPr>
              <w:t>8-K</w:t>
            </w:r>
          </w:p>
        </w:tc>
        <w:tc>
          <w:tcPr>
            <w:tcW w:w="1480" w:type="dxa"/>
            <w:vAlign w:val="bottom"/>
          </w:tcPr>
          <w:p>
            <w:pPr>
              <w:jc w:val="center"/>
              <w:ind w:left="561"/>
              <w:spacing w:after="0"/>
              <w:rPr>
                <w:sz w:val="20"/>
                <w:szCs w:val="20"/>
                <w:color w:val="auto"/>
              </w:rPr>
            </w:pPr>
            <w:r>
              <w:rPr>
                <w:rFonts w:ascii="Arial" w:cs="Arial" w:eastAsia="Arial" w:hAnsi="Arial"/>
                <w:sz w:val="16"/>
                <w:szCs w:val="16"/>
                <w:color w:val="auto"/>
                <w:w w:val="89"/>
              </w:rPr>
              <w:t>4.2</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11/22/201</w:t>
            </w:r>
          </w:p>
        </w:tc>
      </w:tr>
      <w:tr>
        <w:trPr>
          <w:trHeight w:val="167"/>
        </w:trPr>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Borders>
              <w:bottom w:val="single" w:sz="8" w:color="0000FF"/>
            </w:tcBorders>
            <w:gridSpan w:val="4"/>
          </w:tcPr>
          <w:p>
            <w:pPr>
              <w:spacing w:after="0" w:line="167" w:lineRule="exact"/>
              <w:rPr>
                <w:rFonts w:ascii="Arial" w:cs="Arial" w:eastAsia="Arial" w:hAnsi="Arial"/>
                <w:sz w:val="16"/>
                <w:szCs w:val="16"/>
                <w:color w:val="0000FF"/>
                <w:w w:val="92"/>
              </w:rPr>
            </w:pPr>
            <w:hyperlink r:id="rId29">
              <w:r>
                <w:rPr>
                  <w:rFonts w:ascii="Arial" w:cs="Arial" w:eastAsia="Arial" w:hAnsi="Arial"/>
                  <w:sz w:val="16"/>
                  <w:szCs w:val="16"/>
                  <w:color w:val="0000FF"/>
                  <w:w w:val="92"/>
                </w:rPr>
                <w:t>Exhibit 4.12).</w:t>
              </w:r>
            </w:hyperlink>
          </w:p>
        </w:tc>
        <w:tc>
          <w:tcPr>
            <w:tcW w:w="4040" w:type="dxa"/>
            <w:vAlign w:val="bottom"/>
            <w:gridSpan w:val="24"/>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20"/>
        </w:trPr>
        <w:tc>
          <w:tcPr>
            <w:tcW w:w="1140" w:type="dxa"/>
            <w:vAlign w:val="bottom"/>
          </w:tcPr>
          <w:p>
            <w:pPr>
              <w:ind w:left="780"/>
              <w:spacing w:after="0"/>
              <w:rPr>
                <w:sz w:val="20"/>
                <w:szCs w:val="20"/>
                <w:color w:val="auto"/>
              </w:rPr>
            </w:pPr>
            <w:r>
              <w:rPr>
                <w:rFonts w:ascii="Arial" w:cs="Arial" w:eastAsia="Arial" w:hAnsi="Arial"/>
                <w:sz w:val="16"/>
                <w:szCs w:val="16"/>
                <w:color w:val="auto"/>
              </w:rPr>
              <w:t>4.14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60" w:type="dxa"/>
            <w:vAlign w:val="bottom"/>
            <w:tcBorders>
              <w:bottom w:val="single" w:sz="8" w:color="0000FF"/>
            </w:tcBorders>
            <w:gridSpan w:val="20"/>
          </w:tcPr>
          <w:p>
            <w:pPr>
              <w:spacing w:after="0"/>
              <w:rPr>
                <w:rFonts w:ascii="Arial" w:cs="Arial" w:eastAsia="Arial" w:hAnsi="Arial"/>
                <w:sz w:val="16"/>
                <w:szCs w:val="16"/>
                <w:color w:val="0000FF"/>
                <w:w w:val="89"/>
              </w:rPr>
            </w:pPr>
            <w:hyperlink r:id="rId30">
              <w:r>
                <w:rPr>
                  <w:rFonts w:ascii="Arial" w:cs="Arial" w:eastAsia="Arial" w:hAnsi="Arial"/>
                  <w:sz w:val="16"/>
                  <w:szCs w:val="16"/>
                  <w:color w:val="0000FF"/>
                  <w:w w:val="89"/>
                </w:rPr>
                <w:t>Loan and Security Agreement, dated and effective as of August</w:t>
              </w:r>
            </w:hyperlink>
          </w:p>
        </w:tc>
        <w:tc>
          <w:tcPr>
            <w:tcW w:w="200" w:type="dxa"/>
            <w:vAlign w:val="bottom"/>
            <w:gridSpan w:val="5"/>
          </w:tcPr>
          <w:p>
            <w:pPr>
              <w:spacing w:after="0"/>
              <w:rPr>
                <w:sz w:val="19"/>
                <w:szCs w:val="19"/>
                <w:color w:val="auto"/>
              </w:rPr>
            </w:pPr>
          </w:p>
        </w:tc>
        <w:tc>
          <w:tcPr>
            <w:tcW w:w="1640" w:type="dxa"/>
            <w:vAlign w:val="bottom"/>
            <w:gridSpan w:val="2"/>
          </w:tcPr>
          <w:p>
            <w:pPr>
              <w:jc w:val="center"/>
              <w:ind w:left="461"/>
              <w:spacing w:after="0"/>
              <w:rPr>
                <w:sz w:val="20"/>
                <w:szCs w:val="20"/>
                <w:color w:val="auto"/>
              </w:rPr>
            </w:pPr>
            <w:r>
              <w:rPr>
                <w:rFonts w:ascii="Arial" w:cs="Arial" w:eastAsia="Arial" w:hAnsi="Arial"/>
                <w:sz w:val="16"/>
                <w:szCs w:val="16"/>
                <w:color w:val="auto"/>
              </w:rPr>
              <w:t>8-K</w:t>
            </w:r>
          </w:p>
        </w:tc>
        <w:tc>
          <w:tcPr>
            <w:tcW w:w="1480" w:type="dxa"/>
            <w:vAlign w:val="bottom"/>
          </w:tcPr>
          <w:p>
            <w:pPr>
              <w:jc w:val="center"/>
              <w:ind w:left="561"/>
              <w:spacing w:after="0"/>
              <w:rPr>
                <w:sz w:val="20"/>
                <w:szCs w:val="20"/>
                <w:color w:val="auto"/>
              </w:rPr>
            </w:pPr>
            <w:r>
              <w:rPr>
                <w:rFonts w:ascii="Arial" w:cs="Arial" w:eastAsia="Arial" w:hAnsi="Arial"/>
                <w:sz w:val="16"/>
                <w:szCs w:val="16"/>
                <w:color w:val="auto"/>
                <w:w w:val="89"/>
              </w:rPr>
              <w:t>10.1</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8/2/2018</w:t>
            </w:r>
          </w:p>
        </w:tc>
      </w:tr>
      <w:tr>
        <w:trPr>
          <w:trHeight w:val="167"/>
        </w:trPr>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160" w:type="dxa"/>
            <w:vAlign w:val="bottom"/>
            <w:tcBorders>
              <w:bottom w:val="single" w:sz="8" w:color="0000FF"/>
            </w:tcBorders>
            <w:gridSpan w:val="12"/>
          </w:tcPr>
          <w:p>
            <w:pPr>
              <w:spacing w:after="0" w:line="167" w:lineRule="exact"/>
              <w:rPr>
                <w:rFonts w:ascii="Arial" w:cs="Arial" w:eastAsia="Arial" w:hAnsi="Arial"/>
                <w:sz w:val="16"/>
                <w:szCs w:val="16"/>
                <w:color w:val="0000FF"/>
                <w:w w:val="91"/>
              </w:rPr>
            </w:pPr>
            <w:hyperlink r:id="rId30">
              <w:r>
                <w:rPr>
                  <w:rFonts w:ascii="Arial" w:cs="Arial" w:eastAsia="Arial" w:hAnsi="Arial"/>
                  <w:sz w:val="16"/>
                  <w:szCs w:val="16"/>
                  <w:color w:val="0000FF"/>
                  <w:w w:val="91"/>
                </w:rPr>
                <w:t>2, 2018, between Silicon Valley Bank and Fluidigm Corporation.</w:t>
              </w:r>
            </w:hyperlink>
          </w:p>
        </w:tc>
        <w:tc>
          <w:tcPr>
            <w:tcW w:w="760" w:type="dxa"/>
            <w:vAlign w:val="bottom"/>
            <w:gridSpan w:val="16"/>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20"/>
        </w:trPr>
        <w:tc>
          <w:tcPr>
            <w:tcW w:w="1140" w:type="dxa"/>
            <w:vAlign w:val="bottom"/>
          </w:tcPr>
          <w:p>
            <w:pPr>
              <w:ind w:left="780"/>
              <w:spacing w:after="0"/>
              <w:rPr>
                <w:sz w:val="20"/>
                <w:szCs w:val="20"/>
                <w:color w:val="auto"/>
              </w:rPr>
            </w:pPr>
            <w:r>
              <w:rPr>
                <w:rFonts w:ascii="Arial" w:cs="Arial" w:eastAsia="Arial" w:hAnsi="Arial"/>
                <w:sz w:val="16"/>
                <w:szCs w:val="16"/>
                <w:color w:val="auto"/>
              </w:rPr>
              <w:t>4.15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60" w:type="dxa"/>
            <w:vAlign w:val="bottom"/>
            <w:gridSpan w:val="25"/>
          </w:tcPr>
          <w:p>
            <w:pPr>
              <w:spacing w:after="0"/>
              <w:rPr>
                <w:rFonts w:ascii="Arial" w:cs="Arial" w:eastAsia="Arial" w:hAnsi="Arial"/>
                <w:sz w:val="16"/>
                <w:szCs w:val="16"/>
                <w:color w:val="0000FF"/>
              </w:rPr>
            </w:pPr>
            <w:hyperlink r:id="rId31">
              <w:r>
                <w:rPr>
                  <w:rFonts w:ascii="Arial" w:cs="Arial" w:eastAsia="Arial" w:hAnsi="Arial"/>
                  <w:sz w:val="16"/>
                  <w:szCs w:val="16"/>
                  <w:color w:val="0000FF"/>
                </w:rPr>
                <w:t>Default Waiver and First Amendment to Loan and Security</w:t>
              </w:r>
            </w:hyperlink>
          </w:p>
        </w:tc>
        <w:tc>
          <w:tcPr>
            <w:tcW w:w="1640" w:type="dxa"/>
            <w:vAlign w:val="bottom"/>
            <w:gridSpan w:val="2"/>
          </w:tcPr>
          <w:p>
            <w:pPr>
              <w:jc w:val="center"/>
              <w:ind w:left="461"/>
              <w:spacing w:after="0"/>
              <w:rPr>
                <w:sz w:val="20"/>
                <w:szCs w:val="20"/>
                <w:color w:val="auto"/>
              </w:rPr>
            </w:pPr>
            <w:r>
              <w:rPr>
                <w:rFonts w:ascii="Arial" w:cs="Arial" w:eastAsia="Arial" w:hAnsi="Arial"/>
                <w:sz w:val="16"/>
                <w:szCs w:val="16"/>
                <w:color w:val="auto"/>
              </w:rPr>
              <w:t>10-K</w:t>
            </w:r>
          </w:p>
        </w:tc>
        <w:tc>
          <w:tcPr>
            <w:tcW w:w="1600" w:type="dxa"/>
            <w:vAlign w:val="bottom"/>
            <w:gridSpan w:val="2"/>
          </w:tcPr>
          <w:p>
            <w:pPr>
              <w:jc w:val="center"/>
              <w:ind w:left="441"/>
              <w:spacing w:after="0"/>
              <w:rPr>
                <w:sz w:val="20"/>
                <w:szCs w:val="20"/>
                <w:color w:val="auto"/>
              </w:rPr>
            </w:pPr>
            <w:r>
              <w:rPr>
                <w:rFonts w:ascii="Arial" w:cs="Arial" w:eastAsia="Arial" w:hAnsi="Arial"/>
                <w:sz w:val="16"/>
                <w:szCs w:val="16"/>
                <w:color w:val="auto"/>
                <w:w w:val="94"/>
              </w:rPr>
              <w:t>10.13A</w:t>
            </w:r>
          </w:p>
        </w:tc>
        <w:tc>
          <w:tcPr>
            <w:tcW w:w="1280" w:type="dxa"/>
            <w:vAlign w:val="bottom"/>
          </w:tcPr>
          <w:p>
            <w:pPr>
              <w:jc w:val="right"/>
              <w:spacing w:after="0"/>
              <w:rPr>
                <w:sz w:val="20"/>
                <w:szCs w:val="20"/>
                <w:color w:val="auto"/>
              </w:rPr>
            </w:pPr>
            <w:r>
              <w:rPr>
                <w:rFonts w:ascii="Arial" w:cs="Arial" w:eastAsia="Arial" w:hAnsi="Arial"/>
                <w:sz w:val="16"/>
                <w:szCs w:val="16"/>
                <w:color w:val="auto"/>
              </w:rPr>
              <w:t>2/27/202</w:t>
            </w: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920" w:type="dxa"/>
            <w:vAlign w:val="bottom"/>
            <w:gridSpan w:val="9"/>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67"/>
        </w:trPr>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20" w:type="dxa"/>
            <w:vAlign w:val="bottom"/>
            <w:gridSpan w:val="28"/>
          </w:tcPr>
          <w:p>
            <w:pPr>
              <w:spacing w:after="0" w:line="167" w:lineRule="exact"/>
              <w:rPr>
                <w:rFonts w:ascii="Arial" w:cs="Arial" w:eastAsia="Arial" w:hAnsi="Arial"/>
                <w:sz w:val="16"/>
                <w:szCs w:val="16"/>
                <w:color w:val="0000FF"/>
                <w:w w:val="94"/>
              </w:rPr>
            </w:pPr>
            <w:hyperlink r:id="rId31">
              <w:r>
                <w:rPr>
                  <w:rFonts w:ascii="Arial" w:cs="Arial" w:eastAsia="Arial" w:hAnsi="Arial"/>
                  <w:sz w:val="16"/>
                  <w:szCs w:val="16"/>
                  <w:color w:val="0000FF"/>
                  <w:w w:val="94"/>
                </w:rPr>
                <w:t>Agreement, dated September 1, 2018, between Fluidigm Corporation and</w:t>
              </w:r>
            </w:hyperlink>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7"/>
        </w:trPr>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tcBorders>
              <w:top w:val="single" w:sz="8" w:color="0000FF"/>
              <w:bottom w:val="single" w:sz="8" w:color="0000FF"/>
            </w:tcBorders>
            <w:gridSpan w:val="5"/>
          </w:tcPr>
          <w:p>
            <w:pPr>
              <w:spacing w:after="0" w:line="167" w:lineRule="exact"/>
              <w:rPr>
                <w:rFonts w:ascii="Arial" w:cs="Arial" w:eastAsia="Arial" w:hAnsi="Arial"/>
                <w:sz w:val="16"/>
                <w:szCs w:val="16"/>
                <w:color w:val="0000FF"/>
                <w:w w:val="92"/>
              </w:rPr>
            </w:pPr>
            <w:hyperlink r:id="rId31">
              <w:r>
                <w:rPr>
                  <w:rFonts w:ascii="Arial" w:cs="Arial" w:eastAsia="Arial" w:hAnsi="Arial"/>
                  <w:sz w:val="16"/>
                  <w:szCs w:val="16"/>
                  <w:color w:val="0000FF"/>
                  <w:w w:val="92"/>
                </w:rPr>
                <w:t>Silicon Valley Bank.</w:t>
              </w:r>
            </w:hyperlink>
          </w:p>
        </w:tc>
        <w:tc>
          <w:tcPr>
            <w:tcW w:w="3380" w:type="dxa"/>
            <w:vAlign w:val="bottom"/>
            <w:tcBorders>
              <w:top w:val="single" w:sz="8" w:color="0000FF"/>
            </w:tcBorders>
            <w:gridSpan w:val="17"/>
          </w:tcPr>
          <w:p>
            <w:pPr>
              <w:spacing w:after="0"/>
              <w:rPr>
                <w:sz w:val="14"/>
                <w:szCs w:val="14"/>
                <w:color w:val="auto"/>
              </w:rPr>
            </w:pPr>
          </w:p>
        </w:tc>
        <w:tc>
          <w:tcPr>
            <w:tcW w:w="220" w:type="dxa"/>
            <w:vAlign w:val="bottom"/>
            <w:gridSpan w:val="6"/>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20"/>
        </w:trPr>
        <w:tc>
          <w:tcPr>
            <w:tcW w:w="1140" w:type="dxa"/>
            <w:vAlign w:val="bottom"/>
          </w:tcPr>
          <w:p>
            <w:pPr>
              <w:ind w:left="780"/>
              <w:spacing w:after="0"/>
              <w:rPr>
                <w:sz w:val="20"/>
                <w:szCs w:val="20"/>
                <w:color w:val="auto"/>
              </w:rPr>
            </w:pPr>
            <w:r>
              <w:rPr>
                <w:rFonts w:ascii="Arial" w:cs="Arial" w:eastAsia="Arial" w:hAnsi="Arial"/>
                <w:sz w:val="16"/>
                <w:szCs w:val="16"/>
                <w:color w:val="auto"/>
              </w:rPr>
              <w:t>4.16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60" w:type="dxa"/>
            <w:vAlign w:val="bottom"/>
            <w:tcBorders>
              <w:bottom w:val="single" w:sz="8" w:color="0000FF"/>
            </w:tcBorders>
            <w:gridSpan w:val="14"/>
          </w:tcPr>
          <w:p>
            <w:pPr>
              <w:spacing w:after="0"/>
              <w:rPr>
                <w:rFonts w:ascii="Arial" w:cs="Arial" w:eastAsia="Arial" w:hAnsi="Arial"/>
                <w:sz w:val="16"/>
                <w:szCs w:val="16"/>
                <w:color w:val="0000FF"/>
                <w:w w:val="89"/>
              </w:rPr>
            </w:pPr>
            <w:hyperlink r:id="rId32">
              <w:r>
                <w:rPr>
                  <w:rFonts w:ascii="Arial" w:cs="Arial" w:eastAsia="Arial" w:hAnsi="Arial"/>
                  <w:sz w:val="16"/>
                  <w:szCs w:val="16"/>
                  <w:color w:val="0000FF"/>
                  <w:w w:val="89"/>
                </w:rPr>
                <w:t>Second Amendment to Loan and Security Agreement, dated</w:t>
              </w:r>
            </w:hyperlink>
          </w:p>
        </w:tc>
        <w:tc>
          <w:tcPr>
            <w:tcW w:w="400" w:type="dxa"/>
            <w:vAlign w:val="bottom"/>
            <w:gridSpan w:val="11"/>
          </w:tcPr>
          <w:p>
            <w:pPr>
              <w:spacing w:after="0"/>
              <w:rPr>
                <w:sz w:val="19"/>
                <w:szCs w:val="19"/>
                <w:color w:val="auto"/>
              </w:rPr>
            </w:pPr>
          </w:p>
        </w:tc>
        <w:tc>
          <w:tcPr>
            <w:tcW w:w="1640" w:type="dxa"/>
            <w:vAlign w:val="bottom"/>
            <w:gridSpan w:val="2"/>
          </w:tcPr>
          <w:p>
            <w:pPr>
              <w:jc w:val="center"/>
              <w:ind w:left="461"/>
              <w:spacing w:after="0"/>
              <w:rPr>
                <w:sz w:val="20"/>
                <w:szCs w:val="20"/>
                <w:color w:val="auto"/>
              </w:rPr>
            </w:pPr>
            <w:r>
              <w:rPr>
                <w:rFonts w:ascii="Arial" w:cs="Arial" w:eastAsia="Arial" w:hAnsi="Arial"/>
                <w:sz w:val="16"/>
                <w:szCs w:val="16"/>
                <w:color w:val="auto"/>
              </w:rPr>
              <w:t>8-K</w:t>
            </w:r>
          </w:p>
        </w:tc>
        <w:tc>
          <w:tcPr>
            <w:tcW w:w="1480" w:type="dxa"/>
            <w:vAlign w:val="bottom"/>
          </w:tcPr>
          <w:p>
            <w:pPr>
              <w:jc w:val="center"/>
              <w:ind w:left="561"/>
              <w:spacing w:after="0"/>
              <w:rPr>
                <w:sz w:val="20"/>
                <w:szCs w:val="20"/>
                <w:color w:val="auto"/>
              </w:rPr>
            </w:pPr>
            <w:r>
              <w:rPr>
                <w:rFonts w:ascii="Arial" w:cs="Arial" w:eastAsia="Arial" w:hAnsi="Arial"/>
                <w:sz w:val="16"/>
                <w:szCs w:val="16"/>
                <w:color w:val="auto"/>
                <w:w w:val="89"/>
              </w:rPr>
              <w:t>10.2</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11/22/201</w:t>
            </w:r>
          </w:p>
        </w:tc>
      </w:tr>
      <w:tr>
        <w:trPr>
          <w:trHeight w:val="167"/>
        </w:trPr>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40" w:type="dxa"/>
            <w:vAlign w:val="bottom"/>
            <w:tcBorders>
              <w:bottom w:val="single" w:sz="8" w:color="0000FF"/>
            </w:tcBorders>
            <w:gridSpan w:val="18"/>
          </w:tcPr>
          <w:p>
            <w:pPr>
              <w:spacing w:after="0" w:line="167" w:lineRule="exact"/>
              <w:rPr>
                <w:rFonts w:ascii="Arial" w:cs="Arial" w:eastAsia="Arial" w:hAnsi="Arial"/>
                <w:sz w:val="16"/>
                <w:szCs w:val="16"/>
                <w:color w:val="0000FF"/>
                <w:w w:val="91"/>
              </w:rPr>
            </w:pPr>
            <w:hyperlink r:id="rId32">
              <w:r>
                <w:rPr>
                  <w:rFonts w:ascii="Arial" w:cs="Arial" w:eastAsia="Arial" w:hAnsi="Arial"/>
                  <w:sz w:val="16"/>
                  <w:szCs w:val="16"/>
                  <w:color w:val="0000FF"/>
                  <w:w w:val="91"/>
                </w:rPr>
                <w:t>November 20, 2019, between Fluidigm Corporation and Silicon Valley</w:t>
              </w:r>
            </w:hyperlink>
          </w:p>
        </w:tc>
        <w:tc>
          <w:tcPr>
            <w:tcW w:w="380" w:type="dxa"/>
            <w:vAlign w:val="bottom"/>
            <w:gridSpan w:val="10"/>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7"/>
        </w:trPr>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20" w:type="dxa"/>
            <w:vAlign w:val="bottom"/>
            <w:gridSpan w:val="28"/>
          </w:tcPr>
          <w:p>
            <w:pPr>
              <w:spacing w:after="0" w:line="167" w:lineRule="exact"/>
              <w:rPr>
                <w:rFonts w:ascii="Arial" w:cs="Arial" w:eastAsia="Arial" w:hAnsi="Arial"/>
                <w:sz w:val="16"/>
                <w:szCs w:val="16"/>
                <w:color w:val="0000FF"/>
              </w:rPr>
            </w:pPr>
            <w:hyperlink r:id="rId32">
              <w:r>
                <w:rPr>
                  <w:rFonts w:ascii="Arial" w:cs="Arial" w:eastAsia="Arial" w:hAnsi="Arial"/>
                  <w:sz w:val="16"/>
                  <w:szCs w:val="16"/>
                  <w:color w:val="0000FF"/>
                </w:rPr>
                <w:t>Bank.</w:t>
              </w:r>
            </w:hyperlink>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20"/>
        </w:trPr>
        <w:tc>
          <w:tcPr>
            <w:tcW w:w="1140" w:type="dxa"/>
            <w:vAlign w:val="bottom"/>
          </w:tcPr>
          <w:p>
            <w:pPr>
              <w:ind w:left="780"/>
              <w:spacing w:after="0"/>
              <w:rPr>
                <w:sz w:val="20"/>
                <w:szCs w:val="20"/>
                <w:color w:val="auto"/>
              </w:rPr>
            </w:pPr>
            <w:r>
              <w:rPr>
                <w:rFonts w:ascii="Arial" w:cs="Arial" w:eastAsia="Arial" w:hAnsi="Arial"/>
                <w:sz w:val="16"/>
                <w:szCs w:val="16"/>
                <w:color w:val="auto"/>
              </w:rPr>
              <w:t>4.17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80" w:type="dxa"/>
            <w:vAlign w:val="bottom"/>
          </w:tcPr>
          <w:p>
            <w:pPr>
              <w:spacing w:after="0"/>
              <w:rPr>
                <w:sz w:val="19"/>
                <w:szCs w:val="19"/>
                <w:color w:val="auto"/>
              </w:rPr>
            </w:pPr>
          </w:p>
        </w:tc>
        <w:tc>
          <w:tcPr>
            <w:tcW w:w="4100" w:type="dxa"/>
            <w:vAlign w:val="bottom"/>
            <w:tcBorders>
              <w:bottom w:val="single" w:sz="8" w:color="0000FF"/>
            </w:tcBorders>
            <w:gridSpan w:val="21"/>
          </w:tcPr>
          <w:p>
            <w:pPr>
              <w:spacing w:after="0"/>
              <w:rPr>
                <w:rFonts w:ascii="Arial" w:cs="Arial" w:eastAsia="Arial" w:hAnsi="Arial"/>
                <w:sz w:val="16"/>
                <w:szCs w:val="16"/>
                <w:color w:val="0000FF"/>
                <w:w w:val="91"/>
              </w:rPr>
            </w:pPr>
            <w:hyperlink r:id="rId33">
              <w:r>
                <w:rPr>
                  <w:rFonts w:ascii="Arial" w:cs="Arial" w:eastAsia="Arial" w:hAnsi="Arial"/>
                  <w:sz w:val="16"/>
                  <w:szCs w:val="16"/>
                  <w:color w:val="0000FF"/>
                  <w:w w:val="91"/>
                </w:rPr>
                <w:t>Third Amendment to Loan and Security Agreement, dated April</w:t>
              </w:r>
            </w:hyperlink>
          </w:p>
        </w:tc>
        <w:tc>
          <w:tcPr>
            <w:tcW w:w="160" w:type="dxa"/>
            <w:vAlign w:val="bottom"/>
            <w:gridSpan w:val="4"/>
          </w:tcPr>
          <w:p>
            <w:pPr>
              <w:spacing w:after="0"/>
              <w:rPr>
                <w:sz w:val="19"/>
                <w:szCs w:val="19"/>
                <w:color w:val="auto"/>
              </w:rPr>
            </w:pPr>
          </w:p>
        </w:tc>
        <w:tc>
          <w:tcPr>
            <w:tcW w:w="1640" w:type="dxa"/>
            <w:vAlign w:val="bottom"/>
            <w:gridSpan w:val="2"/>
          </w:tcPr>
          <w:p>
            <w:pPr>
              <w:jc w:val="center"/>
              <w:ind w:left="461"/>
              <w:spacing w:after="0"/>
              <w:rPr>
                <w:sz w:val="20"/>
                <w:szCs w:val="20"/>
                <w:color w:val="auto"/>
              </w:rPr>
            </w:pPr>
            <w:r>
              <w:rPr>
                <w:rFonts w:ascii="Arial" w:cs="Arial" w:eastAsia="Arial" w:hAnsi="Arial"/>
                <w:sz w:val="16"/>
                <w:szCs w:val="16"/>
                <w:color w:val="auto"/>
              </w:rPr>
              <w:t>8-K</w:t>
            </w:r>
          </w:p>
        </w:tc>
        <w:tc>
          <w:tcPr>
            <w:tcW w:w="1480" w:type="dxa"/>
            <w:vAlign w:val="bottom"/>
          </w:tcPr>
          <w:p>
            <w:pPr>
              <w:jc w:val="center"/>
              <w:ind w:left="561"/>
              <w:spacing w:after="0"/>
              <w:rPr>
                <w:sz w:val="20"/>
                <w:szCs w:val="20"/>
                <w:color w:val="auto"/>
              </w:rPr>
            </w:pPr>
            <w:r>
              <w:rPr>
                <w:rFonts w:ascii="Arial" w:cs="Arial" w:eastAsia="Arial" w:hAnsi="Arial"/>
                <w:sz w:val="16"/>
                <w:szCs w:val="16"/>
                <w:color w:val="auto"/>
                <w:w w:val="89"/>
              </w:rPr>
              <w:t>10.1</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4/22/202</w:t>
            </w:r>
          </w:p>
        </w:tc>
      </w:tr>
      <w:tr>
        <w:trPr>
          <w:trHeight w:val="167"/>
        </w:trPr>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40" w:type="dxa"/>
            <w:vAlign w:val="bottom"/>
            <w:tcBorders>
              <w:bottom w:val="single" w:sz="8" w:color="0000FF"/>
            </w:tcBorders>
            <w:gridSpan w:val="14"/>
          </w:tcPr>
          <w:p>
            <w:pPr>
              <w:spacing w:after="0" w:line="167" w:lineRule="exact"/>
              <w:rPr>
                <w:rFonts w:ascii="Arial" w:cs="Arial" w:eastAsia="Arial" w:hAnsi="Arial"/>
                <w:sz w:val="16"/>
                <w:szCs w:val="16"/>
                <w:color w:val="0000FF"/>
                <w:w w:val="91"/>
              </w:rPr>
            </w:pPr>
            <w:hyperlink r:id="rId33">
              <w:r>
                <w:rPr>
                  <w:rFonts w:ascii="Arial" w:cs="Arial" w:eastAsia="Arial" w:hAnsi="Arial"/>
                  <w:sz w:val="16"/>
                  <w:szCs w:val="16"/>
                  <w:color w:val="0000FF"/>
                  <w:w w:val="91"/>
                </w:rPr>
                <w:t>21, 2020, between Fluidigm Corporation and Silicon Valley Bank.</w:t>
              </w:r>
            </w:hyperlink>
          </w:p>
        </w:tc>
        <w:tc>
          <w:tcPr>
            <w:tcW w:w="680" w:type="dxa"/>
            <w:vAlign w:val="bottom"/>
            <w:gridSpan w:val="14"/>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11340"/>
          </w:cols>
          <w:pgMar w:left="320" w:top="14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340"/>
          </w:cols>
          <w:pgMar w:left="320" w:top="1440" w:right="239" w:bottom="1440" w:gutter="0" w:footer="0" w:header="0"/>
          <w:type w:val="continuous"/>
        </w:sectPr>
      </w:pPr>
    </w:p>
    <w:bookmarkStart w:id="6" w:name="page7"/>
    <w:bookmarkEnd w:id="6"/>
    <w:p>
      <w:pPr>
        <w:spacing w:after="0" w:line="264"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tcPr>
          <w:p>
            <w:pPr>
              <w:jc w:val="center"/>
              <w:ind w:left="444"/>
              <w:spacing w:after="0"/>
              <w:rPr>
                <w:sz w:val="20"/>
                <w:szCs w:val="20"/>
                <w:color w:val="auto"/>
              </w:rPr>
            </w:pPr>
            <w:r>
              <w:rPr>
                <w:rFonts w:ascii="Arial" w:cs="Arial" w:eastAsia="Arial" w:hAnsi="Arial"/>
                <w:sz w:val="14"/>
                <w:szCs w:val="14"/>
                <w:b w:val="1"/>
                <w:bCs w:val="1"/>
                <w:color w:val="auto"/>
                <w:w w:val="95"/>
              </w:rPr>
              <w:t>Incorporated</w:t>
            </w:r>
          </w:p>
        </w:tc>
        <w:tc>
          <w:tcPr>
            <w:tcW w:w="1600" w:type="dxa"/>
            <w:vAlign w:val="bottom"/>
            <w:gridSpan w:val="2"/>
          </w:tcPr>
          <w:p>
            <w:pPr>
              <w:ind w:left="660"/>
              <w:spacing w:after="0"/>
              <w:rPr>
                <w:sz w:val="20"/>
                <w:szCs w:val="20"/>
                <w:color w:val="auto"/>
              </w:rPr>
            </w:pPr>
            <w:r>
              <w:rPr>
                <w:rFonts w:ascii="Arial" w:cs="Arial" w:eastAsia="Arial" w:hAnsi="Arial"/>
                <w:sz w:val="14"/>
                <w:szCs w:val="14"/>
                <w:b w:val="1"/>
                <w:bCs w:val="1"/>
                <w:color w:val="auto"/>
              </w:rPr>
              <w:t>Incorporated</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240" w:type="dxa"/>
            <w:vAlign w:val="bottom"/>
            <w:gridSpan w:val="2"/>
          </w:tcPr>
          <w:p>
            <w:pPr>
              <w:ind w:left="66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by Reference From</w:t>
            </w: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by Reference From</w:t>
            </w:r>
          </w:p>
        </w:tc>
        <w:tc>
          <w:tcPr>
            <w:tcW w:w="1100" w:type="dxa"/>
            <w:vAlign w:val="bottom"/>
          </w:tcPr>
          <w:p>
            <w:pPr>
              <w:ind w:left="80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85"/>
        </w:trPr>
        <w:tc>
          <w:tcPr>
            <w:tcW w:w="1240" w:type="dxa"/>
            <w:vAlign w:val="bottom"/>
            <w:gridSpan w:val="2"/>
          </w:tcPr>
          <w:p>
            <w:pPr>
              <w:ind w:left="3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540" w:type="dxa"/>
            <w:vAlign w:val="bottom"/>
            <w:gridSpan w:val="4"/>
          </w:tcPr>
          <w:p>
            <w:pPr>
              <w:ind w:left="880"/>
              <w:spacing w:after="0"/>
              <w:rPr>
                <w:sz w:val="20"/>
                <w:szCs w:val="20"/>
                <w:color w:val="auto"/>
              </w:rPr>
            </w:pPr>
            <w:r>
              <w:rPr>
                <w:rFonts w:ascii="Arial" w:cs="Arial" w:eastAsia="Arial" w:hAnsi="Arial"/>
                <w:sz w:val="14"/>
                <w:szCs w:val="14"/>
                <w:b w:val="1"/>
                <w:bCs w:val="1"/>
                <w:color w:val="auto"/>
              </w:rPr>
              <w:t>Description</w:t>
            </w: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Form</w:t>
            </w: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Exhibit Number</w:t>
            </w:r>
          </w:p>
        </w:tc>
        <w:tc>
          <w:tcPr>
            <w:tcW w:w="1100" w:type="dxa"/>
            <w:vAlign w:val="bottom"/>
          </w:tcPr>
          <w:p>
            <w:pPr>
              <w:ind w:left="460"/>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25"/>
        </w:trPr>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140" w:type="dxa"/>
            <w:vAlign w:val="bottom"/>
          </w:tcPr>
          <w:p>
            <w:pPr>
              <w:jc w:val="right"/>
              <w:ind w:right="83"/>
              <w:spacing w:after="0" w:line="180" w:lineRule="exact"/>
              <w:rPr>
                <w:sz w:val="20"/>
                <w:szCs w:val="20"/>
                <w:color w:val="auto"/>
              </w:rPr>
            </w:pPr>
            <w:r>
              <w:rPr>
                <w:rFonts w:ascii="Arial" w:cs="Arial" w:eastAsia="Arial" w:hAnsi="Arial"/>
                <w:sz w:val="16"/>
                <w:szCs w:val="16"/>
                <w:color w:val="auto"/>
              </w:rPr>
              <w:t>5.1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40" w:type="dxa"/>
            <w:vAlign w:val="bottom"/>
            <w:tcBorders>
              <w:bottom w:val="single" w:sz="8" w:color="0000FF"/>
            </w:tcBorders>
            <w:gridSpan w:val="3"/>
          </w:tcPr>
          <w:p>
            <w:pPr>
              <w:spacing w:after="0" w:line="180" w:lineRule="exact"/>
              <w:rPr>
                <w:rFonts w:ascii="Arial" w:cs="Arial" w:eastAsia="Arial" w:hAnsi="Arial"/>
                <w:sz w:val="16"/>
                <w:szCs w:val="16"/>
                <w:color w:val="0000FF"/>
                <w:w w:val="92"/>
              </w:rPr>
            </w:pPr>
            <w:hyperlink w:anchor="page10">
              <w:r>
                <w:rPr>
                  <w:rFonts w:ascii="Arial" w:cs="Arial" w:eastAsia="Arial" w:hAnsi="Arial"/>
                  <w:sz w:val="16"/>
                  <w:szCs w:val="16"/>
                  <w:color w:val="0000FF"/>
                  <w:w w:val="92"/>
                </w:rPr>
                <w:t>Opinion of Wilson Sonsini Goodrich &amp; Rosati, Professional</w:t>
              </w:r>
            </w:hyperlink>
          </w:p>
        </w:tc>
        <w:tc>
          <w:tcPr>
            <w:tcW w:w="640" w:type="dxa"/>
            <w:vAlign w:val="bottom"/>
            <w:gridSpan w:val="3"/>
          </w:tcPr>
          <w:p>
            <w:pPr>
              <w:spacing w:after="0"/>
              <w:rPr>
                <w:sz w:val="15"/>
                <w:szCs w:val="15"/>
                <w:color w:val="auto"/>
              </w:rPr>
            </w:pPr>
          </w:p>
        </w:tc>
        <w:tc>
          <w:tcPr>
            <w:tcW w:w="1620" w:type="dxa"/>
            <w:vAlign w:val="bottom"/>
            <w:gridSpan w:val="2"/>
          </w:tcPr>
          <w:p>
            <w:pPr>
              <w:jc w:val="center"/>
              <w:ind w:left="444"/>
              <w:spacing w:after="0" w:line="180" w:lineRule="exact"/>
              <w:rPr>
                <w:sz w:val="20"/>
                <w:szCs w:val="20"/>
                <w:color w:val="auto"/>
              </w:rPr>
            </w:pPr>
            <w:r>
              <w:rPr>
                <w:rFonts w:ascii="Arial" w:cs="Arial" w:eastAsia="Arial" w:hAnsi="Arial"/>
                <w:sz w:val="16"/>
                <w:szCs w:val="16"/>
                <w:color w:val="auto"/>
                <w:w w:val="97"/>
              </w:rPr>
              <w:t>Filed</w:t>
            </w: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140" w:type="dxa"/>
            <w:vAlign w:val="bottom"/>
            <w:gridSpan w:val="8"/>
          </w:tcPr>
          <w:p>
            <w:pPr>
              <w:ind w:left="20"/>
              <w:spacing w:after="0" w:line="167" w:lineRule="exact"/>
              <w:rPr>
                <w:rFonts w:ascii="Arial" w:cs="Arial" w:eastAsia="Arial" w:hAnsi="Arial"/>
                <w:sz w:val="16"/>
                <w:szCs w:val="16"/>
                <w:color w:val="0000FF"/>
              </w:rPr>
            </w:pPr>
            <w:hyperlink w:anchor="page10">
              <w:r>
                <w:rPr>
                  <w:rFonts w:ascii="Arial" w:cs="Arial" w:eastAsia="Arial" w:hAnsi="Arial"/>
                  <w:sz w:val="16"/>
                  <w:szCs w:val="16"/>
                  <w:color w:val="0000FF"/>
                </w:rPr>
                <w:t>Corporation.</w:t>
              </w:r>
            </w:hyperlink>
          </w:p>
        </w:tc>
        <w:tc>
          <w:tcPr>
            <w:tcW w:w="1620" w:type="dxa"/>
            <w:vAlign w:val="bottom"/>
            <w:gridSpan w:val="2"/>
          </w:tcPr>
          <w:p>
            <w:pPr>
              <w:jc w:val="center"/>
              <w:ind w:right="100"/>
              <w:spacing w:after="0" w:line="167" w:lineRule="exact"/>
              <w:rPr>
                <w:sz w:val="20"/>
                <w:szCs w:val="20"/>
                <w:color w:val="auto"/>
              </w:rPr>
            </w:pPr>
            <w:r>
              <w:rPr>
                <w:rFonts w:ascii="Arial" w:cs="Arial" w:eastAsia="Arial" w:hAnsi="Arial"/>
                <w:sz w:val="16"/>
                <w:szCs w:val="16"/>
                <w:color w:val="auto"/>
                <w:w w:val="92"/>
              </w:rPr>
              <w:t>herewith.</w:t>
            </w: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140" w:type="dxa"/>
            <w:vAlign w:val="bottom"/>
          </w:tcPr>
          <w:p>
            <w:pPr>
              <w:jc w:val="right"/>
              <w:ind w:right="83"/>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80" w:type="dxa"/>
            <w:vAlign w:val="bottom"/>
            <w:gridSpan w:val="6"/>
          </w:tcPr>
          <w:p>
            <w:pPr>
              <w:spacing w:after="0"/>
              <w:rPr>
                <w:rFonts w:ascii="Arial" w:cs="Arial" w:eastAsia="Arial" w:hAnsi="Arial"/>
                <w:sz w:val="16"/>
                <w:szCs w:val="16"/>
                <w:color w:val="0000FF"/>
                <w:w w:val="94"/>
              </w:rPr>
            </w:pPr>
            <w:hyperlink w:anchor="page11">
              <w:r>
                <w:rPr>
                  <w:rFonts w:ascii="Arial" w:cs="Arial" w:eastAsia="Arial" w:hAnsi="Arial"/>
                  <w:sz w:val="16"/>
                  <w:szCs w:val="16"/>
                  <w:color w:val="0000FF"/>
                  <w:w w:val="94"/>
                </w:rPr>
                <w:t>Consent of PricewaterhouseCoopers LLP, Independent Registered</w:t>
              </w:r>
            </w:hyperlink>
          </w:p>
        </w:tc>
        <w:tc>
          <w:tcPr>
            <w:tcW w:w="1620" w:type="dxa"/>
            <w:vAlign w:val="bottom"/>
            <w:gridSpan w:val="2"/>
          </w:tcPr>
          <w:p>
            <w:pPr>
              <w:jc w:val="center"/>
              <w:ind w:left="444"/>
              <w:spacing w:after="0"/>
              <w:rPr>
                <w:sz w:val="20"/>
                <w:szCs w:val="20"/>
                <w:color w:val="auto"/>
              </w:rPr>
            </w:pPr>
            <w:r>
              <w:rPr>
                <w:rFonts w:ascii="Arial" w:cs="Arial" w:eastAsia="Arial" w:hAnsi="Arial"/>
                <w:sz w:val="16"/>
                <w:szCs w:val="16"/>
                <w:color w:val="auto"/>
                <w:w w:val="97"/>
              </w:rPr>
              <w:t>Filed</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3280" w:type="dxa"/>
            <w:vAlign w:val="bottom"/>
            <w:gridSpan w:val="2"/>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w w:val="92"/>
              </w:rPr>
              <w:t>herewith.</w:t>
            </w: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140" w:type="dxa"/>
            <w:vAlign w:val="bottom"/>
            <w:gridSpan w:val="8"/>
          </w:tcPr>
          <w:p>
            <w:pPr>
              <w:ind w:left="20"/>
              <w:spacing w:after="0" w:line="167" w:lineRule="exact"/>
              <w:rPr>
                <w:rFonts w:ascii="Arial" w:cs="Arial" w:eastAsia="Arial" w:hAnsi="Arial"/>
                <w:sz w:val="16"/>
                <w:szCs w:val="16"/>
                <w:color w:val="0000FF"/>
              </w:rPr>
            </w:pPr>
            <w:hyperlink w:anchor="page11">
              <w:r>
                <w:rPr>
                  <w:rFonts w:ascii="Arial" w:cs="Arial" w:eastAsia="Arial" w:hAnsi="Arial"/>
                  <w:sz w:val="16"/>
                  <w:szCs w:val="16"/>
                  <w:color w:val="0000FF"/>
                </w:rPr>
                <w:t>Public Accounting Firm.</w:t>
              </w:r>
            </w:hyperlink>
          </w:p>
        </w:tc>
        <w:tc>
          <w:tcPr>
            <w:tcW w:w="1620" w:type="dxa"/>
            <w:vAlign w:val="bottom"/>
            <w:gridSpan w:val="2"/>
            <w:vMerge w:val="continue"/>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3540" w:type="dxa"/>
            <w:vAlign w:val="bottom"/>
            <w:gridSpan w:val="4"/>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40" w:type="dxa"/>
            <w:vAlign w:val="bottom"/>
          </w:tcPr>
          <w:p>
            <w:pPr>
              <w:jc w:val="right"/>
              <w:ind w:right="83"/>
              <w:spacing w:after="0"/>
              <w:rPr>
                <w:sz w:val="20"/>
                <w:szCs w:val="20"/>
                <w:color w:val="auto"/>
              </w:rPr>
            </w:pPr>
            <w:r>
              <w:rPr>
                <w:rFonts w:ascii="Arial" w:cs="Arial" w:eastAsia="Arial" w:hAnsi="Arial"/>
                <w:sz w:val="16"/>
                <w:szCs w:val="16"/>
                <w:color w:val="auto"/>
              </w:rPr>
              <w:t>23.2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80" w:type="dxa"/>
            <w:vAlign w:val="bottom"/>
            <w:gridSpan w:val="6"/>
          </w:tcPr>
          <w:p>
            <w:pPr>
              <w:spacing w:after="0"/>
              <w:rPr>
                <w:sz w:val="20"/>
                <w:szCs w:val="20"/>
                <w:color w:val="auto"/>
              </w:rPr>
            </w:pPr>
            <w:r>
              <w:rPr>
                <w:rFonts w:ascii="Arial" w:cs="Arial" w:eastAsia="Arial" w:hAnsi="Arial"/>
                <w:sz w:val="16"/>
                <w:szCs w:val="16"/>
                <w:color w:val="auto"/>
              </w:rPr>
              <w:t>Consent of Wilson Sonsini Goodrich &amp; Rosati, Professional</w:t>
            </w: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140" w:type="dxa"/>
            <w:vAlign w:val="bottom"/>
            <w:gridSpan w:val="8"/>
          </w:tcPr>
          <w:p>
            <w:pPr>
              <w:ind w:left="20"/>
              <w:spacing w:after="0"/>
              <w:rPr>
                <w:sz w:val="20"/>
                <w:szCs w:val="20"/>
                <w:color w:val="auto"/>
              </w:rPr>
            </w:pPr>
            <w:r>
              <w:rPr>
                <w:rFonts w:ascii="Arial" w:cs="Arial" w:eastAsia="Arial" w:hAnsi="Arial"/>
                <w:sz w:val="16"/>
                <w:szCs w:val="16"/>
                <w:color w:val="auto"/>
              </w:rPr>
              <w:t>Corporation (contained in Exhibit 5.1 hereto).</w:t>
            </w: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1140" w:type="dxa"/>
            <w:vAlign w:val="bottom"/>
          </w:tcPr>
          <w:p>
            <w:pPr>
              <w:jc w:val="right"/>
              <w:ind w:right="83"/>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80" w:type="dxa"/>
            <w:vAlign w:val="bottom"/>
            <w:gridSpan w:val="6"/>
          </w:tcPr>
          <w:p>
            <w:pPr>
              <w:spacing w:after="0"/>
              <w:rPr>
                <w:sz w:val="20"/>
                <w:szCs w:val="20"/>
                <w:color w:val="auto"/>
              </w:rPr>
            </w:pPr>
            <w:r>
              <w:rPr>
                <w:rFonts w:ascii="Arial" w:cs="Arial" w:eastAsia="Arial" w:hAnsi="Arial"/>
                <w:sz w:val="16"/>
                <w:szCs w:val="16"/>
                <w:color w:val="auto"/>
              </w:rPr>
              <w:t>Power of Attorney (contained on signature page hereto).</w:t>
            </w: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_________________________</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 Indicates management contract or compensatory plan, contract, or arrangement.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 The undersigned Registrant hereby undertakes:</w:t>
      </w:r>
    </w:p>
    <w:p>
      <w:pPr>
        <w:spacing w:after="0" w:line="207" w:lineRule="exact"/>
        <w:rPr>
          <w:sz w:val="20"/>
          <w:szCs w:val="20"/>
          <w:color w:val="auto"/>
        </w:rPr>
      </w:pPr>
    </w:p>
    <w:p>
      <w:pPr>
        <w:ind w:left="900" w:hanging="25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93" w:lineRule="exact"/>
        <w:rPr>
          <w:rFonts w:ascii="Arial" w:cs="Arial" w:eastAsia="Arial" w:hAnsi="Arial"/>
          <w:sz w:val="18"/>
          <w:szCs w:val="18"/>
          <w:color w:val="auto"/>
        </w:rPr>
      </w:pPr>
    </w:p>
    <w:p>
      <w:pPr>
        <w:ind w:left="1500" w:hanging="212"/>
        <w:spacing w:after="0"/>
        <w:tabs>
          <w:tab w:leader="none" w:pos="15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06" w:lineRule="exact"/>
        <w:rPr>
          <w:rFonts w:ascii="Arial" w:cs="Arial" w:eastAsia="Arial" w:hAnsi="Arial"/>
          <w:sz w:val="18"/>
          <w:szCs w:val="18"/>
          <w:color w:val="auto"/>
        </w:rPr>
      </w:pPr>
    </w:p>
    <w:p>
      <w:pPr>
        <w:ind w:left="1280" w:right="200" w:firstLine="8"/>
        <w:spacing w:after="0" w:line="268" w:lineRule="auto"/>
        <w:tabs>
          <w:tab w:leader="none" w:pos="1542" w:val="left"/>
        </w:tabs>
        <w:numPr>
          <w:ilvl w:val="1"/>
          <w:numId w:val="4"/>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66" w:lineRule="exact"/>
        <w:rPr>
          <w:rFonts w:ascii="Arial" w:cs="Arial" w:eastAsia="Arial" w:hAnsi="Arial"/>
          <w:sz w:val="17"/>
          <w:szCs w:val="17"/>
          <w:color w:val="auto"/>
        </w:rPr>
      </w:pPr>
    </w:p>
    <w:p>
      <w:pPr>
        <w:ind w:left="1280" w:right="340" w:firstLine="8"/>
        <w:spacing w:after="0" w:line="270" w:lineRule="auto"/>
        <w:tabs>
          <w:tab w:leader="none" w:pos="1591"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48" w:lineRule="exact"/>
        <w:rPr>
          <w:sz w:val="20"/>
          <w:szCs w:val="20"/>
          <w:color w:val="auto"/>
        </w:rPr>
      </w:pPr>
    </w:p>
    <w:p>
      <w:pPr>
        <w:ind w:right="380"/>
        <w:spacing w:after="0" w:line="258"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and (A)(1)(ii) do not apply if the information required to be included in a post-effective amendment by those</w:t>
      </w:r>
      <w:r>
        <w:rPr>
          <w:rFonts w:ascii="Arial" w:cs="Arial" w:eastAsia="Arial" w:hAnsi="Arial"/>
          <w:sz w:val="18"/>
          <w:szCs w:val="18"/>
          <w:i w:val="1"/>
          <w:iCs w:val="1"/>
          <w:color w:val="auto"/>
        </w:rPr>
        <w:t xml:space="preserve"> </w:t>
      </w:r>
      <w:r>
        <w:rPr>
          <w:rFonts w:ascii="Arial" w:cs="Arial" w:eastAsia="Arial" w:hAnsi="Arial"/>
          <w:sz w:val="18"/>
          <w:szCs w:val="18"/>
          <w:color w:val="auto"/>
        </w:rPr>
        <w:t>paragraphs is contained in reports filed with or furnished to the Commission by the Registrant pursuant to Section 13 or Section 15(d) of the Securities Exchange Act of 1934 that are incorporated by reference in this Registration Statement.</w:t>
      </w:r>
    </w:p>
    <w:p>
      <w:pPr>
        <w:spacing w:after="0" w:line="173" w:lineRule="exact"/>
        <w:rPr>
          <w:sz w:val="20"/>
          <w:szCs w:val="20"/>
          <w:color w:val="auto"/>
        </w:rPr>
      </w:pPr>
    </w:p>
    <w:p>
      <w:pPr>
        <w:ind w:left="640" w:right="220" w:firstLine="7"/>
        <w:spacing w:after="0" w:line="258" w:lineRule="auto"/>
        <w:tabs>
          <w:tab w:leader="none" w:pos="892" w:val="left"/>
        </w:tabs>
        <w:numPr>
          <w:ilvl w:val="1"/>
          <w:numId w:val="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herein, and the offering of such securities at that time shall be deemed to be the initial bona fide offering thereof.</w:t>
      </w:r>
    </w:p>
    <w:p>
      <w:pPr>
        <w:spacing w:after="0" w:line="173" w:lineRule="exact"/>
        <w:rPr>
          <w:rFonts w:ascii="Arial" w:cs="Arial" w:eastAsia="Arial" w:hAnsi="Arial"/>
          <w:sz w:val="18"/>
          <w:szCs w:val="18"/>
          <w:color w:val="auto"/>
        </w:rPr>
      </w:pPr>
    </w:p>
    <w:p>
      <w:pPr>
        <w:ind w:left="640" w:right="880" w:firstLine="7"/>
        <w:spacing w:after="0" w:line="270" w:lineRule="auto"/>
        <w:tabs>
          <w:tab w:leader="none" w:pos="892"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48" w:lineRule="exact"/>
        <w:rPr>
          <w:rFonts w:ascii="Arial" w:cs="Arial" w:eastAsia="Arial" w:hAnsi="Arial"/>
          <w:sz w:val="18"/>
          <w:szCs w:val="18"/>
          <w:color w:val="auto"/>
        </w:rPr>
      </w:pPr>
    </w:p>
    <w:p>
      <w:pPr>
        <w:ind w:right="200" w:firstLine="7"/>
        <w:spacing w:after="0" w:line="255" w:lineRule="auto"/>
        <w:tabs>
          <w:tab w:leader="none" w:pos="207"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320" w:top="1440" w:right="239" w:bottom="1440" w:gutter="0" w:footer="0" w:header="0"/>
        </w:sectPr>
      </w:pPr>
    </w:p>
    <w:bookmarkStart w:id="7" w:name="page8"/>
    <w:bookmarkEnd w:id="7"/>
    <w:p>
      <w:pPr>
        <w:spacing w:after="0" w:line="200" w:lineRule="exact"/>
        <w:rPr>
          <w:sz w:val="20"/>
          <w:szCs w:val="20"/>
          <w:color w:val="auto"/>
        </w:rPr>
      </w:pPr>
    </w:p>
    <w:p>
      <w:pPr>
        <w:spacing w:after="0" w:line="220" w:lineRule="exact"/>
        <w:rPr>
          <w:sz w:val="20"/>
          <w:szCs w:val="20"/>
          <w:color w:val="auto"/>
        </w:rPr>
      </w:pPr>
    </w:p>
    <w:p>
      <w:pPr>
        <w:ind w:right="500"/>
        <w:spacing w:after="0" w:line="270" w:lineRule="auto"/>
        <w:rPr>
          <w:sz w:val="20"/>
          <w:szCs w:val="20"/>
          <w:color w:val="auto"/>
        </w:rPr>
      </w:pPr>
      <w:r>
        <w:rPr>
          <w:rFonts w:ascii="Arial" w:cs="Arial" w:eastAsia="Arial" w:hAnsi="Arial"/>
          <w:sz w:val="18"/>
          <w:szCs w:val="18"/>
          <w:color w:val="auto"/>
        </w:rPr>
        <w:t>registration statement relating to the securities offered herein, and the offering of such securities at that time shall be deemed to be the initial bona fide offering thereof.</w:t>
      </w:r>
    </w:p>
    <w:p>
      <w:pPr>
        <w:spacing w:after="0" w:line="16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C.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320" w:top="1440" w:right="379" w:bottom="1440" w:gutter="0" w:footer="0" w:header="0"/>
        </w:sectPr>
      </w:pPr>
    </w:p>
    <w:bookmarkStart w:id="8" w:name="page9"/>
    <w:bookmarkEnd w:id="8"/>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4" w:lineRule="exact"/>
        <w:rPr>
          <w:sz w:val="20"/>
          <w:szCs w:val="20"/>
          <w:color w:val="auto"/>
        </w:rPr>
      </w:pPr>
    </w:p>
    <w:p>
      <w:pPr>
        <w:ind w:right="20" w:firstLine="640"/>
        <w:spacing w:after="0" w:line="258"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South San Francisco, State of California, on May 28, 2021.</w:t>
      </w:r>
    </w:p>
    <w:p>
      <w:pPr>
        <w:spacing w:after="0" w:line="22"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Fluidigm Corporation</w:t>
      </w:r>
    </w:p>
    <w:p>
      <w:pPr>
        <w:spacing w:after="0" w:line="64" w:lineRule="exact"/>
        <w:rPr>
          <w:sz w:val="20"/>
          <w:szCs w:val="20"/>
          <w:color w:val="auto"/>
        </w:rPr>
      </w:pPr>
    </w:p>
    <w:p>
      <w:pPr>
        <w:ind w:left="4960"/>
        <w:spacing w:after="0"/>
        <w:tabs>
          <w:tab w:leader="none" w:pos="6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Stephen Christopher Linthwaite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30480</wp:posOffset>
            </wp:positionV>
            <wp:extent cx="27114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4">
                      <a:extLst>
                        <a:ext uri="{28A0092B-C50C-407E-A947-70E740481C1C}"/>
                      </a:extLst>
                    </a:blip>
                    <a:srcRect/>
                    <a:stretch>
                      <a:fillRect/>
                    </a:stretch>
                  </pic:blipFill>
                  <pic:spPr bwMode="auto">
                    <a:xfrm>
                      <a:off x="0" y="0"/>
                      <a:ext cx="2711450" cy="8255"/>
                    </a:xfrm>
                    <a:prstGeom prst="rect">
                      <a:avLst/>
                    </a:prstGeom>
                    <a:noFill/>
                  </pic:spPr>
                </pic:pic>
              </a:graphicData>
            </a:graphic>
          </wp:anchor>
        </w:drawing>
      </w:r>
    </w:p>
    <w:p>
      <w:pPr>
        <w:spacing w:after="0" w:line="49" w:lineRule="exact"/>
        <w:rPr>
          <w:sz w:val="20"/>
          <w:szCs w:val="20"/>
          <w:color w:val="auto"/>
        </w:rPr>
      </w:pPr>
    </w:p>
    <w:p>
      <w:pPr>
        <w:jc w:val="center"/>
        <w:ind w:left="3960"/>
        <w:spacing w:after="0"/>
        <w:rPr>
          <w:sz w:val="20"/>
          <w:szCs w:val="20"/>
          <w:color w:val="auto"/>
        </w:rPr>
      </w:pPr>
      <w:r>
        <w:rPr>
          <w:rFonts w:ascii="Arial" w:cs="Arial" w:eastAsia="Arial" w:hAnsi="Arial"/>
          <w:sz w:val="18"/>
          <w:szCs w:val="18"/>
          <w:b w:val="1"/>
          <w:bCs w:val="1"/>
          <w:color w:val="auto"/>
        </w:rPr>
        <w:t>Stephen Christopher Linthwaite</w:t>
      </w:r>
    </w:p>
    <w:p>
      <w:pPr>
        <w:spacing w:after="0" w:line="60" w:lineRule="exact"/>
        <w:rPr>
          <w:sz w:val="20"/>
          <w:szCs w:val="20"/>
          <w:color w:val="auto"/>
        </w:rPr>
      </w:pPr>
    </w:p>
    <w:p>
      <w:pPr>
        <w:jc w:val="center"/>
        <w:ind w:left="396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POWER OF ATTORNEY</w:t>
      </w:r>
    </w:p>
    <w:p>
      <w:pPr>
        <w:spacing w:after="0" w:line="224" w:lineRule="exact"/>
        <w:rPr>
          <w:sz w:val="20"/>
          <w:szCs w:val="20"/>
          <w:color w:val="auto"/>
        </w:rPr>
      </w:pPr>
    </w:p>
    <w:p>
      <w:pPr>
        <w:ind w:firstLine="640"/>
        <w:spacing w:after="0" w:line="283" w:lineRule="auto"/>
        <w:rPr>
          <w:sz w:val="20"/>
          <w:szCs w:val="20"/>
          <w:color w:val="auto"/>
        </w:rPr>
      </w:pPr>
      <w:r>
        <w:rPr>
          <w:rFonts w:ascii="Arial" w:cs="Arial" w:eastAsia="Arial" w:hAnsi="Arial"/>
          <w:sz w:val="16"/>
          <w:szCs w:val="16"/>
          <w:color w:val="auto"/>
        </w:rPr>
        <w:t>KNOW ALL PERSONS BY THESE PRESENTS, that each person whose signature appears below hereby constitutes and appoints Stephen Christopher Linthwaite and Vikram Jog, and each of them severally, as his or her true and lawful attorneys-in-fact and agents, with full power of substitution and resubstitution, for him or her and in his or her name, place and stead, in any and all capacities, to sign the Registration Statement on Form S-8 of Fluidigm Corporation, and to sign, date and file any and all amendments thereto (including post-effective amendments to this Registration Statement, in each case on his or her behalf, in any and all capacities stated below, as appropriate, in such forms as they or any one of them may approve),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to the end that such Registration Statement or Registration Statements shall comply with the Securities Act of 1933, as amended, and the applicable Rules and Regulations adopted or issued pursuant thereto, as fully for all intents and purposes as he or she might or could do in person, hereby and about the premises hereby ratifying and confirming all that said attorneys-in-fact and agent, proxy and agent, or his, her or their substitute or substitutes, may lawfully do or cause to be done by virtue hereof, and generally to do all such things on their behalf in their capacities as officers and directors to enable the Registrant to comply with the provisions of the Securities Act of 1933, as amended, and all requirements of the Securities and Exchange Commission.</w:t>
      </w:r>
    </w:p>
    <w:p>
      <w:pPr>
        <w:spacing w:after="0" w:line="172" w:lineRule="exact"/>
        <w:rPr>
          <w:sz w:val="20"/>
          <w:szCs w:val="20"/>
          <w:color w:val="auto"/>
        </w:rPr>
      </w:pPr>
    </w:p>
    <w:p>
      <w:pPr>
        <w:ind w:right="240" w:firstLine="640"/>
        <w:spacing w:after="0" w:line="270"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120" w:type="dxa"/>
            <w:vAlign w:val="bottom"/>
          </w:tcPr>
          <w:p>
            <w:pPr>
              <w:spacing w:after="0"/>
              <w:rPr>
                <w:sz w:val="20"/>
                <w:szCs w:val="20"/>
                <w:color w:val="auto"/>
              </w:rPr>
            </w:pPr>
          </w:p>
        </w:tc>
        <w:tc>
          <w:tcPr>
            <w:tcW w:w="46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Title</w:t>
            </w:r>
          </w:p>
        </w:tc>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87"/>
              </w:rPr>
              <w:t>Date</w:t>
            </w:r>
          </w:p>
        </w:tc>
        <w:tc>
          <w:tcPr>
            <w:tcW w:w="0" w:type="dxa"/>
            <w:vAlign w:val="bottom"/>
          </w:tcPr>
          <w:p>
            <w:pPr>
              <w:spacing w:after="0"/>
              <w:rPr>
                <w:sz w:val="1"/>
                <w:szCs w:val="1"/>
                <w:color w:val="auto"/>
              </w:rPr>
            </w:pPr>
          </w:p>
        </w:tc>
      </w:tr>
      <w:tr>
        <w:trPr>
          <w:trHeight w:val="28"/>
        </w:trPr>
        <w:tc>
          <w:tcPr>
            <w:tcW w:w="3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66"/>
        </w:trPr>
        <w:tc>
          <w:tcPr>
            <w:tcW w:w="3920" w:type="dxa"/>
            <w:vAlign w:val="bottom"/>
          </w:tcPr>
          <w:p>
            <w:pPr>
              <w:jc w:val="center"/>
              <w:spacing w:after="0"/>
              <w:rPr>
                <w:sz w:val="20"/>
                <w:szCs w:val="20"/>
                <w:color w:val="auto"/>
              </w:rPr>
            </w:pPr>
            <w:r>
              <w:rPr>
                <w:rFonts w:ascii="Arial" w:cs="Arial" w:eastAsia="Arial" w:hAnsi="Arial"/>
                <w:sz w:val="18"/>
                <w:szCs w:val="18"/>
                <w:color w:val="auto"/>
                <w:w w:val="90"/>
              </w:rPr>
              <w:t>/s/ Stephen Christopher Linthwaite</w:t>
            </w:r>
          </w:p>
        </w:tc>
        <w:tc>
          <w:tcPr>
            <w:tcW w:w="120" w:type="dxa"/>
            <w:vAlign w:val="bottom"/>
          </w:tcPr>
          <w:p>
            <w:pPr>
              <w:spacing w:after="0"/>
              <w:rPr>
                <w:sz w:val="24"/>
                <w:szCs w:val="24"/>
                <w:color w:val="auto"/>
              </w:rPr>
            </w:pPr>
          </w:p>
        </w:tc>
        <w:tc>
          <w:tcPr>
            <w:tcW w:w="466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1"/>
              </w:rPr>
              <w:t>President, Chief Executive Officer, and Director (Principal</w:t>
            </w:r>
          </w:p>
        </w:tc>
        <w:tc>
          <w:tcPr>
            <w:tcW w:w="2440" w:type="dxa"/>
            <w:vAlign w:val="bottom"/>
          </w:tcPr>
          <w:p>
            <w:pPr>
              <w:jc w:val="center"/>
              <w:spacing w:after="0"/>
              <w:rPr>
                <w:sz w:val="20"/>
                <w:szCs w:val="20"/>
                <w:color w:val="auto"/>
              </w:rPr>
            </w:pPr>
            <w:r>
              <w:rPr>
                <w:rFonts w:ascii="Arial" w:cs="Arial" w:eastAsia="Arial" w:hAnsi="Arial"/>
                <w:sz w:val="18"/>
                <w:szCs w:val="18"/>
                <w:color w:val="auto"/>
                <w:w w:val="89"/>
              </w:rPr>
              <w:t>May 28, 2021</w:t>
            </w:r>
          </w:p>
        </w:tc>
        <w:tc>
          <w:tcPr>
            <w:tcW w:w="0" w:type="dxa"/>
            <w:vAlign w:val="bottom"/>
          </w:tcPr>
          <w:p>
            <w:pPr>
              <w:spacing w:after="0"/>
              <w:rPr>
                <w:sz w:val="1"/>
                <w:szCs w:val="1"/>
                <w:color w:val="auto"/>
              </w:rPr>
            </w:pPr>
          </w:p>
        </w:tc>
      </w:tr>
      <w:tr>
        <w:trPr>
          <w:trHeight w:val="28"/>
        </w:trPr>
        <w:tc>
          <w:tcPr>
            <w:tcW w:w="3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gridSpan w:val="2"/>
            <w:vMerge w:val="continue"/>
          </w:tcPr>
          <w:p>
            <w:pPr>
              <w:spacing w:after="0"/>
              <w:rPr>
                <w:sz w:val="2"/>
                <w:szCs w:val="2"/>
                <w:color w:val="auto"/>
              </w:rPr>
            </w:pPr>
          </w:p>
        </w:tc>
        <w:tc>
          <w:tcPr>
            <w:tcW w:w="2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90"/>
              </w:rPr>
              <w:t>Stephen Christopher Linthwaite</w:t>
            </w:r>
          </w:p>
        </w:tc>
        <w:tc>
          <w:tcPr>
            <w:tcW w:w="120" w:type="dxa"/>
            <w:vAlign w:val="bottom"/>
          </w:tcPr>
          <w:p>
            <w:pPr>
              <w:spacing w:after="0"/>
              <w:rPr>
                <w:sz w:val="20"/>
                <w:szCs w:val="20"/>
                <w:color w:val="auto"/>
              </w:rPr>
            </w:pPr>
          </w:p>
        </w:tc>
        <w:tc>
          <w:tcPr>
            <w:tcW w:w="46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Executive Officer)</w:t>
            </w:r>
          </w:p>
        </w:tc>
        <w:tc>
          <w:tcPr>
            <w:tcW w:w="2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3920" w:type="dxa"/>
            <w:vAlign w:val="bottom"/>
          </w:tcPr>
          <w:p>
            <w:pPr>
              <w:jc w:val="center"/>
              <w:spacing w:after="0"/>
              <w:rPr>
                <w:sz w:val="20"/>
                <w:szCs w:val="20"/>
                <w:color w:val="auto"/>
              </w:rPr>
            </w:pPr>
            <w:r>
              <w:rPr>
                <w:rFonts w:ascii="Arial" w:cs="Arial" w:eastAsia="Arial" w:hAnsi="Arial"/>
                <w:sz w:val="18"/>
                <w:szCs w:val="18"/>
                <w:color w:val="auto"/>
                <w:w w:val="91"/>
              </w:rPr>
              <w:t>/s/ Vikram Jog</w:t>
            </w:r>
          </w:p>
        </w:tc>
        <w:tc>
          <w:tcPr>
            <w:tcW w:w="120" w:type="dxa"/>
            <w:vAlign w:val="bottom"/>
          </w:tcPr>
          <w:p>
            <w:pPr>
              <w:spacing w:after="0"/>
              <w:rPr>
                <w:sz w:val="24"/>
                <w:szCs w:val="24"/>
                <w:color w:val="auto"/>
              </w:rPr>
            </w:pPr>
          </w:p>
        </w:tc>
        <w:tc>
          <w:tcPr>
            <w:tcW w:w="466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3"/>
              </w:rPr>
              <w:t>Chief Financial Officer</w:t>
            </w:r>
          </w:p>
        </w:tc>
        <w:tc>
          <w:tcPr>
            <w:tcW w:w="2440" w:type="dxa"/>
            <w:vAlign w:val="bottom"/>
          </w:tcPr>
          <w:p>
            <w:pPr>
              <w:jc w:val="center"/>
              <w:spacing w:after="0"/>
              <w:rPr>
                <w:sz w:val="20"/>
                <w:szCs w:val="20"/>
                <w:color w:val="auto"/>
              </w:rPr>
            </w:pPr>
            <w:r>
              <w:rPr>
                <w:rFonts w:ascii="Arial" w:cs="Arial" w:eastAsia="Arial" w:hAnsi="Arial"/>
                <w:sz w:val="18"/>
                <w:szCs w:val="18"/>
                <w:color w:val="auto"/>
                <w:w w:val="89"/>
              </w:rPr>
              <w:t>May 28, 2021</w:t>
            </w:r>
          </w:p>
        </w:tc>
        <w:tc>
          <w:tcPr>
            <w:tcW w:w="0" w:type="dxa"/>
            <w:vAlign w:val="bottom"/>
          </w:tcPr>
          <w:p>
            <w:pPr>
              <w:spacing w:after="0"/>
              <w:rPr>
                <w:sz w:val="1"/>
                <w:szCs w:val="1"/>
                <w:color w:val="auto"/>
              </w:rPr>
            </w:pPr>
          </w:p>
        </w:tc>
      </w:tr>
      <w:tr>
        <w:trPr>
          <w:trHeight w:val="28"/>
        </w:trPr>
        <w:tc>
          <w:tcPr>
            <w:tcW w:w="3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gridSpan w:val="2"/>
            <w:vMerge w:val="continue"/>
          </w:tcPr>
          <w:p>
            <w:pPr>
              <w:spacing w:after="0"/>
              <w:rPr>
                <w:sz w:val="2"/>
                <w:szCs w:val="2"/>
                <w:color w:val="auto"/>
              </w:rPr>
            </w:pPr>
          </w:p>
        </w:tc>
        <w:tc>
          <w:tcPr>
            <w:tcW w:w="2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92"/>
              </w:rPr>
              <w:t>Vikram Jog</w:t>
            </w:r>
          </w:p>
        </w:tc>
        <w:tc>
          <w:tcPr>
            <w:tcW w:w="120" w:type="dxa"/>
            <w:vAlign w:val="bottom"/>
          </w:tcPr>
          <w:p>
            <w:pPr>
              <w:spacing w:after="0"/>
              <w:rPr>
                <w:sz w:val="20"/>
                <w:szCs w:val="20"/>
                <w:color w:val="auto"/>
              </w:rPr>
            </w:pPr>
          </w:p>
        </w:tc>
        <w:tc>
          <w:tcPr>
            <w:tcW w:w="46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(Principal Financial and Accounting Officer)</w:t>
            </w:r>
          </w:p>
        </w:tc>
        <w:tc>
          <w:tcPr>
            <w:tcW w:w="2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0"/>
        </w:trPr>
        <w:tc>
          <w:tcPr>
            <w:tcW w:w="3920" w:type="dxa"/>
            <w:vAlign w:val="bottom"/>
          </w:tcPr>
          <w:p>
            <w:pPr>
              <w:jc w:val="center"/>
              <w:spacing w:after="0"/>
              <w:rPr>
                <w:sz w:val="20"/>
                <w:szCs w:val="20"/>
                <w:color w:val="auto"/>
              </w:rPr>
            </w:pPr>
            <w:r>
              <w:rPr>
                <w:rFonts w:ascii="Arial" w:cs="Arial" w:eastAsia="Arial" w:hAnsi="Arial"/>
                <w:sz w:val="18"/>
                <w:szCs w:val="18"/>
                <w:color w:val="auto"/>
                <w:w w:val="88"/>
              </w:rPr>
              <w:t>/s/ Carlos Paya</w:t>
            </w:r>
          </w:p>
        </w:tc>
        <w:tc>
          <w:tcPr>
            <w:tcW w:w="120" w:type="dxa"/>
            <w:vAlign w:val="bottom"/>
          </w:tcPr>
          <w:p>
            <w:pPr>
              <w:spacing w:after="0"/>
              <w:rPr>
                <w:sz w:val="24"/>
                <w:szCs w:val="24"/>
                <w:color w:val="auto"/>
              </w:rPr>
            </w:pPr>
          </w:p>
        </w:tc>
        <w:tc>
          <w:tcPr>
            <w:tcW w:w="466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Chair of the Board of Directors</w:t>
            </w:r>
          </w:p>
        </w:tc>
        <w:tc>
          <w:tcPr>
            <w:tcW w:w="2440" w:type="dxa"/>
            <w:vAlign w:val="bottom"/>
          </w:tcPr>
          <w:p>
            <w:pPr>
              <w:jc w:val="center"/>
              <w:spacing w:after="0"/>
              <w:rPr>
                <w:sz w:val="20"/>
                <w:szCs w:val="20"/>
                <w:color w:val="auto"/>
              </w:rPr>
            </w:pPr>
            <w:r>
              <w:rPr>
                <w:rFonts w:ascii="Arial" w:cs="Arial" w:eastAsia="Arial" w:hAnsi="Arial"/>
                <w:sz w:val="18"/>
                <w:szCs w:val="18"/>
                <w:color w:val="auto"/>
                <w:w w:val="89"/>
              </w:rPr>
              <w:t>May 28, 2021</w:t>
            </w:r>
          </w:p>
        </w:tc>
        <w:tc>
          <w:tcPr>
            <w:tcW w:w="0" w:type="dxa"/>
            <w:vAlign w:val="bottom"/>
          </w:tcPr>
          <w:p>
            <w:pPr>
              <w:spacing w:after="0"/>
              <w:rPr>
                <w:sz w:val="1"/>
                <w:szCs w:val="1"/>
                <w:color w:val="auto"/>
              </w:rPr>
            </w:pPr>
          </w:p>
        </w:tc>
      </w:tr>
      <w:tr>
        <w:trPr>
          <w:trHeight w:val="28"/>
        </w:trPr>
        <w:tc>
          <w:tcPr>
            <w:tcW w:w="3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89"/>
              </w:rPr>
              <w:t>Carlos Paya</w:t>
            </w:r>
          </w:p>
        </w:tc>
        <w:tc>
          <w:tcPr>
            <w:tcW w:w="1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0"/>
        </w:trPr>
        <w:tc>
          <w:tcPr>
            <w:tcW w:w="3920" w:type="dxa"/>
            <w:vAlign w:val="bottom"/>
          </w:tcPr>
          <w:p>
            <w:pPr>
              <w:jc w:val="center"/>
              <w:spacing w:after="0"/>
              <w:rPr>
                <w:sz w:val="20"/>
                <w:szCs w:val="20"/>
                <w:color w:val="auto"/>
              </w:rPr>
            </w:pPr>
            <w:r>
              <w:rPr>
                <w:rFonts w:ascii="Arial" w:cs="Arial" w:eastAsia="Arial" w:hAnsi="Arial"/>
                <w:sz w:val="18"/>
                <w:szCs w:val="18"/>
                <w:color w:val="auto"/>
                <w:w w:val="91"/>
              </w:rPr>
              <w:t>/s/ Nicolas Barthelemy</w:t>
            </w:r>
          </w:p>
        </w:tc>
        <w:tc>
          <w:tcPr>
            <w:tcW w:w="120" w:type="dxa"/>
            <w:vAlign w:val="bottom"/>
          </w:tcPr>
          <w:p>
            <w:pPr>
              <w:spacing w:after="0"/>
              <w:rPr>
                <w:sz w:val="24"/>
                <w:szCs w:val="24"/>
                <w:color w:val="auto"/>
              </w:rPr>
            </w:pPr>
          </w:p>
        </w:tc>
        <w:tc>
          <w:tcPr>
            <w:tcW w:w="466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Director</w:t>
            </w:r>
          </w:p>
        </w:tc>
        <w:tc>
          <w:tcPr>
            <w:tcW w:w="2440" w:type="dxa"/>
            <w:vAlign w:val="bottom"/>
          </w:tcPr>
          <w:p>
            <w:pPr>
              <w:jc w:val="center"/>
              <w:spacing w:after="0"/>
              <w:rPr>
                <w:sz w:val="20"/>
                <w:szCs w:val="20"/>
                <w:color w:val="auto"/>
              </w:rPr>
            </w:pPr>
            <w:r>
              <w:rPr>
                <w:rFonts w:ascii="Arial" w:cs="Arial" w:eastAsia="Arial" w:hAnsi="Arial"/>
                <w:sz w:val="18"/>
                <w:szCs w:val="18"/>
                <w:color w:val="auto"/>
                <w:w w:val="89"/>
              </w:rPr>
              <w:t>May 28, 2021</w:t>
            </w:r>
          </w:p>
        </w:tc>
        <w:tc>
          <w:tcPr>
            <w:tcW w:w="0" w:type="dxa"/>
            <w:vAlign w:val="bottom"/>
          </w:tcPr>
          <w:p>
            <w:pPr>
              <w:spacing w:after="0"/>
              <w:rPr>
                <w:sz w:val="1"/>
                <w:szCs w:val="1"/>
                <w:color w:val="auto"/>
              </w:rPr>
            </w:pPr>
          </w:p>
        </w:tc>
      </w:tr>
      <w:tr>
        <w:trPr>
          <w:trHeight w:val="28"/>
        </w:trPr>
        <w:tc>
          <w:tcPr>
            <w:tcW w:w="3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88"/>
              </w:rPr>
              <w:t>Nicolas Barthelemy</w:t>
            </w:r>
          </w:p>
        </w:tc>
        <w:tc>
          <w:tcPr>
            <w:tcW w:w="1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0"/>
        </w:trPr>
        <w:tc>
          <w:tcPr>
            <w:tcW w:w="3920" w:type="dxa"/>
            <w:vAlign w:val="bottom"/>
          </w:tcPr>
          <w:p>
            <w:pPr>
              <w:jc w:val="center"/>
              <w:spacing w:after="0"/>
              <w:rPr>
                <w:sz w:val="20"/>
                <w:szCs w:val="20"/>
                <w:color w:val="auto"/>
              </w:rPr>
            </w:pPr>
            <w:r>
              <w:rPr>
                <w:rFonts w:ascii="Arial" w:cs="Arial" w:eastAsia="Arial" w:hAnsi="Arial"/>
                <w:sz w:val="18"/>
                <w:szCs w:val="18"/>
                <w:color w:val="auto"/>
                <w:w w:val="88"/>
              </w:rPr>
              <w:t>/s/ Gerhard F. Burbach</w:t>
            </w:r>
          </w:p>
        </w:tc>
        <w:tc>
          <w:tcPr>
            <w:tcW w:w="120" w:type="dxa"/>
            <w:vAlign w:val="bottom"/>
          </w:tcPr>
          <w:p>
            <w:pPr>
              <w:spacing w:after="0"/>
              <w:rPr>
                <w:sz w:val="24"/>
                <w:szCs w:val="24"/>
                <w:color w:val="auto"/>
              </w:rPr>
            </w:pPr>
          </w:p>
        </w:tc>
        <w:tc>
          <w:tcPr>
            <w:tcW w:w="466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Director</w:t>
            </w:r>
          </w:p>
        </w:tc>
        <w:tc>
          <w:tcPr>
            <w:tcW w:w="2440" w:type="dxa"/>
            <w:vAlign w:val="bottom"/>
          </w:tcPr>
          <w:p>
            <w:pPr>
              <w:jc w:val="center"/>
              <w:spacing w:after="0"/>
              <w:rPr>
                <w:sz w:val="20"/>
                <w:szCs w:val="20"/>
                <w:color w:val="auto"/>
              </w:rPr>
            </w:pPr>
            <w:r>
              <w:rPr>
                <w:rFonts w:ascii="Arial" w:cs="Arial" w:eastAsia="Arial" w:hAnsi="Arial"/>
                <w:sz w:val="18"/>
                <w:szCs w:val="18"/>
                <w:color w:val="auto"/>
                <w:w w:val="89"/>
              </w:rPr>
              <w:t>May 28, 2021</w:t>
            </w:r>
          </w:p>
        </w:tc>
        <w:tc>
          <w:tcPr>
            <w:tcW w:w="0" w:type="dxa"/>
            <w:vAlign w:val="bottom"/>
          </w:tcPr>
          <w:p>
            <w:pPr>
              <w:spacing w:after="0"/>
              <w:rPr>
                <w:sz w:val="1"/>
                <w:szCs w:val="1"/>
                <w:color w:val="auto"/>
              </w:rPr>
            </w:pPr>
          </w:p>
        </w:tc>
      </w:tr>
      <w:tr>
        <w:trPr>
          <w:trHeight w:val="28"/>
        </w:trPr>
        <w:tc>
          <w:tcPr>
            <w:tcW w:w="3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92"/>
              </w:rPr>
              <w:t>Gerhard F. Burbach</w:t>
            </w:r>
          </w:p>
        </w:tc>
        <w:tc>
          <w:tcPr>
            <w:tcW w:w="1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0"/>
        </w:trPr>
        <w:tc>
          <w:tcPr>
            <w:tcW w:w="3920" w:type="dxa"/>
            <w:vAlign w:val="bottom"/>
          </w:tcPr>
          <w:p>
            <w:pPr>
              <w:jc w:val="center"/>
              <w:spacing w:after="0"/>
              <w:rPr>
                <w:sz w:val="20"/>
                <w:szCs w:val="20"/>
                <w:color w:val="auto"/>
              </w:rPr>
            </w:pPr>
            <w:r>
              <w:rPr>
                <w:rFonts w:ascii="Arial" w:cs="Arial" w:eastAsia="Arial" w:hAnsi="Arial"/>
                <w:sz w:val="18"/>
                <w:szCs w:val="18"/>
                <w:color w:val="auto"/>
                <w:w w:val="90"/>
              </w:rPr>
              <w:t>/s/ Laura M. Clague</w:t>
            </w:r>
          </w:p>
        </w:tc>
        <w:tc>
          <w:tcPr>
            <w:tcW w:w="120" w:type="dxa"/>
            <w:vAlign w:val="bottom"/>
          </w:tcPr>
          <w:p>
            <w:pPr>
              <w:spacing w:after="0"/>
              <w:rPr>
                <w:sz w:val="24"/>
                <w:szCs w:val="24"/>
                <w:color w:val="auto"/>
              </w:rPr>
            </w:pPr>
          </w:p>
        </w:tc>
        <w:tc>
          <w:tcPr>
            <w:tcW w:w="466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Director</w:t>
            </w:r>
          </w:p>
        </w:tc>
        <w:tc>
          <w:tcPr>
            <w:tcW w:w="2440" w:type="dxa"/>
            <w:vAlign w:val="bottom"/>
          </w:tcPr>
          <w:p>
            <w:pPr>
              <w:jc w:val="center"/>
              <w:spacing w:after="0"/>
              <w:rPr>
                <w:sz w:val="20"/>
                <w:szCs w:val="20"/>
                <w:color w:val="auto"/>
              </w:rPr>
            </w:pPr>
            <w:r>
              <w:rPr>
                <w:rFonts w:ascii="Arial" w:cs="Arial" w:eastAsia="Arial" w:hAnsi="Arial"/>
                <w:sz w:val="18"/>
                <w:szCs w:val="18"/>
                <w:color w:val="auto"/>
                <w:w w:val="89"/>
              </w:rPr>
              <w:t>May 28, 2021</w:t>
            </w:r>
          </w:p>
        </w:tc>
        <w:tc>
          <w:tcPr>
            <w:tcW w:w="0" w:type="dxa"/>
            <w:vAlign w:val="bottom"/>
          </w:tcPr>
          <w:p>
            <w:pPr>
              <w:spacing w:after="0"/>
              <w:rPr>
                <w:sz w:val="1"/>
                <w:szCs w:val="1"/>
                <w:color w:val="auto"/>
              </w:rPr>
            </w:pPr>
          </w:p>
        </w:tc>
      </w:tr>
      <w:tr>
        <w:trPr>
          <w:trHeight w:val="28"/>
        </w:trPr>
        <w:tc>
          <w:tcPr>
            <w:tcW w:w="3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94"/>
              </w:rPr>
              <w:t>Laura M. Clague</w:t>
            </w:r>
          </w:p>
        </w:tc>
        <w:tc>
          <w:tcPr>
            <w:tcW w:w="1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0"/>
        </w:trPr>
        <w:tc>
          <w:tcPr>
            <w:tcW w:w="3920" w:type="dxa"/>
            <w:vAlign w:val="bottom"/>
          </w:tcPr>
          <w:p>
            <w:pPr>
              <w:jc w:val="center"/>
              <w:spacing w:after="0"/>
              <w:rPr>
                <w:sz w:val="20"/>
                <w:szCs w:val="20"/>
                <w:color w:val="auto"/>
              </w:rPr>
            </w:pPr>
            <w:r>
              <w:rPr>
                <w:rFonts w:ascii="Arial" w:cs="Arial" w:eastAsia="Arial" w:hAnsi="Arial"/>
                <w:sz w:val="18"/>
                <w:szCs w:val="18"/>
                <w:color w:val="auto"/>
                <w:w w:val="93"/>
              </w:rPr>
              <w:t>/s/ Bill W. Colston</w:t>
            </w:r>
          </w:p>
        </w:tc>
        <w:tc>
          <w:tcPr>
            <w:tcW w:w="120" w:type="dxa"/>
            <w:vAlign w:val="bottom"/>
          </w:tcPr>
          <w:p>
            <w:pPr>
              <w:spacing w:after="0"/>
              <w:rPr>
                <w:sz w:val="24"/>
                <w:szCs w:val="24"/>
                <w:color w:val="auto"/>
              </w:rPr>
            </w:pPr>
          </w:p>
        </w:tc>
        <w:tc>
          <w:tcPr>
            <w:tcW w:w="466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Director</w:t>
            </w:r>
          </w:p>
        </w:tc>
        <w:tc>
          <w:tcPr>
            <w:tcW w:w="2440" w:type="dxa"/>
            <w:vAlign w:val="bottom"/>
          </w:tcPr>
          <w:p>
            <w:pPr>
              <w:jc w:val="center"/>
              <w:spacing w:after="0"/>
              <w:rPr>
                <w:sz w:val="20"/>
                <w:szCs w:val="20"/>
                <w:color w:val="auto"/>
              </w:rPr>
            </w:pPr>
            <w:r>
              <w:rPr>
                <w:rFonts w:ascii="Arial" w:cs="Arial" w:eastAsia="Arial" w:hAnsi="Arial"/>
                <w:sz w:val="18"/>
                <w:szCs w:val="18"/>
                <w:color w:val="auto"/>
                <w:w w:val="89"/>
              </w:rPr>
              <w:t>May 28, 2021</w:t>
            </w:r>
          </w:p>
        </w:tc>
        <w:tc>
          <w:tcPr>
            <w:tcW w:w="0" w:type="dxa"/>
            <w:vAlign w:val="bottom"/>
          </w:tcPr>
          <w:p>
            <w:pPr>
              <w:spacing w:after="0"/>
              <w:rPr>
                <w:sz w:val="1"/>
                <w:szCs w:val="1"/>
                <w:color w:val="auto"/>
              </w:rPr>
            </w:pPr>
          </w:p>
        </w:tc>
      </w:tr>
      <w:tr>
        <w:trPr>
          <w:trHeight w:val="28"/>
        </w:trPr>
        <w:tc>
          <w:tcPr>
            <w:tcW w:w="3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91"/>
              </w:rPr>
              <w:t>Bill W. Colston</w:t>
            </w:r>
          </w:p>
        </w:tc>
        <w:tc>
          <w:tcPr>
            <w:tcW w:w="1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0"/>
        </w:trPr>
        <w:tc>
          <w:tcPr>
            <w:tcW w:w="3920" w:type="dxa"/>
            <w:vAlign w:val="bottom"/>
          </w:tcPr>
          <w:p>
            <w:pPr>
              <w:jc w:val="center"/>
              <w:spacing w:after="0"/>
              <w:rPr>
                <w:sz w:val="20"/>
                <w:szCs w:val="20"/>
                <w:color w:val="auto"/>
              </w:rPr>
            </w:pPr>
            <w:r>
              <w:rPr>
                <w:rFonts w:ascii="Arial" w:cs="Arial" w:eastAsia="Arial" w:hAnsi="Arial"/>
                <w:sz w:val="18"/>
                <w:szCs w:val="18"/>
                <w:color w:val="auto"/>
                <w:w w:val="91"/>
              </w:rPr>
              <w:t>/s/ Ana K. Stankovic</w:t>
            </w:r>
          </w:p>
        </w:tc>
        <w:tc>
          <w:tcPr>
            <w:tcW w:w="120" w:type="dxa"/>
            <w:vAlign w:val="bottom"/>
          </w:tcPr>
          <w:p>
            <w:pPr>
              <w:spacing w:after="0"/>
              <w:rPr>
                <w:sz w:val="24"/>
                <w:szCs w:val="24"/>
                <w:color w:val="auto"/>
              </w:rPr>
            </w:pPr>
          </w:p>
        </w:tc>
        <w:tc>
          <w:tcPr>
            <w:tcW w:w="466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Director</w:t>
            </w:r>
          </w:p>
        </w:tc>
        <w:tc>
          <w:tcPr>
            <w:tcW w:w="2440" w:type="dxa"/>
            <w:vAlign w:val="bottom"/>
          </w:tcPr>
          <w:p>
            <w:pPr>
              <w:jc w:val="center"/>
              <w:spacing w:after="0"/>
              <w:rPr>
                <w:sz w:val="20"/>
                <w:szCs w:val="20"/>
                <w:color w:val="auto"/>
              </w:rPr>
            </w:pPr>
            <w:r>
              <w:rPr>
                <w:rFonts w:ascii="Arial" w:cs="Arial" w:eastAsia="Arial" w:hAnsi="Arial"/>
                <w:sz w:val="18"/>
                <w:szCs w:val="18"/>
                <w:color w:val="auto"/>
                <w:w w:val="89"/>
              </w:rPr>
              <w:t>May 28, 2021</w:t>
            </w:r>
          </w:p>
        </w:tc>
        <w:tc>
          <w:tcPr>
            <w:tcW w:w="0" w:type="dxa"/>
            <w:vAlign w:val="bottom"/>
          </w:tcPr>
          <w:p>
            <w:pPr>
              <w:spacing w:after="0"/>
              <w:rPr>
                <w:sz w:val="1"/>
                <w:szCs w:val="1"/>
                <w:color w:val="auto"/>
              </w:rPr>
            </w:pPr>
          </w:p>
        </w:tc>
      </w:tr>
      <w:tr>
        <w:trPr>
          <w:trHeight w:val="28"/>
        </w:trPr>
        <w:tc>
          <w:tcPr>
            <w:tcW w:w="3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91"/>
              </w:rPr>
              <w:t>Ana K. Stankovic</w:t>
            </w:r>
          </w:p>
        </w:tc>
        <w:tc>
          <w:tcPr>
            <w:tcW w:w="1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34"/>
        </w:trPr>
        <w:tc>
          <w:tcPr>
            <w:tcW w:w="3920" w:type="dxa"/>
            <w:vAlign w:val="bottom"/>
          </w:tcPr>
          <w:p>
            <w:pPr>
              <w:spacing w:after="0"/>
              <w:rPr>
                <w:sz w:val="24"/>
                <w:szCs w:val="24"/>
                <w:color w:val="auto"/>
              </w:rPr>
            </w:pPr>
          </w:p>
        </w:tc>
        <w:tc>
          <w:tcPr>
            <w:tcW w:w="4680" w:type="dxa"/>
            <w:vAlign w:val="bottom"/>
            <w:gridSpan w:val="2"/>
          </w:tcPr>
          <w:p>
            <w:pPr>
              <w:jc w:val="right"/>
              <w:ind w:right="279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20" w:top="922" w:right="379" w:bottom="1440" w:gutter="0" w:footer="0" w:header="0"/>
        </w:sectPr>
      </w:pPr>
    </w:p>
    <w:bookmarkStart w:id="9" w:name="page10"/>
    <w:bookmarkEnd w:id="9"/>
    <w:p>
      <w:pPr>
        <w:ind w:left="10160"/>
        <w:spacing w:after="0"/>
        <w:rPr>
          <w:sz w:val="20"/>
          <w:szCs w:val="20"/>
          <w:color w:val="auto"/>
        </w:rPr>
      </w:pPr>
      <w:r>
        <w:rPr>
          <w:rFonts w:ascii="Arial" w:cs="Arial" w:eastAsia="Arial" w:hAnsi="Arial"/>
          <w:sz w:val="16"/>
          <w:szCs w:val="16"/>
          <w:b w:val="1"/>
          <w:bCs w:val="1"/>
          <w:color w:val="auto"/>
        </w:rPr>
        <w:t>Exhibit 5.1</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May 28, 2021</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Fluidigm Corporation</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2 Tower Place, Suite 2000</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 94080</w:t>
      </w:r>
    </w:p>
    <w:p>
      <w:pPr>
        <w:spacing w:after="0" w:line="23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 Registration Statement on Form S-8</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47" w:lineRule="exact"/>
        <w:rPr>
          <w:sz w:val="20"/>
          <w:szCs w:val="20"/>
          <w:color w:val="auto"/>
        </w:rPr>
      </w:pPr>
    </w:p>
    <w:p>
      <w:pPr>
        <w:jc w:val="both"/>
        <w:ind w:firstLine="372"/>
        <w:spacing w:after="0" w:line="271" w:lineRule="auto"/>
        <w:rPr>
          <w:sz w:val="20"/>
          <w:szCs w:val="20"/>
          <w:color w:val="auto"/>
        </w:rPr>
      </w:pPr>
      <w:r>
        <w:rPr>
          <w:rFonts w:ascii="Arial" w:cs="Arial" w:eastAsia="Arial" w:hAnsi="Arial"/>
          <w:sz w:val="17"/>
          <w:szCs w:val="17"/>
          <w:color w:val="auto"/>
        </w:rPr>
        <w:t>We have examined the Registration Statement on Form S-8 (the “Registration Statement”) to be filed by Fluidigm Corporation, a Delaware corporation, with the Securities and Exchange Commission on or about the date hereof, in connection with the registration under the Securities Act of 1933, as amended, of 4,075,000 shares of your common stock, par value $0.001 per share (the “Shares”), reserved for future issuance pursuant to the Fluidigm Corporation 2011 Equity Incentive Plan, as amended (the “2011 Plan”). As your legal counsel, we have reviewed the actions proposed to be taken by you in connection with the issuance and sale of the Shares to be issued under the 2011 Plan.</w:t>
      </w:r>
    </w:p>
    <w:p>
      <w:pPr>
        <w:spacing w:after="0" w:line="204" w:lineRule="exact"/>
        <w:rPr>
          <w:sz w:val="20"/>
          <w:szCs w:val="20"/>
          <w:color w:val="auto"/>
        </w:rPr>
      </w:pPr>
    </w:p>
    <w:p>
      <w:pPr>
        <w:ind w:firstLine="372"/>
        <w:spacing w:after="0" w:line="270" w:lineRule="auto"/>
        <w:rPr>
          <w:sz w:val="20"/>
          <w:szCs w:val="20"/>
          <w:color w:val="auto"/>
        </w:rPr>
      </w:pPr>
      <w:r>
        <w:rPr>
          <w:rFonts w:ascii="Arial" w:cs="Arial" w:eastAsia="Arial" w:hAnsi="Arial"/>
          <w:sz w:val="18"/>
          <w:szCs w:val="18"/>
          <w:color w:val="auto"/>
        </w:rPr>
        <w:t>It is our opinion that the Shares, when issued and sold in the manner referred to in the 2011 Plan and pursuant to the agreements that accompany the 2011 Plan, will be legally and validly issued, fully paid and nonassessable.</w:t>
      </w:r>
    </w:p>
    <w:p>
      <w:pPr>
        <w:spacing w:after="0" w:line="201" w:lineRule="exact"/>
        <w:rPr>
          <w:sz w:val="20"/>
          <w:szCs w:val="20"/>
          <w:color w:val="auto"/>
        </w:rPr>
      </w:pPr>
    </w:p>
    <w:p>
      <w:pPr>
        <w:jc w:val="both"/>
        <w:ind w:right="20" w:firstLine="372"/>
        <w:spacing w:after="0" w:line="270" w:lineRule="auto"/>
        <w:rPr>
          <w:sz w:val="20"/>
          <w:szCs w:val="20"/>
          <w:color w:val="auto"/>
        </w:rPr>
      </w:pPr>
      <w:r>
        <w:rPr>
          <w:rFonts w:ascii="Arial" w:cs="Arial" w:eastAsia="Arial" w:hAnsi="Arial"/>
          <w:sz w:val="18"/>
          <w:szCs w:val="18"/>
          <w:color w:val="auto"/>
        </w:rPr>
        <w:t>We consent to the use of this opinion as an exhibit to the Registration Statement, and further consent to the use of our name wherever appearing in the Registration Statement and any amendments thereto.</w:t>
      </w:r>
    </w:p>
    <w:p>
      <w:pPr>
        <w:spacing w:after="0" w:line="255"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Very truly yours,</w:t>
      </w:r>
    </w:p>
    <w:p>
      <w:pPr>
        <w:spacing w:after="0" w:line="60"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/s/ Wilson Sonsini Goodrich &amp; Rosati,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2952750</wp:posOffset>
            </wp:positionH>
            <wp:positionV relativeFrom="paragraph">
              <wp:posOffset>30480</wp:posOffset>
            </wp:positionV>
            <wp:extent cx="27025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5">
                      <a:extLst>
                        <a:ext uri="{28A0092B-C50C-407E-A947-70E740481C1C}"/>
                      </a:extLst>
                    </a:blip>
                    <a:srcRect/>
                    <a:stretch>
                      <a:fillRect/>
                    </a:stretch>
                  </pic:blipFill>
                  <pic:spPr bwMode="auto">
                    <a:xfrm>
                      <a:off x="0" y="0"/>
                      <a:ext cx="2702560" cy="8255"/>
                    </a:xfrm>
                    <a:prstGeom prst="rect">
                      <a:avLst/>
                    </a:prstGeom>
                    <a:noFill/>
                  </pic:spPr>
                </pic:pic>
              </a:graphicData>
            </a:graphic>
          </wp:anchor>
        </w:drawing>
      </w:r>
    </w:p>
    <w:p>
      <w:pPr>
        <w:spacing w:after="0" w:line="5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WILSON SONSINI GOODRICH &amp; ROSATI</w:t>
      </w:r>
    </w:p>
    <w:p>
      <w:pPr>
        <w:spacing w:after="0" w:line="60"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Professional Corporation</w:t>
      </w:r>
    </w:p>
    <w:p>
      <w:pPr>
        <w:sectPr>
          <w:pgSz w:w="11900" w:h="16838" w:orient="portrait"/>
          <w:cols w:equalWidth="0" w:num="1">
            <w:col w:w="11000"/>
          </w:cols>
          <w:pgMar w:left="440" w:top="935" w:right="45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23.1</w:t>
      </w:r>
    </w:p>
    <w:p>
      <w:pPr>
        <w:spacing w:after="0" w:line="331"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87" w:lineRule="exact"/>
        <w:rPr>
          <w:sz w:val="20"/>
          <w:szCs w:val="20"/>
          <w:color w:val="auto"/>
        </w:rPr>
      </w:pPr>
    </w:p>
    <w:p>
      <w:pPr>
        <w:jc w:val="both"/>
        <w:ind w:right="200"/>
        <w:spacing w:after="0" w:line="258" w:lineRule="auto"/>
        <w:rPr>
          <w:sz w:val="20"/>
          <w:szCs w:val="20"/>
          <w:color w:val="auto"/>
        </w:rPr>
      </w:pPr>
      <w:r>
        <w:rPr>
          <w:rFonts w:ascii="Arial" w:cs="Arial" w:eastAsia="Arial" w:hAnsi="Arial"/>
          <w:sz w:val="18"/>
          <w:szCs w:val="18"/>
          <w:color w:val="auto"/>
        </w:rPr>
        <w:t>We hereby consent to the incorporation by reference in this Registration Statement on Form S-8 of Fluidigm Corporation of our report dated February 25, 2021 relating to the financial statements, financial statement schedule, and the effectiveness of internal control over financial reporting, which appears in Fluidigm Corporation’s Annual Report on Form 10-K for the year ended December 31, 2020.</w:t>
      </w:r>
    </w:p>
    <w:p>
      <w:pPr>
        <w:spacing w:after="0" w:line="26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 PricewaterhouseCoopers LLP</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San Jose, California</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May 28, 2021</w:t>
      </w:r>
    </w:p>
    <w:sectPr>
      <w:pgSz w:w="11900" w:h="16838" w:orient="portrait"/>
      <w:cols w:equalWidth="0" w:num="1">
        <w:col w:w="11140"/>
      </w:cols>
      <w:pgMar w:left="320" w:top="93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lvl w:ilvl="1">
      <w:lvlJc w:val="left"/>
      <w:lvlText w:val="(%2)"/>
      <w:numFmt w:val="lowerRoman"/>
      <w:start w:val="1"/>
    </w:lvl>
  </w:abstractNum>
  <w:abstractNum w:abstractNumId="4">
    <w:nsid w:val="3D1B58BA"/>
    <w:multiLevelType w:val="hybridMultilevel"/>
    <w:lvl w:ilvl="0">
      <w:lvlJc w:val="left"/>
      <w:lvlText w:val="%1"/>
      <w:numFmt w:val="upperLetter"/>
      <w:start w:val="1"/>
    </w:lvl>
    <w:lvl w:ilvl="1">
      <w:lvlJc w:val="left"/>
      <w:lvlText w:val="(%2)"/>
      <w:numFmt w:val="decimal"/>
      <w:start w:val="2"/>
    </w:lvl>
  </w:abstractNum>
  <w:abstractNum w:abstractNumId="5">
    <w:nsid w:val="507ED7AB"/>
    <w:multiLevelType w:val="hybridMultilevel"/>
    <w:lvl w:ilvl="0">
      <w:lvlJc w:val="left"/>
      <w:lvlText w:val="%1."/>
      <w:numFmt w:val="upp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34" Type="http://schemas.openxmlformats.org/officeDocument/2006/relationships/image" Target="media/image8.png"/><Relationship Id="rId35" Type="http://schemas.openxmlformats.org/officeDocument/2006/relationships/image" Target="media/image9.png"/><Relationship Id="rId15" Type="http://schemas.openxmlformats.org/officeDocument/2006/relationships/hyperlink" Target="http://www.sec.gov/ix?doc=/Archives/edgar/data/1162194/000116219421000013/fldm-20201231.htm" TargetMode="External"/><Relationship Id="rId16" Type="http://schemas.openxmlformats.org/officeDocument/2006/relationships/hyperlink" Target="http://www.sec.gov/ix?doc=/Archives/edgar/data/1162194/000162828021009552/fldm-20210331.htm" TargetMode="External"/><Relationship Id="rId17" Type="http://schemas.openxmlformats.org/officeDocument/2006/relationships/hyperlink" Target="http://www.sec.gov/Archives/edgar/data/1162194/000116219421000020/fldm2021proxystatement.htm" TargetMode="External"/><Relationship Id="rId18" Type="http://schemas.openxmlformats.org/officeDocument/2006/relationships/hyperlink" Target="http://www.sec.gov/Archives/edgar/data/1162194/000119312511025057/d8a12b.htm" TargetMode="External"/><Relationship Id="rId19" Type="http://schemas.openxmlformats.org/officeDocument/2006/relationships/hyperlink" Target="http://www.sec.gov/Archives/edgar/data/1162194/000119312517009947/d305495dex41.htm" TargetMode="External"/><Relationship Id="rId20" Type="http://schemas.openxmlformats.org/officeDocument/2006/relationships/hyperlink" Target="http://www.sec.gov/Archives/edgar/data/1162194/000116219421000048/exhibit101-amended2011equi.htm" TargetMode="External"/><Relationship Id="rId21" Type="http://schemas.openxmlformats.org/officeDocument/2006/relationships/hyperlink" Target="http://www.sec.gov/Archives/edgar/data/1162194/000157104917007659/t1702415_ex-d2.htm" TargetMode="External"/><Relationship Id="rId22" Type="http://schemas.openxmlformats.org/officeDocument/2006/relationships/hyperlink" Target="http://www.sec.gov/Archives/edgar/data/1162194/000157104917007659/t1702415_ex-d3.htm" TargetMode="External"/><Relationship Id="rId23" Type="http://schemas.openxmlformats.org/officeDocument/2006/relationships/hyperlink" Target="http://www.sec.gov/Archives/edgar/data/1162194/000157104917007659/t1702415_ex-d4.htm" TargetMode="External"/><Relationship Id="rId24" Type="http://schemas.openxmlformats.org/officeDocument/2006/relationships/hyperlink" Target="http://www.sec.gov/Archives/edgar/data/1162194/000157104917007659/t1702415_ex-d5.htm" TargetMode="External"/><Relationship Id="rId25" Type="http://schemas.openxmlformats.org/officeDocument/2006/relationships/hyperlink" Target="http://www.sec.gov/Archives/edgar/data/1162194/000157104917007659/t1702415_ex-d6.htm" TargetMode="External"/><Relationship Id="rId26" Type="http://schemas.openxmlformats.org/officeDocument/2006/relationships/hyperlink" Target="http://www.sec.gov/Archives/edgar/data/1162194/000157104917007659/t1702415_ex-d7.htm" TargetMode="External"/><Relationship Id="rId27" Type="http://schemas.openxmlformats.org/officeDocument/2006/relationships/hyperlink" Target="http://www.sec.gov/Archives/edgar/data/1162194/000119312514034901/d669277dex41.htm" TargetMode="External"/><Relationship Id="rId28" Type="http://schemas.openxmlformats.org/officeDocument/2006/relationships/hyperlink" Target="http://www.sec.gov/Archives/edgar/data/1162194/000119312514034901/d669277dex42.htm" TargetMode="External"/><Relationship Id="rId29" Type="http://schemas.openxmlformats.org/officeDocument/2006/relationships/hyperlink" Target="http://www.sec.gov/Archives/edgar/data/1162194/000110465919066659/tm1923592d1_ex4-1.htm" TargetMode="External"/><Relationship Id="rId30" Type="http://schemas.openxmlformats.org/officeDocument/2006/relationships/hyperlink" Target="http://www.sec.gov/Archives/edgar/data/1162194/000117184318005695/exh_101.htm" TargetMode="External"/><Relationship Id="rId31" Type="http://schemas.openxmlformats.org/officeDocument/2006/relationships/hyperlink" Target="https://www.sec.gov/Archives/edgar/data/1162194/000116219420000016/exhibit1013a10k2019.htm" TargetMode="External"/><Relationship Id="rId32" Type="http://schemas.openxmlformats.org/officeDocument/2006/relationships/hyperlink" Target="http://www.sec.gov/Archives/edgar/data/1162194/000110465919066659/tm1923592d1_ex10-2.htm" TargetMode="External"/><Relationship Id="rId33" Type="http://schemas.openxmlformats.org/officeDocument/2006/relationships/hyperlink" Target="http://www.sec.gov/Archives/edgar/data/1162194/000116219420000033/exhibit101svbloanamend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2021-05-28T20:55:13Z</dcterms:created>
  <dcterms:modified xsi:type="dcterms:W3CDTF">2021-05-28T20:55:13Z</dcterms:modified>
</cp:coreProperties>
</file>