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Cox Troy</w:t>
              </w:r>
            </w:hyperlink>
          </w:p>
        </w:tc>
        <w:tc>
          <w:tcPr>
            <w:tcW w:w="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STANDARD BIOTOOLS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0" w:type="dxa"/>
            <w:vAlign w:val="bottom"/>
            <w:tcBorders>
              <w:bottom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780" w:type="dxa"/>
            <w:vAlign w:val="bottom"/>
            <w:tcBorders>
              <w:bottom w:val="single" w:sz="8" w:color="0000EE"/>
            </w:tcBorders>
            <w:vMerge w:val="continue"/>
          </w:tcPr>
          <w:p>
            <w:pPr>
              <w:spacing w:after="0"/>
              <w:rPr>
                <w:sz w:val="5"/>
                <w:szCs w:val="5"/>
                <w:color w:val="auto"/>
              </w:rPr>
            </w:pPr>
          </w:p>
        </w:tc>
        <w:tc>
          <w:tcPr>
            <w:tcW w:w="220" w:type="dxa"/>
            <w:vAlign w:val="bottom"/>
            <w:vMerge w:val="restart"/>
          </w:tcPr>
          <w:p>
            <w:pPr>
              <w:spacing w:after="0"/>
              <w:rPr>
                <w:sz w:val="5"/>
                <w:szCs w:val="5"/>
                <w:color w:val="auto"/>
              </w:rPr>
            </w:pPr>
          </w:p>
        </w:tc>
        <w:tc>
          <w:tcPr>
            <w:tcW w:w="1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06/18/2026</w:t>
            </w:r>
          </w:p>
        </w:tc>
        <w:tc>
          <w:tcPr>
            <w:tcW w:w="11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C/O STANDARD BIOTOOLS INC.</w:t>
            </w:r>
          </w:p>
        </w:tc>
        <w:tc>
          <w:tcPr>
            <w:tcW w:w="1200" w:type="dxa"/>
            <w:vAlign w:val="bottom"/>
          </w:tcPr>
          <w:p>
            <w:pPr>
              <w:spacing w:after="0"/>
              <w:rPr>
                <w:sz w:val="10"/>
                <w:szCs w:val="10"/>
                <w:color w:val="auto"/>
              </w:rPr>
            </w:pPr>
          </w:p>
        </w:tc>
        <w:tc>
          <w:tcPr>
            <w:tcW w:w="274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50 MILK STREET, 10TH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02109</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06/18/2026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5"/>
              </w:rPr>
              <w:t>99,116</w:t>
            </w:r>
            <w:r>
              <w:rPr>
                <w:rFonts w:ascii="Times New Roman" w:cs="Times New Roman" w:eastAsia="Times New Roman" w:hAnsi="Times New Roman"/>
                <w:sz w:val="21"/>
                <w:szCs w:val="21"/>
                <w:color w:val="008000"/>
                <w:w w:val="85"/>
                <w:vertAlign w:val="superscript"/>
              </w:rPr>
              <w:t>(1)</w:t>
            </w: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475,702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0.8297</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06/18/2026</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175,923</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06/18/2036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175,923</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175,923</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to occur of June 18, 2027 and one day prior to the date of the Company's next annual meeting of stockholders, subject to the Reporting Person's continued service through the applicable vesting date. Each RSU represents the right to receive one share of common stock upon vesting.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installments beginning on July 18, 2026, subject to the Reporting Person's continued service through the applicable vesting date.</w:t>
      </w:r>
    </w:p>
    <w:p>
      <w:pPr>
        <w:spacing w:after="0" w:line="4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Troy Cox by Tomone</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06/23/2026</w:t>
            </w: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60" w:type="dxa"/>
            <w:vAlign w:val="bottom"/>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4"/>
              </w:rPr>
              <w:t>Tanaka, Attorney-in-Fact</w:t>
            </w:r>
          </w:p>
        </w:tc>
        <w:tc>
          <w:tcPr>
            <w:tcW w:w="54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60" w:type="dxa"/>
            <w:vAlign w:val="bottom"/>
            <w:tcBorders>
              <w:bottom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96923"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2026-06-23T17:08:50Z</dcterms:created>
  <dcterms:modified xsi:type="dcterms:W3CDTF">2026-06-23T17:08:50Z</dcterms:modified>
</cp:coreProperties>
</file>