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Casdin Amplify Fund,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8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STANDARD BIOTOOLS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LAB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338" w:lineRule="auto"/>
        <w:rPr>
          <w:sz w:val="20"/>
          <w:szCs w:val="20"/>
          <w:color w:val="auto"/>
        </w:rPr>
      </w:pPr>
      <w:r>
        <w:rPr>
          <w:rFonts w:ascii="Times New Roman" w:cs="Times New Roman" w:eastAsia="Times New Roman" w:hAnsi="Times New Roman"/>
          <w:sz w:val="20"/>
          <w:szCs w:val="20"/>
          <w:color w:val="0000FF"/>
        </w:rPr>
        <w:t>1350 AVENUE OF THE AMERICAS SUITE 2600</w:t>
      </w:r>
    </w:p>
    <w:p>
      <w:pPr>
        <w:spacing w:after="0" w:line="20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10019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545,000</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are owned directly by Casdin Amplify Fund, LP ("Amplify") and may be deemed to be indirectly beneficially owned by (i) Casdin Capital, LLC, the investment adviser to Amplify ("Casdin"), (ii) Casdin Partners GP, LLC, the general partner of Amplify (the "GP"), and (iii) Eli Casdin, the managing member of Casdin and the GP.</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240"/>
        <w:spacing w:after="0" w:line="239" w:lineRule="auto"/>
        <w:rPr>
          <w:sz w:val="20"/>
          <w:szCs w:val="20"/>
          <w:color w:val="auto"/>
        </w:rPr>
      </w:pPr>
      <w:r>
        <w:rPr>
          <w:rFonts w:ascii="Times New Roman" w:cs="Times New Roman" w:eastAsia="Times New Roman" w:hAnsi="Times New Roman"/>
          <w:sz w:val="15"/>
          <w:szCs w:val="15"/>
          <w:color w:val="008000"/>
        </w:rPr>
        <w:t>Eli Casdin has been deputized to represent the Reporting Person on the board of directors of the Issuer. By virtue of Mr. Casdin's representation, for purposes of Section 16 of the Securities Exchange Act of 1934 (the "Exchange Act"), the Reporting Person may be deemed a director by deputization of the Issuer. The Reporting Person disclaims beneficial ownership in the securities reported on this Form 3 except to the extent of its pecuniary interest, if any, therein, and this report shall not be deemed to be an admission that such Reporting Person is the beneficial owner of such securities for purposes of Section 16 or for any other purpose.</w:t>
      </w:r>
    </w:p>
    <w:p>
      <w:pPr>
        <w:spacing w:after="0" w:line="6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Casdin Amplify Fund,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042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429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By: Casdin Partners GP,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976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LLC, its General Partner,</w:t>
      </w:r>
      <w:r>
        <w:rPr>
          <w:sz w:val="20"/>
          <w:szCs w:val="20"/>
          <w:color w:val="auto"/>
        </w:rPr>
        <w:tab/>
      </w:r>
      <w:r>
        <w:rPr>
          <w:rFonts w:ascii="Times New Roman" w:cs="Times New Roman" w:eastAsia="Times New Roman" w:hAnsi="Times New Roman"/>
          <w:sz w:val="18"/>
          <w:szCs w:val="18"/>
          <w:color w:val="0000FF"/>
        </w:rPr>
        <w:t>06/26/2024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By: /s/ Eli Casdin,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0868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868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531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28254" TargetMode="External"/><Relationship Id="rId11"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2024-06-26T19:17:41Z</dcterms:created>
  <dcterms:modified xsi:type="dcterms:W3CDTF">2024-06-26T19:17:41Z</dcterms:modified>
</cp:coreProperties>
</file>