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jc w:val="center"/>
        <w:ind w:right="1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150495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SCHEDULE 14A</w:t>
      </w:r>
    </w:p>
    <w:p>
      <w:pPr>
        <w:spacing w:after="0" w:line="126" w:lineRule="exact"/>
        <w:rPr>
          <w:sz w:val="24"/>
          <w:szCs w:val="24"/>
          <w:color w:val="auto"/>
        </w:rPr>
      </w:pPr>
    </w:p>
    <w:p>
      <w:pPr>
        <w:ind w:left="4020"/>
        <w:spacing w:after="0"/>
        <w:rPr>
          <w:sz w:val="20"/>
          <w:szCs w:val="20"/>
          <w:color w:val="auto"/>
        </w:rPr>
      </w:pPr>
      <w:r>
        <w:rPr>
          <w:rFonts w:ascii="Arial" w:cs="Arial" w:eastAsia="Arial" w:hAnsi="Arial"/>
          <w:sz w:val="15"/>
          <w:szCs w:val="15"/>
          <w:b w:val="1"/>
          <w:bCs w:val="1"/>
          <w:color w:val="auto"/>
        </w:rPr>
        <w:t>(Rule 14A-101)</w:t>
      </w:r>
    </w:p>
    <w:p>
      <w:pPr>
        <w:spacing w:after="0" w:line="131" w:lineRule="exact"/>
        <w:rPr>
          <w:sz w:val="24"/>
          <w:szCs w:val="24"/>
          <w:color w:val="auto"/>
        </w:rPr>
      </w:pPr>
    </w:p>
    <w:p>
      <w:pPr>
        <w:ind w:left="2340"/>
        <w:spacing w:after="0"/>
        <w:rPr>
          <w:sz w:val="20"/>
          <w:szCs w:val="20"/>
          <w:color w:val="auto"/>
        </w:rPr>
      </w:pPr>
      <w:r>
        <w:rPr>
          <w:rFonts w:ascii="Arial" w:cs="Arial" w:eastAsia="Arial" w:hAnsi="Arial"/>
          <w:sz w:val="15"/>
          <w:szCs w:val="15"/>
          <w:b w:val="1"/>
          <w:bCs w:val="1"/>
          <w:color w:val="auto"/>
        </w:rPr>
        <w:t>PROXY STATEMENT PURSUANT TO SECTION 14(a) OF THE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07" w:lineRule="exact"/>
        <w:rPr>
          <w:sz w:val="24"/>
          <w:szCs w:val="24"/>
          <w:color w:val="auto"/>
        </w:rPr>
      </w:pPr>
    </w:p>
    <w:p>
      <w:pPr>
        <w:ind w:left="640"/>
        <w:spacing w:after="0" w:line="150" w:lineRule="exact"/>
        <w:tabs>
          <w:tab w:leader="none" w:pos="2860" w:val="left"/>
        </w:tabs>
        <w:rPr>
          <w:sz w:val="20"/>
          <w:szCs w:val="20"/>
          <w:color w:val="auto"/>
        </w:rPr>
      </w:pPr>
      <w:r>
        <w:rPr>
          <w:rFonts w:ascii="Arial" w:cs="Arial" w:eastAsia="Arial" w:hAnsi="Arial"/>
          <w:sz w:val="13"/>
          <w:szCs w:val="13"/>
          <w:color w:val="auto"/>
        </w:rPr>
        <w:t xml:space="preserve">Filed by the Registrant </w:t>
      </w:r>
      <w:r>
        <w:rPr>
          <w:rFonts w:ascii="MS PGothic" w:cs="MS PGothic" w:eastAsia="MS PGothic" w:hAnsi="MS PGothic"/>
          <w:sz w:val="13"/>
          <w:szCs w:val="13"/>
          <w:color w:val="auto"/>
        </w:rPr>
        <w:t>☒</w:t>
      </w:r>
      <w:r>
        <w:rPr>
          <w:sz w:val="20"/>
          <w:szCs w:val="20"/>
          <w:color w:val="auto"/>
        </w:rPr>
        <w:tab/>
      </w:r>
      <w:r>
        <w:rPr>
          <w:rFonts w:ascii="Arial" w:cs="Arial" w:eastAsia="Arial" w:hAnsi="Arial"/>
          <w:sz w:val="11"/>
          <w:szCs w:val="11"/>
          <w:color w:val="auto"/>
        </w:rPr>
        <w:t xml:space="preserve">Filed by a Party other than the Registrant </w:t>
      </w:r>
      <w:r>
        <w:rPr>
          <w:rFonts w:ascii="MS PGothic" w:cs="MS PGothic" w:eastAsia="MS PGothic" w:hAnsi="MS PGothic"/>
          <w:sz w:val="11"/>
          <w:szCs w:val="11"/>
          <w:color w:val="auto"/>
        </w:rPr>
        <w:t>☐</w:t>
      </w:r>
    </w:p>
    <w:p>
      <w:pPr>
        <w:spacing w:after="0" w:line="159" w:lineRule="exact"/>
        <w:rPr>
          <w:sz w:val="24"/>
          <w:szCs w:val="24"/>
          <w:color w:val="auto"/>
        </w:rPr>
      </w:pPr>
    </w:p>
    <w:p>
      <w:pPr>
        <w:ind w:left="640"/>
        <w:spacing w:after="0"/>
        <w:rPr>
          <w:sz w:val="20"/>
          <w:szCs w:val="20"/>
          <w:color w:val="auto"/>
        </w:rPr>
      </w:pPr>
      <w:r>
        <w:rPr>
          <w:rFonts w:ascii="Arial" w:cs="Arial" w:eastAsia="Arial" w:hAnsi="Arial"/>
          <w:sz w:val="13"/>
          <w:szCs w:val="13"/>
          <w:color w:val="auto"/>
        </w:rPr>
        <w:t>Check the appropriate box:</w:t>
      </w:r>
    </w:p>
    <w:p>
      <w:pPr>
        <w:spacing w:after="0" w:line="87" w:lineRule="exact"/>
        <w:rPr>
          <w:sz w:val="24"/>
          <w:szCs w:val="24"/>
          <w:color w:val="auto"/>
        </w:rPr>
      </w:pPr>
    </w:p>
    <w:p>
      <w:pPr>
        <w:ind w:left="1020" w:hanging="383"/>
        <w:spacing w:after="0"/>
        <w:tabs>
          <w:tab w:leader="none" w:pos="10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Preliminary Proxy Statement</w:t>
      </w:r>
    </w:p>
    <w:p>
      <w:pPr>
        <w:spacing w:after="0" w:line="73" w:lineRule="exact"/>
        <w:rPr>
          <w:rFonts w:ascii="MS PGothic" w:cs="MS PGothic" w:eastAsia="MS PGothic" w:hAnsi="MS PGothic"/>
          <w:sz w:val="13"/>
          <w:szCs w:val="13"/>
          <w:color w:val="auto"/>
        </w:rPr>
      </w:pPr>
    </w:p>
    <w:p>
      <w:pPr>
        <w:ind w:left="1020" w:hanging="383"/>
        <w:spacing w:after="0"/>
        <w:tabs>
          <w:tab w:leader="none" w:pos="102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Confidential, for Use of the Commission Only (as permitted by Rule 14a-6(e)(2))</w:t>
      </w:r>
    </w:p>
    <w:p>
      <w:pPr>
        <w:spacing w:after="0" w:line="81" w:lineRule="exact"/>
        <w:rPr>
          <w:rFonts w:ascii="MS PGothic" w:cs="MS PGothic" w:eastAsia="MS PGothic" w:hAnsi="MS PGothic"/>
          <w:sz w:val="13"/>
          <w:szCs w:val="13"/>
          <w:color w:val="auto"/>
        </w:rPr>
      </w:pPr>
    </w:p>
    <w:p>
      <w:pPr>
        <w:ind w:left="1020" w:hanging="383"/>
        <w:spacing w:after="0"/>
        <w:tabs>
          <w:tab w:leader="none" w:pos="10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Definitive Proxy Statement</w:t>
      </w:r>
    </w:p>
    <w:p>
      <w:pPr>
        <w:spacing w:after="0" w:line="77" w:lineRule="exact"/>
        <w:rPr>
          <w:rFonts w:ascii="MS PGothic" w:cs="MS PGothic" w:eastAsia="MS PGothic" w:hAnsi="MS PGothic"/>
          <w:sz w:val="13"/>
          <w:szCs w:val="13"/>
          <w:color w:val="auto"/>
        </w:rPr>
      </w:pPr>
    </w:p>
    <w:p>
      <w:pPr>
        <w:ind w:left="1020" w:hanging="383"/>
        <w:spacing w:after="0"/>
        <w:tabs>
          <w:tab w:leader="none" w:pos="10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Definitive Additional Materials</w:t>
      </w:r>
    </w:p>
    <w:p>
      <w:pPr>
        <w:spacing w:after="0" w:line="78" w:lineRule="exact"/>
        <w:rPr>
          <w:sz w:val="24"/>
          <w:szCs w:val="24"/>
          <w:color w:val="auto"/>
        </w:rPr>
      </w:pPr>
    </w:p>
    <w:p>
      <w:pPr>
        <w:ind w:left="1020" w:hanging="383"/>
        <w:spacing w:after="0"/>
        <w:tabs>
          <w:tab w:leader="none" w:pos="102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Soliciting Material under § 240.14a-12</w:t>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FLUIDIGM CORPORATION</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(Name of Registrant as Specified in its Charter)</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0"/>
          <w:szCs w:val="10"/>
          <w:b w:val="1"/>
          <w:bCs w:val="1"/>
          <w:color w:val="auto"/>
        </w:rPr>
        <w:t>(Name of Person(s) Filing Proxy Statement, if other than the Registrant)</w:t>
      </w:r>
    </w:p>
    <w:p>
      <w:pPr>
        <w:spacing w:after="0" w:line="175" w:lineRule="exact"/>
        <w:rPr>
          <w:sz w:val="24"/>
          <w:szCs w:val="24"/>
          <w:color w:val="auto"/>
        </w:rPr>
      </w:pPr>
    </w:p>
    <w:p>
      <w:pPr>
        <w:ind w:left="640"/>
        <w:spacing w:after="0"/>
        <w:rPr>
          <w:sz w:val="20"/>
          <w:szCs w:val="20"/>
          <w:color w:val="auto"/>
        </w:rPr>
      </w:pPr>
      <w:r>
        <w:rPr>
          <w:rFonts w:ascii="Arial" w:cs="Arial" w:eastAsia="Arial" w:hAnsi="Arial"/>
          <w:sz w:val="13"/>
          <w:szCs w:val="13"/>
          <w:color w:val="auto"/>
        </w:rPr>
        <w:t>Payment of Filing Fee (Check the appropriate box):</w:t>
      </w:r>
    </w:p>
    <w:p>
      <w:pPr>
        <w:spacing w:after="0" w:line="154" w:lineRule="exact"/>
        <w:rPr>
          <w:sz w:val="24"/>
          <w:szCs w:val="24"/>
          <w:color w:val="auto"/>
        </w:rPr>
      </w:pPr>
    </w:p>
    <w:p>
      <w:pPr>
        <w:ind w:left="1040" w:hanging="403"/>
        <w:spacing w:after="0"/>
        <w:tabs>
          <w:tab w:leader="none" w:pos="1040"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No fee required.</w:t>
      </w:r>
    </w:p>
    <w:p>
      <w:pPr>
        <w:spacing w:after="0" w:line="154" w:lineRule="exact"/>
        <w:rPr>
          <w:sz w:val="24"/>
          <w:szCs w:val="24"/>
          <w:color w:val="auto"/>
        </w:rPr>
      </w:pPr>
    </w:p>
    <w:p>
      <w:pPr>
        <w:ind w:left="1040" w:hanging="403"/>
        <w:spacing w:after="0"/>
        <w:tabs>
          <w:tab w:leader="none" w:pos="1040" w:val="left"/>
        </w:tabs>
        <w:numPr>
          <w:ilvl w:val="0"/>
          <w:numId w:val="4"/>
        </w:numPr>
        <w:rPr>
          <w:rFonts w:ascii="MS PGothic" w:cs="MS PGothic" w:eastAsia="MS PGothic" w:hAnsi="MS PGothic"/>
          <w:sz w:val="13"/>
          <w:szCs w:val="13"/>
          <w:color w:val="auto"/>
        </w:rPr>
      </w:pPr>
      <w:r>
        <w:rPr>
          <w:rFonts w:ascii="Arial" w:cs="Arial" w:eastAsia="Arial" w:hAnsi="Arial"/>
          <w:sz w:val="13"/>
          <w:szCs w:val="13"/>
          <w:color w:val="auto"/>
        </w:rPr>
        <w:t>Fee computed on table below per Exchange Act Rules 14a-6(i)(1) and 0-11.</w:t>
      </w:r>
    </w:p>
    <w:p>
      <w:pPr>
        <w:spacing w:after="0" w:line="153" w:lineRule="exact"/>
        <w:rPr>
          <w:rFonts w:ascii="MS PGothic" w:cs="MS PGothic" w:eastAsia="MS PGothic" w:hAnsi="MS PGothic"/>
          <w:sz w:val="13"/>
          <w:szCs w:val="13"/>
          <w:color w:val="auto"/>
        </w:rPr>
      </w:pPr>
    </w:p>
    <w:p>
      <w:pPr>
        <w:ind w:left="1420" w:hanging="385"/>
        <w:spacing w:after="0"/>
        <w:tabs>
          <w:tab w:leader="none" w:pos="1420" w:val="left"/>
        </w:tabs>
        <w:numPr>
          <w:ilvl w:val="1"/>
          <w:numId w:val="4"/>
        </w:numPr>
        <w:rPr>
          <w:rFonts w:ascii="Arial" w:cs="Arial" w:eastAsia="Arial" w:hAnsi="Arial"/>
          <w:sz w:val="13"/>
          <w:szCs w:val="13"/>
          <w:color w:val="auto"/>
        </w:rPr>
      </w:pPr>
      <w:r>
        <w:rPr>
          <w:rFonts w:ascii="Arial" w:cs="Arial" w:eastAsia="Arial" w:hAnsi="Arial"/>
          <w:sz w:val="13"/>
          <w:szCs w:val="13"/>
          <w:color w:val="auto"/>
        </w:rPr>
        <w:t>Title of each class of securities to which the transaction applies:</w:t>
      </w:r>
    </w:p>
    <w:p>
      <w:pPr>
        <w:spacing w:after="0" w:line="343" w:lineRule="exact"/>
        <w:rPr>
          <w:rFonts w:ascii="Arial" w:cs="Arial" w:eastAsia="Arial" w:hAnsi="Arial"/>
          <w:sz w:val="13"/>
          <w:szCs w:val="13"/>
          <w:color w:val="auto"/>
        </w:rPr>
      </w:pPr>
    </w:p>
    <w:p>
      <w:pPr>
        <w:ind w:left="1420" w:hanging="385"/>
        <w:spacing w:after="0"/>
        <w:tabs>
          <w:tab w:leader="none" w:pos="1420" w:val="left"/>
        </w:tabs>
        <w:numPr>
          <w:ilvl w:val="1"/>
          <w:numId w:val="4"/>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spacing w:after="0" w:line="343" w:lineRule="exact"/>
        <w:rPr>
          <w:rFonts w:ascii="Arial" w:cs="Arial" w:eastAsia="Arial" w:hAnsi="Arial"/>
          <w:sz w:val="13"/>
          <w:szCs w:val="13"/>
          <w:color w:val="auto"/>
        </w:rPr>
      </w:pPr>
    </w:p>
    <w:p>
      <w:pPr>
        <w:ind w:left="1420" w:right="719" w:hanging="385"/>
        <w:spacing w:after="0" w:line="261" w:lineRule="auto"/>
        <w:tabs>
          <w:tab w:leader="none" w:pos="1420" w:val="left"/>
        </w:tabs>
        <w:numPr>
          <w:ilvl w:val="1"/>
          <w:numId w:val="4"/>
        </w:numPr>
        <w:rPr>
          <w:rFonts w:ascii="Arial" w:cs="Arial" w:eastAsia="Arial" w:hAnsi="Arial"/>
          <w:sz w:val="13"/>
          <w:szCs w:val="13"/>
          <w:color w:val="auto"/>
        </w:rPr>
      </w:pPr>
      <w:r>
        <w:rPr>
          <w:rFonts w:ascii="Arial" w:cs="Arial" w:eastAsia="Arial" w:hAnsi="Arial"/>
          <w:sz w:val="13"/>
          <w:szCs w:val="13"/>
          <w:color w:val="auto"/>
        </w:rPr>
        <w:t>Per unit price or other underlying value of transaction computed pursuant to Exchange Act Rule 0-11 (set forth the amount on which the filing fee is calculated and state how it was determined):</w:t>
      </w:r>
    </w:p>
    <w:p>
      <w:pPr>
        <w:spacing w:after="0" w:line="319" w:lineRule="exact"/>
        <w:rPr>
          <w:rFonts w:ascii="Arial" w:cs="Arial" w:eastAsia="Arial" w:hAnsi="Arial"/>
          <w:sz w:val="13"/>
          <w:szCs w:val="13"/>
          <w:color w:val="auto"/>
        </w:rPr>
      </w:pPr>
    </w:p>
    <w:p>
      <w:pPr>
        <w:ind w:left="1420" w:hanging="385"/>
        <w:spacing w:after="0"/>
        <w:tabs>
          <w:tab w:leader="none" w:pos="1420" w:val="left"/>
        </w:tabs>
        <w:numPr>
          <w:ilvl w:val="1"/>
          <w:numId w:val="4"/>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spacing w:after="0" w:line="343" w:lineRule="exact"/>
        <w:rPr>
          <w:rFonts w:ascii="Arial" w:cs="Arial" w:eastAsia="Arial" w:hAnsi="Arial"/>
          <w:sz w:val="13"/>
          <w:szCs w:val="13"/>
          <w:color w:val="auto"/>
        </w:rPr>
      </w:pPr>
    </w:p>
    <w:p>
      <w:pPr>
        <w:ind w:left="1420" w:hanging="385"/>
        <w:spacing w:after="0"/>
        <w:tabs>
          <w:tab w:leader="none" w:pos="1420" w:val="left"/>
        </w:tabs>
        <w:numPr>
          <w:ilvl w:val="1"/>
          <w:numId w:val="4"/>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200" w:lineRule="exact"/>
        <w:rPr>
          <w:rFonts w:ascii="Arial" w:cs="Arial" w:eastAsia="Arial" w:hAnsi="Arial"/>
          <w:sz w:val="13"/>
          <w:szCs w:val="13"/>
          <w:color w:val="auto"/>
        </w:rPr>
      </w:pPr>
    </w:p>
    <w:p>
      <w:pPr>
        <w:spacing w:after="0" w:line="370" w:lineRule="exact"/>
        <w:rPr>
          <w:rFonts w:ascii="Arial" w:cs="Arial" w:eastAsia="Arial" w:hAnsi="Arial"/>
          <w:sz w:val="13"/>
          <w:szCs w:val="13"/>
          <w:color w:val="auto"/>
        </w:rPr>
      </w:pPr>
    </w:p>
    <w:p>
      <w:pPr>
        <w:ind w:left="1040" w:hanging="403"/>
        <w:spacing w:after="0"/>
        <w:tabs>
          <w:tab w:leader="none" w:pos="1040" w:val="left"/>
        </w:tabs>
        <w:numPr>
          <w:ilvl w:val="0"/>
          <w:numId w:val="4"/>
        </w:numPr>
        <w:rPr>
          <w:rFonts w:ascii="MS PGothic" w:cs="MS PGothic" w:eastAsia="MS PGothic" w:hAnsi="MS PGothic"/>
          <w:sz w:val="13"/>
          <w:szCs w:val="13"/>
          <w:color w:val="auto"/>
        </w:rPr>
      </w:pPr>
      <w:r>
        <w:rPr>
          <w:rFonts w:ascii="Arial" w:cs="Arial" w:eastAsia="Arial" w:hAnsi="Arial"/>
          <w:sz w:val="13"/>
          <w:szCs w:val="13"/>
          <w:color w:val="auto"/>
        </w:rPr>
        <w:t>Fee paid previously with preliminary materials.</w:t>
      </w:r>
    </w:p>
    <w:p>
      <w:pPr>
        <w:spacing w:after="0" w:line="229" w:lineRule="exact"/>
        <w:rPr>
          <w:rFonts w:ascii="MS PGothic" w:cs="MS PGothic" w:eastAsia="MS PGothic" w:hAnsi="MS PGothic"/>
          <w:sz w:val="13"/>
          <w:szCs w:val="13"/>
          <w:color w:val="auto"/>
        </w:rPr>
      </w:pPr>
    </w:p>
    <w:p>
      <w:pPr>
        <w:ind w:left="1040" w:right="859" w:hanging="403"/>
        <w:spacing w:after="0" w:line="302" w:lineRule="auto"/>
        <w:tabs>
          <w:tab w:leader="none" w:pos="1040" w:val="left"/>
        </w:tabs>
        <w:numPr>
          <w:ilvl w:val="0"/>
          <w:numId w:val="4"/>
        </w:numPr>
        <w:rPr>
          <w:rFonts w:ascii="MS PGothic" w:cs="MS PGothic" w:eastAsia="MS PGothic" w:hAnsi="MS PGothic"/>
          <w:sz w:val="12"/>
          <w:szCs w:val="12"/>
          <w:color w:val="auto"/>
        </w:rPr>
      </w:pPr>
      <w:r>
        <w:rPr>
          <w:rFonts w:ascii="Arial" w:cs="Arial" w:eastAsia="Arial" w:hAnsi="Arial"/>
          <w:sz w:val="12"/>
          <w:szCs w:val="12"/>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3" w:lineRule="exact"/>
        <w:rPr>
          <w:rFonts w:ascii="MS PGothic" w:cs="MS PGothic" w:eastAsia="MS PGothic" w:hAnsi="MS PGothic"/>
          <w:sz w:val="12"/>
          <w:szCs w:val="12"/>
          <w:color w:val="auto"/>
        </w:rPr>
      </w:pPr>
    </w:p>
    <w:p>
      <w:pPr>
        <w:ind w:left="1420" w:hanging="385"/>
        <w:spacing w:after="0"/>
        <w:tabs>
          <w:tab w:leader="none" w:pos="1420" w:val="left"/>
        </w:tabs>
        <w:numPr>
          <w:ilvl w:val="1"/>
          <w:numId w:val="4"/>
        </w:numPr>
        <w:rPr>
          <w:rFonts w:ascii="Arial" w:cs="Arial" w:eastAsia="Arial" w:hAnsi="Arial"/>
          <w:sz w:val="13"/>
          <w:szCs w:val="13"/>
          <w:color w:val="auto"/>
        </w:rPr>
      </w:pPr>
      <w:r>
        <w:rPr>
          <w:rFonts w:ascii="Arial" w:cs="Arial" w:eastAsia="Arial" w:hAnsi="Arial"/>
          <w:sz w:val="13"/>
          <w:szCs w:val="13"/>
          <w:color w:val="auto"/>
        </w:rPr>
        <w:t>Amount Previously Paid:</w:t>
      </w:r>
    </w:p>
    <w:p>
      <w:pPr>
        <w:spacing w:after="0" w:line="343" w:lineRule="exact"/>
        <w:rPr>
          <w:rFonts w:ascii="Arial" w:cs="Arial" w:eastAsia="Arial" w:hAnsi="Arial"/>
          <w:sz w:val="13"/>
          <w:szCs w:val="13"/>
          <w:color w:val="auto"/>
        </w:rPr>
      </w:pPr>
    </w:p>
    <w:p>
      <w:pPr>
        <w:ind w:left="1420" w:hanging="385"/>
        <w:spacing w:after="0"/>
        <w:tabs>
          <w:tab w:leader="none" w:pos="1420" w:val="left"/>
        </w:tabs>
        <w:numPr>
          <w:ilvl w:val="1"/>
          <w:numId w:val="4"/>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spacing w:after="0" w:line="343" w:lineRule="exact"/>
        <w:rPr>
          <w:rFonts w:ascii="Arial" w:cs="Arial" w:eastAsia="Arial" w:hAnsi="Arial"/>
          <w:sz w:val="13"/>
          <w:szCs w:val="13"/>
          <w:color w:val="auto"/>
        </w:rPr>
      </w:pPr>
    </w:p>
    <w:p>
      <w:pPr>
        <w:ind w:left="1420" w:hanging="385"/>
        <w:spacing w:after="0"/>
        <w:tabs>
          <w:tab w:leader="none" w:pos="1420" w:val="left"/>
        </w:tabs>
        <w:numPr>
          <w:ilvl w:val="1"/>
          <w:numId w:val="4"/>
        </w:numPr>
        <w:rPr>
          <w:rFonts w:ascii="Arial" w:cs="Arial" w:eastAsia="Arial" w:hAnsi="Arial"/>
          <w:sz w:val="13"/>
          <w:szCs w:val="13"/>
          <w:color w:val="auto"/>
        </w:rPr>
      </w:pPr>
      <w:r>
        <w:rPr>
          <w:rFonts w:ascii="Arial" w:cs="Arial" w:eastAsia="Arial" w:hAnsi="Arial"/>
          <w:sz w:val="13"/>
          <w:szCs w:val="13"/>
          <w:color w:val="auto"/>
        </w:rPr>
        <w:t>Filing Party:</w:t>
      </w:r>
    </w:p>
    <w:p>
      <w:pPr>
        <w:spacing w:after="0" w:line="343" w:lineRule="exact"/>
        <w:rPr>
          <w:rFonts w:ascii="Arial" w:cs="Arial" w:eastAsia="Arial" w:hAnsi="Arial"/>
          <w:sz w:val="13"/>
          <w:szCs w:val="13"/>
          <w:color w:val="auto"/>
        </w:rPr>
      </w:pPr>
    </w:p>
    <w:p>
      <w:pPr>
        <w:ind w:left="1420" w:hanging="385"/>
        <w:spacing w:after="0"/>
        <w:tabs>
          <w:tab w:leader="none" w:pos="1420" w:val="left"/>
        </w:tabs>
        <w:numPr>
          <w:ilvl w:val="1"/>
          <w:numId w:val="4"/>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898525</wp:posOffset>
            </wp:positionH>
            <wp:positionV relativeFrom="paragraph">
              <wp:posOffset>-3109595</wp:posOffset>
            </wp:positionV>
            <wp:extent cx="441706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17060" cy="5715"/>
                    </a:xfrm>
                    <a:prstGeom prst="rect">
                      <a:avLst/>
                    </a:prstGeom>
                    <a:noFill/>
                  </pic:spPr>
                </pic:pic>
              </a:graphicData>
            </a:graphic>
          </wp:anchor>
        </w:drawing>
        <w:drawing>
          <wp:anchor simplePos="0" relativeHeight="251657728" behindDoc="1" locked="0" layoutInCell="0" allowOverlap="1">
            <wp:simplePos x="0" y="0"/>
            <wp:positionH relativeFrom="column">
              <wp:posOffset>898525</wp:posOffset>
            </wp:positionH>
            <wp:positionV relativeFrom="paragraph">
              <wp:posOffset>-2796540</wp:posOffset>
            </wp:positionV>
            <wp:extent cx="441706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17060" cy="5715"/>
                    </a:xfrm>
                    <a:prstGeom prst="rect">
                      <a:avLst/>
                    </a:prstGeom>
                    <a:noFill/>
                  </pic:spPr>
                </pic:pic>
              </a:graphicData>
            </a:graphic>
          </wp:anchor>
        </w:drawing>
        <w:drawing>
          <wp:anchor simplePos="0" relativeHeight="251657728" behindDoc="1" locked="0" layoutInCell="0" allowOverlap="1">
            <wp:simplePos x="0" y="0"/>
            <wp:positionH relativeFrom="column">
              <wp:posOffset>898525</wp:posOffset>
            </wp:positionH>
            <wp:positionV relativeFrom="paragraph">
              <wp:posOffset>-2387600</wp:posOffset>
            </wp:positionV>
            <wp:extent cx="441706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17060" cy="5715"/>
                    </a:xfrm>
                    <a:prstGeom prst="rect">
                      <a:avLst/>
                    </a:prstGeom>
                    <a:noFill/>
                  </pic:spPr>
                </pic:pic>
              </a:graphicData>
            </a:graphic>
          </wp:anchor>
        </w:drawing>
        <w:drawing>
          <wp:anchor simplePos="0" relativeHeight="251657728" behindDoc="1" locked="0" layoutInCell="0" allowOverlap="1">
            <wp:simplePos x="0" y="0"/>
            <wp:positionH relativeFrom="column">
              <wp:posOffset>898525</wp:posOffset>
            </wp:positionH>
            <wp:positionV relativeFrom="paragraph">
              <wp:posOffset>-2074545</wp:posOffset>
            </wp:positionV>
            <wp:extent cx="441706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17060" cy="5715"/>
                    </a:xfrm>
                    <a:prstGeom prst="rect">
                      <a:avLst/>
                    </a:prstGeom>
                    <a:noFill/>
                  </pic:spPr>
                </pic:pic>
              </a:graphicData>
            </a:graphic>
          </wp:anchor>
        </w:drawing>
        <w:drawing>
          <wp:anchor simplePos="0" relativeHeight="251657728" behindDoc="1" locked="0" layoutInCell="0" allowOverlap="1">
            <wp:simplePos x="0" y="0"/>
            <wp:positionH relativeFrom="column">
              <wp:posOffset>898525</wp:posOffset>
            </wp:positionH>
            <wp:positionV relativeFrom="paragraph">
              <wp:posOffset>-1761490</wp:posOffset>
            </wp:positionV>
            <wp:extent cx="441706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417060" cy="5715"/>
                    </a:xfrm>
                    <a:prstGeom prst="rect">
                      <a:avLst/>
                    </a:prstGeom>
                    <a:noFill/>
                  </pic:spPr>
                </pic:pic>
              </a:graphicData>
            </a:graphic>
          </wp:anchor>
        </w:drawing>
        <w:drawing>
          <wp:anchor simplePos="0" relativeHeight="251657728" behindDoc="1" locked="0" layoutInCell="0" allowOverlap="1">
            <wp:simplePos x="0" y="0"/>
            <wp:positionH relativeFrom="column">
              <wp:posOffset>898525</wp:posOffset>
            </wp:positionH>
            <wp:positionV relativeFrom="paragraph">
              <wp:posOffset>-726440</wp:posOffset>
            </wp:positionV>
            <wp:extent cx="441706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417060" cy="5715"/>
                    </a:xfrm>
                    <a:prstGeom prst="rect">
                      <a:avLst/>
                    </a:prstGeom>
                    <a:noFill/>
                  </pic:spPr>
                </pic:pic>
              </a:graphicData>
            </a:graphic>
          </wp:anchor>
        </w:drawing>
        <w:drawing>
          <wp:anchor simplePos="0" relativeHeight="251657728" behindDoc="1" locked="0" layoutInCell="0" allowOverlap="1">
            <wp:simplePos x="0" y="0"/>
            <wp:positionH relativeFrom="column">
              <wp:posOffset>898525</wp:posOffset>
            </wp:positionH>
            <wp:positionV relativeFrom="paragraph">
              <wp:posOffset>-413385</wp:posOffset>
            </wp:positionV>
            <wp:extent cx="441706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417060" cy="5715"/>
                    </a:xfrm>
                    <a:prstGeom prst="rect">
                      <a:avLst/>
                    </a:prstGeom>
                    <a:noFill/>
                  </pic:spPr>
                </pic:pic>
              </a:graphicData>
            </a:graphic>
          </wp:anchor>
        </w:drawing>
        <w:drawing>
          <wp:anchor simplePos="0" relativeHeight="251657728" behindDoc="1" locked="0" layoutInCell="0" allowOverlap="1">
            <wp:simplePos x="0" y="0"/>
            <wp:positionH relativeFrom="column">
              <wp:posOffset>898525</wp:posOffset>
            </wp:positionH>
            <wp:positionV relativeFrom="paragraph">
              <wp:posOffset>-100965</wp:posOffset>
            </wp:positionV>
            <wp:extent cx="441706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17060" cy="5715"/>
                    </a:xfrm>
                    <a:prstGeom prst="rect">
                      <a:avLst/>
                    </a:prstGeom>
                    <a:noFill/>
                  </pic:spPr>
                </pic:pic>
              </a:graphicData>
            </a:graphic>
          </wp:anchor>
        </w:drawing>
        <w:drawing>
          <wp:anchor simplePos="0" relativeHeight="251657728" behindDoc="1" locked="0" layoutInCell="0" allowOverlap="1">
            <wp:simplePos x="0" y="0"/>
            <wp:positionH relativeFrom="column">
              <wp:posOffset>898525</wp:posOffset>
            </wp:positionH>
            <wp:positionV relativeFrom="paragraph">
              <wp:posOffset>211455</wp:posOffset>
            </wp:positionV>
            <wp:extent cx="441706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417060"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325755</wp:posOffset>
            </wp:positionV>
            <wp:extent cx="491045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356235</wp:posOffset>
            </wp:positionV>
            <wp:extent cx="491045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75"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2022-02-14T05:33:19Z</dcterms:created>
  <dcterms:modified xsi:type="dcterms:W3CDTF">2022-02-14T05:33:19Z</dcterms:modified>
</cp:coreProperties>
</file>