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Fluidigm Corporation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Common Stock, par value $0.001 per share</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(Title of Class Securities)</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34385P108</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December 31, 2020</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0" w:lineRule="exact"/>
        <w:rPr>
          <w:sz w:val="24"/>
          <w:szCs w:val="24"/>
          <w:color w:val="auto"/>
        </w:rPr>
      </w:pPr>
    </w:p>
    <w:p>
      <w:pPr>
        <w:spacing w:after="0" w:line="276" w:lineRule="exact"/>
        <w:rPr>
          <w:sz w:val="24"/>
          <w:szCs w:val="24"/>
          <w:color w:val="auto"/>
        </w:rPr>
      </w:pPr>
    </w:p>
    <w:p>
      <w:pPr>
        <w:jc w:val="both"/>
        <w:ind w:left="4620" w:right="4800" w:firstLine="5"/>
        <w:spacing w:after="0" w:line="277" w:lineRule="exact"/>
        <w:tabs>
          <w:tab w:leader="none" w:pos="5173"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13d-1(c)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13d-1(d)</w:t>
      </w:r>
    </w:p>
    <w:p>
      <w:pPr>
        <w:spacing w:after="0" w:line="182"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0"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3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CUSIP No. 34385P108</w:t>
            </w:r>
          </w:p>
        </w:tc>
        <w:tc>
          <w:tcPr>
            <w:tcW w:w="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6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SCHEDULE 13G</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4"/>
        </w:trPr>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w:t>
            </w:r>
          </w:p>
        </w:tc>
        <w:tc>
          <w:tcPr>
            <w:tcW w:w="440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w w:val="97"/>
              </w:rPr>
              <w:t>NAME OF REPORTING PERSONS.</w:t>
            </w: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440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rPr>
              <w:t>Indaba Capital Management, L.P.</w:t>
            </w: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68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w:t>
            </w:r>
          </w:p>
        </w:tc>
        <w:tc>
          <w:tcPr>
            <w:tcW w:w="1086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82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(a) [  ]</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80" w:type="dxa"/>
            <w:vAlign w:val="bottom"/>
          </w:tcPr>
          <w:p>
            <w:pPr>
              <w:spacing w:after="0"/>
              <w:rPr>
                <w:sz w:val="24"/>
                <w:szCs w:val="24"/>
                <w:color w:val="auto"/>
              </w:rPr>
            </w:pPr>
          </w:p>
        </w:tc>
        <w:tc>
          <w:tcPr>
            <w:tcW w:w="2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 [X]</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w:t>
            </w:r>
          </w:p>
        </w:tc>
        <w:tc>
          <w:tcPr>
            <w:tcW w:w="2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SEC Use Only</w:t>
            </w:r>
          </w:p>
        </w:tc>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80" w:type="dxa"/>
            <w:vAlign w:val="bottom"/>
            <w:tcBorders>
              <w:bottom w:val="single" w:sz="8" w:color="auto"/>
            </w:tcBorders>
            <w:vMerge w:val="continue"/>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440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5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82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Delaware</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5</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282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color w:val="auto"/>
                <w:w w:val="97"/>
              </w:rPr>
              <w:t>NUMBER OF SHARES</w:t>
            </w:r>
          </w:p>
        </w:tc>
        <w:tc>
          <w:tcPr>
            <w:tcW w:w="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6</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20" w:type="dxa"/>
            <w:vAlign w:val="bottom"/>
          </w:tcPr>
          <w:p>
            <w:pPr>
              <w:jc w:val="center"/>
              <w:ind w:right="232"/>
              <w:spacing w:after="0" w:line="216" w:lineRule="exact"/>
              <w:rPr>
                <w:sz w:val="20"/>
                <w:szCs w:val="20"/>
                <w:color w:val="auto"/>
              </w:rPr>
            </w:pPr>
            <w:r>
              <w:rPr>
                <w:rFonts w:ascii="Times New Roman" w:cs="Times New Roman" w:eastAsia="Times New Roman" w:hAnsi="Times New Roman"/>
                <w:sz w:val="22"/>
                <w:szCs w:val="22"/>
                <w:color w:val="auto"/>
                <w:w w:val="96"/>
              </w:rPr>
              <w:t>BENEFICIALLY</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7"/>
              </w:rPr>
              <w:t>OWNED BY EACH REPORTING</w:t>
            </w:r>
          </w:p>
        </w:tc>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32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7,536,350 (1)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380" w:type="dxa"/>
            <w:vAlign w:val="bottom"/>
          </w:tcPr>
          <w:p>
            <w:pPr>
              <w:spacing w:after="0"/>
              <w:rPr>
                <w:sz w:val="24"/>
                <w:szCs w:val="24"/>
                <w:color w:val="auto"/>
              </w:rPr>
            </w:pPr>
          </w:p>
        </w:tc>
        <w:tc>
          <w:tcPr>
            <w:tcW w:w="282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7"/>
              </w:rPr>
              <w:t>PERSON WITH</w:t>
            </w:r>
          </w:p>
        </w:tc>
        <w:tc>
          <w:tcPr>
            <w:tcW w:w="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7</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8</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7,536,350 (1)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9720" w:type="dxa"/>
            <w:vAlign w:val="bottom"/>
            <w:tcBorders>
              <w:bottom w:val="single" w:sz="8" w:color="auto"/>
            </w:tcBorders>
            <w:gridSpan w:val="4"/>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720" w:type="dxa"/>
            <w:vAlign w:val="bottom"/>
            <w:tcBorders>
              <w:bottom w:val="single" w:sz="8" w:color="auto"/>
            </w:tcBorders>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1086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74"/>
        </w:trPr>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2"/>
                <w:szCs w:val="22"/>
                <w:color w:val="auto"/>
              </w:rPr>
              <w:t>7,536,350 (1)</w:t>
            </w: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86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1086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 (See Instructions)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0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r>
      <w:tr>
        <w:trPr>
          <w:trHeight w:val="474"/>
        </w:trPr>
        <w:tc>
          <w:tcPr>
            <w:tcW w:w="8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9.9% (1)(2)</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380" w:type="dxa"/>
            <w:vAlign w:val="bottom"/>
            <w:tcBorders>
              <w:bottom w:val="single" w:sz="8" w:color="auto"/>
            </w:tcBorders>
          </w:tcPr>
          <w:p>
            <w:pPr>
              <w:spacing w:after="0" w:line="20" w:lineRule="exact"/>
              <w:rPr>
                <w:sz w:val="1"/>
                <w:szCs w:val="1"/>
                <w:color w:val="auto"/>
              </w:rPr>
            </w:pPr>
          </w:p>
        </w:tc>
      </w:tr>
      <w:tr>
        <w:trPr>
          <w:trHeight w:val="49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10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r>
      <w:tr>
        <w:trPr>
          <w:trHeight w:val="474"/>
        </w:trPr>
        <w:tc>
          <w:tcPr>
            <w:tcW w:w="8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IA, PN</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03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right="220" w:firstLine="8"/>
        <w:spacing w:after="0" w:line="239"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2,005,750 shares of common stock of Fluidigm Corporation (the “Issuer”) issuable upon conversion of the Issuer’s 5.25% Convertible Senior Notes due 2024 (the “Notes”). The Reporting Persons are prohibited from converting Notes held by the Fund (as defined below) to obtain beneficial ownership in excess of 9.9% of the outstanding shares of the Issuer’s common stock.</w:t>
      </w:r>
    </w:p>
    <w:p>
      <w:pPr>
        <w:spacing w:after="0" w:line="207" w:lineRule="exact"/>
        <w:rPr>
          <w:rFonts w:ascii="Times New Roman" w:cs="Times New Roman" w:eastAsia="Times New Roman" w:hAnsi="Times New Roman"/>
          <w:sz w:val="22"/>
          <w:szCs w:val="22"/>
          <w:color w:val="auto"/>
        </w:rPr>
      </w:pPr>
    </w:p>
    <w:p>
      <w:pPr>
        <w:ind w:right="420" w:firstLine="8"/>
        <w:spacing w:after="0" w:line="258"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74,119,005 shares of the Issuer’s common stock outstanding as of October 30, 2020, as disclosed in the Issuer’s Form 10-Q filed with the Securities and Exchange Commission (“SEC”) on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33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3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CUSIP No. 34385P108</w:t>
            </w:r>
          </w:p>
        </w:tc>
        <w:tc>
          <w:tcPr>
            <w:tcW w:w="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6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SCHEDULE 13G</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4"/>
        </w:trPr>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w:t>
            </w:r>
          </w:p>
        </w:tc>
        <w:tc>
          <w:tcPr>
            <w:tcW w:w="440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w w:val="97"/>
              </w:rPr>
              <w:t>NAME OF REPORTING PERSONS.</w:t>
            </w: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2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IC GP, LLC</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68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w:t>
            </w:r>
          </w:p>
        </w:tc>
        <w:tc>
          <w:tcPr>
            <w:tcW w:w="1086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82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(a) [  ]</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80" w:type="dxa"/>
            <w:vAlign w:val="bottom"/>
          </w:tcPr>
          <w:p>
            <w:pPr>
              <w:spacing w:after="0"/>
              <w:rPr>
                <w:sz w:val="24"/>
                <w:szCs w:val="24"/>
                <w:color w:val="auto"/>
              </w:rPr>
            </w:pPr>
          </w:p>
        </w:tc>
        <w:tc>
          <w:tcPr>
            <w:tcW w:w="2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 [X]</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w:t>
            </w:r>
          </w:p>
        </w:tc>
        <w:tc>
          <w:tcPr>
            <w:tcW w:w="2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SEC Use Only</w:t>
            </w:r>
          </w:p>
        </w:tc>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80" w:type="dxa"/>
            <w:vAlign w:val="bottom"/>
            <w:tcBorders>
              <w:bottom w:val="single" w:sz="8" w:color="auto"/>
            </w:tcBorders>
            <w:vMerge w:val="continue"/>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440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5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82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Delaware</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5</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487"/>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2"/>
                <w:szCs w:val="22"/>
                <w:color w:val="auto"/>
              </w:rPr>
              <w:t>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6</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495"/>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2"/>
                <w:szCs w:val="22"/>
                <w:color w:val="auto"/>
              </w:rPr>
              <w:t>7,536,350 (1)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7</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98"/>
        </w:trPr>
        <w:tc>
          <w:tcPr>
            <w:tcW w:w="380" w:type="dxa"/>
            <w:vAlign w:val="bottom"/>
          </w:tcPr>
          <w:p>
            <w:pPr>
              <w:spacing w:after="0"/>
              <w:rPr>
                <w:sz w:val="24"/>
                <w:szCs w:val="24"/>
                <w:color w:val="auto"/>
              </w:rPr>
            </w:pPr>
          </w:p>
        </w:tc>
        <w:tc>
          <w:tcPr>
            <w:tcW w:w="282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7"/>
              </w:rPr>
              <w:t>NUMBER OF SHARES</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vMerge w:val="restart"/>
          </w:tcPr>
          <w:p>
            <w:pPr>
              <w:ind w:left="500"/>
              <w:spacing w:after="0"/>
              <w:rPr>
                <w:sz w:val="20"/>
                <w:szCs w:val="20"/>
                <w:color w:val="auto"/>
              </w:rPr>
            </w:pPr>
            <w:r>
              <w:rPr>
                <w:rFonts w:ascii="Times New Roman" w:cs="Times New Roman" w:eastAsia="Times New Roman" w:hAnsi="Times New Roman"/>
                <w:sz w:val="22"/>
                <w:szCs w:val="22"/>
                <w:color w:val="auto"/>
              </w:rPr>
              <w:t>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2820" w:type="dxa"/>
            <w:vAlign w:val="bottom"/>
            <w:vMerge w:val="restart"/>
          </w:tcPr>
          <w:p>
            <w:pPr>
              <w:jc w:val="center"/>
              <w:ind w:right="232"/>
              <w:spacing w:after="0" w:line="230" w:lineRule="exact"/>
              <w:rPr>
                <w:sz w:val="20"/>
                <w:szCs w:val="20"/>
                <w:color w:val="auto"/>
              </w:rPr>
            </w:pPr>
            <w:r>
              <w:rPr>
                <w:rFonts w:ascii="Times New Roman" w:cs="Times New Roman" w:eastAsia="Times New Roman" w:hAnsi="Times New Roman"/>
                <w:sz w:val="22"/>
                <w:szCs w:val="22"/>
                <w:color w:val="auto"/>
                <w:w w:val="96"/>
              </w:rPr>
              <w:t>BENEFICIALLY</w:t>
            </w:r>
          </w:p>
        </w:tc>
        <w:tc>
          <w:tcPr>
            <w:tcW w:w="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200" w:type="dxa"/>
            <w:vAlign w:val="bottom"/>
            <w:gridSpan w:val="2"/>
          </w:tcPr>
          <w:p>
            <w:pPr>
              <w:jc w:val="center"/>
              <w:spacing w:after="0" w:line="236" w:lineRule="exact"/>
              <w:rPr>
                <w:sz w:val="20"/>
                <w:szCs w:val="20"/>
                <w:color w:val="auto"/>
              </w:rPr>
            </w:pPr>
            <w:r>
              <w:rPr>
                <w:rFonts w:ascii="Times New Roman" w:cs="Times New Roman" w:eastAsia="Times New Roman" w:hAnsi="Times New Roman"/>
                <w:sz w:val="22"/>
                <w:szCs w:val="22"/>
                <w:color w:val="auto"/>
                <w:w w:val="97"/>
              </w:rPr>
              <w:t>OWNED BY EACH REPORTING</w:t>
            </w:r>
          </w:p>
        </w:tc>
        <w:tc>
          <w:tcPr>
            <w:tcW w:w="1580" w:type="dxa"/>
            <w:vAlign w:val="bottom"/>
            <w:gridSpan w:val="2"/>
            <w:vMerge w:val="restart"/>
          </w:tcPr>
          <w:p>
            <w:pPr>
              <w:jc w:val="right"/>
              <w:ind w:right="1440"/>
              <w:spacing w:after="0"/>
              <w:rPr>
                <w:sz w:val="20"/>
                <w:szCs w:val="20"/>
                <w:color w:val="auto"/>
              </w:rPr>
            </w:pPr>
            <w:r>
              <w:rPr>
                <w:rFonts w:ascii="Times New Roman" w:cs="Times New Roman" w:eastAsia="Times New Roman" w:hAnsi="Times New Roman"/>
                <w:sz w:val="22"/>
                <w:szCs w:val="22"/>
                <w:color w:val="auto"/>
              </w:rPr>
              <w:t>8</w:t>
            </w:r>
          </w:p>
        </w:tc>
        <w:tc>
          <w:tcPr>
            <w:tcW w:w="6460" w:type="dxa"/>
            <w:vAlign w:val="bottom"/>
            <w:gridSpan w:val="2"/>
            <w:vMerge w:val="restart"/>
          </w:tcPr>
          <w:p>
            <w:pPr>
              <w:ind w:left="5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82"/>
        </w:trPr>
        <w:tc>
          <w:tcPr>
            <w:tcW w:w="380" w:type="dxa"/>
            <w:vAlign w:val="bottom"/>
          </w:tcPr>
          <w:p>
            <w:pPr>
              <w:spacing w:after="0"/>
              <w:rPr>
                <w:sz w:val="24"/>
                <w:szCs w:val="24"/>
                <w:color w:val="auto"/>
              </w:rPr>
            </w:pPr>
          </w:p>
        </w:tc>
        <w:tc>
          <w:tcPr>
            <w:tcW w:w="282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7"/>
              </w:rPr>
              <w:t>PERSON WITH</w:t>
            </w:r>
          </w:p>
        </w:tc>
        <w:tc>
          <w:tcPr>
            <w:tcW w:w="1580" w:type="dxa"/>
            <w:vAlign w:val="bottom"/>
            <w:gridSpan w:val="2"/>
            <w:vMerge w:val="continue"/>
          </w:tcPr>
          <w:p>
            <w:pPr>
              <w:spacing w:after="0"/>
              <w:rPr>
                <w:sz w:val="24"/>
                <w:szCs w:val="24"/>
                <w:color w:val="auto"/>
              </w:rPr>
            </w:pPr>
          </w:p>
        </w:tc>
        <w:tc>
          <w:tcPr>
            <w:tcW w:w="6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2"/>
                <w:szCs w:val="22"/>
                <w:color w:val="auto"/>
              </w:rPr>
              <w:t>7,536,350 (1)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9720" w:type="dxa"/>
            <w:vAlign w:val="bottom"/>
            <w:tcBorders>
              <w:bottom w:val="single" w:sz="8" w:color="auto"/>
            </w:tcBorders>
            <w:gridSpan w:val="4"/>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1086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74"/>
        </w:trPr>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2"/>
                <w:szCs w:val="22"/>
                <w:color w:val="auto"/>
              </w:rPr>
              <w:t>7,536,350 (1)</w:t>
            </w: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086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10860" w:type="dxa"/>
            <w:vAlign w:val="bottom"/>
            <w:gridSpan w:val="5"/>
          </w:tcPr>
          <w:p>
            <w:pPr>
              <w:ind w:left="11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 (See Instructions)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0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r>
      <w:tr>
        <w:trPr>
          <w:trHeight w:val="474"/>
        </w:trPr>
        <w:tc>
          <w:tcPr>
            <w:tcW w:w="8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9.9% (1)(2)</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380" w:type="dxa"/>
            <w:vAlign w:val="bottom"/>
            <w:tcBorders>
              <w:bottom w:val="single" w:sz="8" w:color="auto"/>
            </w:tcBorders>
          </w:tcPr>
          <w:p>
            <w:pPr>
              <w:spacing w:after="0" w:line="20" w:lineRule="exact"/>
              <w:rPr>
                <w:sz w:val="1"/>
                <w:szCs w:val="1"/>
                <w:color w:val="auto"/>
              </w:rPr>
            </w:pPr>
          </w:p>
        </w:tc>
      </w:tr>
      <w:tr>
        <w:trPr>
          <w:trHeight w:val="491"/>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10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r>
      <w:tr>
        <w:trPr>
          <w:trHeight w:val="474"/>
        </w:trPr>
        <w:tc>
          <w:tcPr>
            <w:tcW w:w="8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OO, HC</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03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360" w:firstLine="8"/>
        <w:spacing w:after="0" w:line="244"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2,005,750 shares of the Issuer’s common stock issuable upon conversion of Notes. The Reporting Persons are prohibited from converting Notes held by the Fund (as defined below) to obtain beneficial ownership in excess of 9.9% of the outstanding shares of the Issuer’s common stock.</w:t>
      </w:r>
    </w:p>
    <w:p>
      <w:pPr>
        <w:spacing w:after="0" w:line="200" w:lineRule="exact"/>
        <w:rPr>
          <w:rFonts w:ascii="Times New Roman" w:cs="Times New Roman" w:eastAsia="Times New Roman" w:hAnsi="Times New Roman"/>
          <w:sz w:val="22"/>
          <w:szCs w:val="22"/>
          <w:color w:val="auto"/>
        </w:rPr>
      </w:pPr>
    </w:p>
    <w:p>
      <w:pPr>
        <w:ind w:right="420" w:firstLine="8"/>
        <w:spacing w:after="0" w:line="258"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74,119,005 shares of the Issuer’s common stock outstanding as of October 30, 2020, as disclosed in the Issuer’s Form 10-Q filed with the SEC on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3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CUSIP No. 34385P108</w:t>
            </w:r>
          </w:p>
        </w:tc>
        <w:tc>
          <w:tcPr>
            <w:tcW w:w="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6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SCHEDULE 13G</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4"/>
        </w:trPr>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w:t>
            </w:r>
          </w:p>
        </w:tc>
        <w:tc>
          <w:tcPr>
            <w:tcW w:w="440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w w:val="97"/>
              </w:rPr>
              <w:t>NAME OF REPORTING PERSONS.</w:t>
            </w: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2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Derek C. Schrier</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68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w:t>
            </w:r>
          </w:p>
        </w:tc>
        <w:tc>
          <w:tcPr>
            <w:tcW w:w="1086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82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(a) [  ]</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80" w:type="dxa"/>
            <w:vAlign w:val="bottom"/>
          </w:tcPr>
          <w:p>
            <w:pPr>
              <w:spacing w:after="0"/>
              <w:rPr>
                <w:sz w:val="24"/>
                <w:szCs w:val="24"/>
                <w:color w:val="auto"/>
              </w:rPr>
            </w:pPr>
          </w:p>
        </w:tc>
        <w:tc>
          <w:tcPr>
            <w:tcW w:w="2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 [X]</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w:t>
            </w:r>
          </w:p>
        </w:tc>
        <w:tc>
          <w:tcPr>
            <w:tcW w:w="2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SEC Use Only</w:t>
            </w:r>
          </w:p>
        </w:tc>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80" w:type="dxa"/>
            <w:vAlign w:val="bottom"/>
            <w:tcBorders>
              <w:bottom w:val="single" w:sz="8" w:color="auto"/>
            </w:tcBorders>
            <w:vMerge w:val="continue"/>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440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5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82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United States</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5</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282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color w:val="auto"/>
                <w:w w:val="97"/>
              </w:rPr>
              <w:t>NUMBER OF SHARES</w:t>
            </w:r>
          </w:p>
        </w:tc>
        <w:tc>
          <w:tcPr>
            <w:tcW w:w="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6</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20" w:type="dxa"/>
            <w:vAlign w:val="bottom"/>
          </w:tcPr>
          <w:p>
            <w:pPr>
              <w:jc w:val="center"/>
              <w:ind w:right="232"/>
              <w:spacing w:after="0" w:line="216" w:lineRule="exact"/>
              <w:rPr>
                <w:sz w:val="20"/>
                <w:szCs w:val="20"/>
                <w:color w:val="auto"/>
              </w:rPr>
            </w:pPr>
            <w:r>
              <w:rPr>
                <w:rFonts w:ascii="Times New Roman" w:cs="Times New Roman" w:eastAsia="Times New Roman" w:hAnsi="Times New Roman"/>
                <w:sz w:val="22"/>
                <w:szCs w:val="22"/>
                <w:color w:val="auto"/>
                <w:w w:val="96"/>
              </w:rPr>
              <w:t>BENEFICIALLY</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7"/>
              </w:rPr>
              <w:t>OWNED BY EACH REPORTING</w:t>
            </w:r>
          </w:p>
        </w:tc>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7,536,350 (1)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380" w:type="dxa"/>
            <w:vAlign w:val="bottom"/>
          </w:tcPr>
          <w:p>
            <w:pPr>
              <w:spacing w:after="0"/>
              <w:rPr>
                <w:sz w:val="24"/>
                <w:szCs w:val="24"/>
                <w:color w:val="auto"/>
              </w:rPr>
            </w:pPr>
          </w:p>
        </w:tc>
        <w:tc>
          <w:tcPr>
            <w:tcW w:w="282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7"/>
              </w:rPr>
              <w:t>PERSON WITH</w:t>
            </w:r>
          </w:p>
        </w:tc>
        <w:tc>
          <w:tcPr>
            <w:tcW w:w="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7</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gridSpan w:val="2"/>
          </w:tcPr>
          <w:p>
            <w:pPr>
              <w:jc w:val="right"/>
              <w:ind w:right="1440"/>
              <w:spacing w:after="0"/>
              <w:rPr>
                <w:sz w:val="20"/>
                <w:szCs w:val="20"/>
                <w:color w:val="auto"/>
              </w:rPr>
            </w:pPr>
            <w:r>
              <w:rPr>
                <w:rFonts w:ascii="Times New Roman" w:cs="Times New Roman" w:eastAsia="Times New Roman" w:hAnsi="Times New Roman"/>
                <w:sz w:val="22"/>
                <w:szCs w:val="22"/>
                <w:color w:val="auto"/>
              </w:rPr>
              <w:t>8</w:t>
            </w:r>
          </w:p>
        </w:tc>
        <w:tc>
          <w:tcPr>
            <w:tcW w:w="64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7,536,350 (1)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9720" w:type="dxa"/>
            <w:vAlign w:val="bottom"/>
            <w:tcBorders>
              <w:bottom w:val="single" w:sz="8" w:color="auto"/>
            </w:tcBorders>
            <w:gridSpan w:val="4"/>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720" w:type="dxa"/>
            <w:vAlign w:val="bottom"/>
            <w:tcBorders>
              <w:bottom w:val="single" w:sz="8" w:color="auto"/>
            </w:tcBorders>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1086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74"/>
        </w:trPr>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2"/>
                <w:szCs w:val="22"/>
                <w:color w:val="auto"/>
              </w:rPr>
              <w:t>7,536,350 (1)</w:t>
            </w: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86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1086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 (See Instructions)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0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r>
      <w:tr>
        <w:trPr>
          <w:trHeight w:val="474"/>
        </w:trPr>
        <w:tc>
          <w:tcPr>
            <w:tcW w:w="8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9.9% (1)(2)</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380" w:type="dxa"/>
            <w:vAlign w:val="bottom"/>
            <w:tcBorders>
              <w:bottom w:val="single" w:sz="8" w:color="auto"/>
            </w:tcBorders>
          </w:tcPr>
          <w:p>
            <w:pPr>
              <w:spacing w:after="0" w:line="20" w:lineRule="exact"/>
              <w:rPr>
                <w:sz w:val="1"/>
                <w:szCs w:val="1"/>
                <w:color w:val="auto"/>
              </w:rPr>
            </w:pPr>
          </w:p>
        </w:tc>
      </w:tr>
      <w:tr>
        <w:trPr>
          <w:trHeight w:val="49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10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r>
      <w:tr>
        <w:trPr>
          <w:trHeight w:val="474"/>
        </w:trPr>
        <w:tc>
          <w:tcPr>
            <w:tcW w:w="8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IN, HC</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03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360" w:firstLine="8"/>
        <w:spacing w:after="0" w:line="244"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2,005,750 shares of the Issuer’s common stock issuable upon conversion of Notes. The Reporting Persons are prohibited from converting Notes held by the Fund (as defined below) to obtain beneficial ownership in excess of 9.9% of the outstanding shares of the Issuer’s common stock.</w:t>
      </w:r>
    </w:p>
    <w:p>
      <w:pPr>
        <w:spacing w:after="0" w:line="200" w:lineRule="exact"/>
        <w:rPr>
          <w:rFonts w:ascii="Times New Roman" w:cs="Times New Roman" w:eastAsia="Times New Roman" w:hAnsi="Times New Roman"/>
          <w:sz w:val="22"/>
          <w:szCs w:val="22"/>
          <w:color w:val="auto"/>
        </w:rPr>
      </w:pPr>
    </w:p>
    <w:p>
      <w:pPr>
        <w:ind w:right="420" w:firstLine="8"/>
        <w:spacing w:after="0" w:line="258"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74,119,005 shares of the Issuer’s common stock outstanding as of October 30, 2020, as disclosed in the Issuer’s Form 10-Q filed with the SEC on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578" w:gutter="0" w:footer="0" w:header="0"/>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1 to Schedule 13G</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00" w:lineRule="exact"/>
        <w:rPr>
          <w:sz w:val="20"/>
          <w:szCs w:val="20"/>
          <w:color w:val="auto"/>
        </w:rPr>
      </w:pPr>
    </w:p>
    <w:p>
      <w:pPr>
        <w:spacing w:after="0" w:line="280" w:lineRule="exact"/>
        <w:rPr>
          <w:sz w:val="20"/>
          <w:szCs w:val="20"/>
          <w:color w:val="auto"/>
        </w:rPr>
      </w:pPr>
    </w:p>
    <w:p>
      <w:pPr>
        <w:ind w:left="1420" w:hanging="697"/>
        <w:spacing w:after="0"/>
        <w:tabs>
          <w:tab w:leader="none" w:pos="14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33" w:lineRule="exact"/>
        <w:rPr>
          <w:rFonts w:ascii="Times New Roman" w:cs="Times New Roman" w:eastAsia="Times New Roman" w:hAnsi="Times New Roman"/>
          <w:sz w:val="22"/>
          <w:szCs w:val="22"/>
          <w:color w:val="auto"/>
        </w:rPr>
      </w:pPr>
    </w:p>
    <w:p>
      <w:pPr>
        <w:ind w:left="14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Fluidigm Corporation (the “Issuer”)</w:t>
      </w:r>
    </w:p>
    <w:p>
      <w:pPr>
        <w:spacing w:after="0" w:line="233" w:lineRule="exact"/>
        <w:rPr>
          <w:rFonts w:ascii="Times New Roman" w:cs="Times New Roman" w:eastAsia="Times New Roman" w:hAnsi="Times New Roman"/>
          <w:sz w:val="22"/>
          <w:szCs w:val="22"/>
          <w:color w:val="auto"/>
        </w:rPr>
      </w:pPr>
    </w:p>
    <w:p>
      <w:pPr>
        <w:ind w:left="1420" w:hanging="697"/>
        <w:spacing w:after="0"/>
        <w:tabs>
          <w:tab w:leader="none" w:pos="14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rFonts w:ascii="Times New Roman" w:cs="Times New Roman" w:eastAsia="Times New Roman" w:hAnsi="Times New Roman"/>
          <w:sz w:val="22"/>
          <w:szCs w:val="22"/>
          <w:color w:val="auto"/>
        </w:rPr>
      </w:pPr>
    </w:p>
    <w:p>
      <w:pPr>
        <w:ind w:left="14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Tower Place, Suite 2000, South San Francisco, CA 94080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00" w:lineRule="exact"/>
        <w:rPr>
          <w:sz w:val="20"/>
          <w:szCs w:val="20"/>
          <w:color w:val="auto"/>
        </w:rPr>
      </w:pPr>
    </w:p>
    <w:p>
      <w:pPr>
        <w:spacing w:after="0" w:line="280" w:lineRule="exact"/>
        <w:rPr>
          <w:sz w:val="20"/>
          <w:szCs w:val="20"/>
          <w:color w:val="auto"/>
        </w:rPr>
      </w:pPr>
    </w:p>
    <w:p>
      <w:pPr>
        <w:ind w:left="1420" w:hanging="710"/>
        <w:spacing w:after="0"/>
        <w:tabs>
          <w:tab w:leader="none" w:pos="1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14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is being filed jointly on behalf of:</w:t>
      </w:r>
    </w:p>
    <w:p>
      <w:pPr>
        <w:spacing w:after="0" w:line="233" w:lineRule="exact"/>
        <w:rPr>
          <w:rFonts w:ascii="Times New Roman" w:cs="Times New Roman" w:eastAsia="Times New Roman" w:hAnsi="Times New Roman"/>
          <w:sz w:val="22"/>
          <w:szCs w:val="22"/>
          <w:color w:val="auto"/>
        </w:rPr>
      </w:pPr>
    </w:p>
    <w:p>
      <w:pPr>
        <w:ind w:left="1680" w:hanging="255"/>
        <w:spacing w:after="0"/>
        <w:tabs>
          <w:tab w:leader="none" w:pos="16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Indaba Capital Management, L.P., a Delaware limited partnership (the "Investment Manager"),</w:t>
      </w:r>
    </w:p>
    <w:p>
      <w:pPr>
        <w:spacing w:after="0" w:line="233" w:lineRule="exact"/>
        <w:rPr>
          <w:rFonts w:ascii="Times New Roman" w:cs="Times New Roman" w:eastAsia="Times New Roman" w:hAnsi="Times New Roman"/>
          <w:sz w:val="22"/>
          <w:szCs w:val="22"/>
          <w:color w:val="auto"/>
        </w:rPr>
      </w:pPr>
    </w:p>
    <w:p>
      <w:pPr>
        <w:ind w:left="1420" w:firstLine="5"/>
        <w:spacing w:after="0" w:line="258" w:lineRule="auto"/>
        <w:tabs>
          <w:tab w:leader="none" w:pos="173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IC GP, LLC, a Delaware limited liability company, and the Investment Manager’s sole general partner (“IC GP”), and</w:t>
      </w:r>
    </w:p>
    <w:p>
      <w:pPr>
        <w:spacing w:after="0" w:line="185" w:lineRule="exact"/>
        <w:rPr>
          <w:rFonts w:ascii="Times New Roman" w:cs="Times New Roman" w:eastAsia="Times New Roman" w:hAnsi="Times New Roman"/>
          <w:sz w:val="22"/>
          <w:szCs w:val="22"/>
          <w:color w:val="auto"/>
        </w:rPr>
      </w:pPr>
    </w:p>
    <w:p>
      <w:pPr>
        <w:ind w:left="1420" w:right="200" w:firstLine="5"/>
        <w:spacing w:after="0" w:line="258" w:lineRule="auto"/>
        <w:tabs>
          <w:tab w:leader="none" w:pos="179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Derek C. Schrier, a United States citizen and the Managing Member of IC GP (the “Managing Member” and, collectively with the Investment Manager and IC GP, the “Reporting Persons”).</w:t>
      </w:r>
    </w:p>
    <w:p>
      <w:pPr>
        <w:spacing w:after="0" w:line="185" w:lineRule="exact"/>
        <w:rPr>
          <w:rFonts w:ascii="Times New Roman" w:cs="Times New Roman" w:eastAsia="Times New Roman" w:hAnsi="Times New Roman"/>
          <w:sz w:val="22"/>
          <w:szCs w:val="22"/>
          <w:color w:val="auto"/>
        </w:rPr>
      </w:pPr>
    </w:p>
    <w:p>
      <w:pPr>
        <w:ind w:left="1420" w:hanging="710"/>
        <w:spacing w:after="0"/>
        <w:tabs>
          <w:tab w:leader="none" w:pos="1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33" w:lineRule="exact"/>
        <w:rPr>
          <w:rFonts w:ascii="Times New Roman" w:cs="Times New Roman" w:eastAsia="Times New Roman" w:hAnsi="Times New Roman"/>
          <w:sz w:val="22"/>
          <w:szCs w:val="22"/>
          <w:color w:val="auto"/>
        </w:rPr>
      </w:pPr>
    </w:p>
    <w:p>
      <w:pPr>
        <w:ind w:left="14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each of the Reporting Persons is One Letterman Drive, Building D, Suite DM700, San Francisco, California 94129</w:t>
      </w:r>
    </w:p>
    <w:p>
      <w:pPr>
        <w:spacing w:after="0" w:line="185" w:lineRule="exact"/>
        <w:rPr>
          <w:rFonts w:ascii="Times New Roman" w:cs="Times New Roman" w:eastAsia="Times New Roman" w:hAnsi="Times New Roman"/>
          <w:sz w:val="22"/>
          <w:szCs w:val="22"/>
          <w:color w:val="auto"/>
        </w:rPr>
      </w:pPr>
    </w:p>
    <w:p>
      <w:pPr>
        <w:ind w:left="1420" w:hanging="710"/>
        <w:spacing w:after="0"/>
        <w:tabs>
          <w:tab w:leader="none" w:pos="1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1420"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Manager is a Delaware limited partnership, IC GP is a Delaware limited liability company and the Managing Member is a United States citizen.</w:t>
      </w:r>
    </w:p>
    <w:p>
      <w:pPr>
        <w:spacing w:after="0" w:line="185" w:lineRule="exact"/>
        <w:rPr>
          <w:rFonts w:ascii="Times New Roman" w:cs="Times New Roman" w:eastAsia="Times New Roman" w:hAnsi="Times New Roman"/>
          <w:sz w:val="22"/>
          <w:szCs w:val="22"/>
          <w:color w:val="auto"/>
        </w:rPr>
      </w:pPr>
    </w:p>
    <w:p>
      <w:pPr>
        <w:ind w:left="1420" w:hanging="710"/>
        <w:spacing w:after="0"/>
        <w:tabs>
          <w:tab w:leader="none" w:pos="1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Securities:</w:t>
      </w:r>
    </w:p>
    <w:p>
      <w:pPr>
        <w:spacing w:after="0" w:line="233" w:lineRule="exact"/>
        <w:rPr>
          <w:rFonts w:ascii="Times New Roman" w:cs="Times New Roman" w:eastAsia="Times New Roman" w:hAnsi="Times New Roman"/>
          <w:sz w:val="22"/>
          <w:szCs w:val="22"/>
          <w:color w:val="auto"/>
        </w:rPr>
      </w:pPr>
    </w:p>
    <w:p>
      <w:pPr>
        <w:ind w:left="14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par value $0.001 per share (“Common Stock”)</w:t>
      </w:r>
    </w:p>
    <w:p>
      <w:pPr>
        <w:spacing w:after="0" w:line="233" w:lineRule="exact"/>
        <w:rPr>
          <w:rFonts w:ascii="Times New Roman" w:cs="Times New Roman" w:eastAsia="Times New Roman" w:hAnsi="Times New Roman"/>
          <w:sz w:val="22"/>
          <w:szCs w:val="22"/>
          <w:color w:val="auto"/>
        </w:rPr>
      </w:pPr>
    </w:p>
    <w:p>
      <w:pPr>
        <w:ind w:left="1420" w:right="8160" w:hanging="710"/>
        <w:spacing w:after="0" w:line="523" w:lineRule="auto"/>
        <w:tabs>
          <w:tab w:leader="none" w:pos="14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5" w:name="page6"/>
    <w:bookmarkEnd w:id="5"/>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Rules 13d-1(b), or 13d-2(b) or (c), check whether the person filing is a:</w:t>
      </w:r>
    </w:p>
    <w:p>
      <w:pPr>
        <w:spacing w:after="0" w:line="200" w:lineRule="exact"/>
        <w:rPr>
          <w:sz w:val="20"/>
          <w:szCs w:val="20"/>
          <w:color w:val="auto"/>
        </w:rPr>
      </w:pPr>
    </w:p>
    <w:p>
      <w:pPr>
        <w:spacing w:after="0" w:line="280" w:lineRule="exact"/>
        <w:rPr>
          <w:sz w:val="20"/>
          <w:szCs w:val="20"/>
          <w:color w:val="auto"/>
        </w:rPr>
      </w:pPr>
    </w:p>
    <w:p>
      <w:pPr>
        <w:ind w:left="2320" w:hanging="868"/>
        <w:spacing w:after="0"/>
        <w:tabs>
          <w:tab w:leader="none" w:pos="232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Broker or dealer registered under section 15 of the Act (15 U.S.C. 78c).</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2320" w:hanging="868"/>
        <w:spacing w:after="0"/>
        <w:tabs>
          <w:tab w:leader="none" w:pos="232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Bank as defined in section 3(a)(6) of the Act (15 U.S.C. 78c).</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2320" w:hanging="868"/>
        <w:spacing w:after="0"/>
        <w:tabs>
          <w:tab w:leader="none" w:pos="232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Insurance company as defined in section 3(a)(19) of the Act (15 U.S.C. 78c).</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2880" w:hanging="1428"/>
        <w:spacing w:after="0" w:line="258" w:lineRule="auto"/>
        <w:tabs>
          <w:tab w:leader="none" w:pos="2313"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]Investment company registered under section 8 of the Investment Company Act (15 U.S.C. 80a-8).</w:t>
      </w: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2280" w:hanging="841"/>
        <w:spacing w:after="0"/>
        <w:tabs>
          <w:tab w:leader="none" w:pos="22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13d-1(b)(1)(ii)(E).</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2320" w:hanging="868"/>
        <w:spacing w:after="0"/>
        <w:tabs>
          <w:tab w:leader="none" w:pos="232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An employee benefit plan or endowment fund in accordance with Rule 13d-1(b)(1)(ii)(F).</w:t>
      </w:r>
    </w:p>
    <w:p>
      <w:pPr>
        <w:spacing w:after="0" w:line="200" w:lineRule="exact"/>
        <w:rPr>
          <w:sz w:val="20"/>
          <w:szCs w:val="20"/>
          <w:color w:val="auto"/>
        </w:rPr>
      </w:pPr>
    </w:p>
    <w:p>
      <w:pPr>
        <w:spacing w:after="0" w:line="276" w:lineRule="exact"/>
        <w:rPr>
          <w:sz w:val="20"/>
          <w:szCs w:val="20"/>
          <w:color w:val="auto"/>
        </w:rPr>
      </w:pPr>
    </w:p>
    <w:p>
      <w:pPr>
        <w:ind w:left="2280" w:hanging="841"/>
        <w:spacing w:after="0"/>
        <w:tabs>
          <w:tab w:leader="none" w:pos="22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13d-1(b)(1)(ii)(G).</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2880" w:right="600" w:hanging="1428"/>
        <w:spacing w:after="0" w:line="258" w:lineRule="auto"/>
        <w:tabs>
          <w:tab w:leader="none" w:pos="2313"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 savings association as defined in Section 3(b) of the Federal Deposit Insurance Act (12 U.S.C. 1813).</w:t>
      </w: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2320" w:hanging="868"/>
        <w:spacing w:after="0"/>
        <w:tabs>
          <w:tab w:leader="none" w:pos="23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14" w:lineRule="exact"/>
        <w:rPr>
          <w:rFonts w:ascii="Times New Roman" w:cs="Times New Roman" w:eastAsia="Times New Roman" w:hAnsi="Times New Roman"/>
          <w:sz w:val="22"/>
          <w:szCs w:val="22"/>
          <w:color w:val="auto"/>
        </w:rPr>
      </w:pPr>
    </w:p>
    <w:p>
      <w:pPr>
        <w:ind w:left="3300" w:hanging="417"/>
        <w:spacing w:after="0"/>
        <w:tabs>
          <w:tab w:leader="none" w:pos="330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w:t>
      </w:r>
    </w:p>
    <w:p>
      <w:pPr>
        <w:spacing w:after="0" w:line="200" w:lineRule="exact"/>
        <w:rPr>
          <w:sz w:val="20"/>
          <w:szCs w:val="20"/>
          <w:color w:val="auto"/>
        </w:rPr>
      </w:pPr>
    </w:p>
    <w:p>
      <w:pPr>
        <w:spacing w:after="0" w:line="252" w:lineRule="exact"/>
        <w:rPr>
          <w:sz w:val="20"/>
          <w:szCs w:val="20"/>
          <w:color w:val="auto"/>
        </w:rPr>
      </w:pPr>
    </w:p>
    <w:p>
      <w:pPr>
        <w:ind w:left="2320" w:hanging="868"/>
        <w:spacing w:after="0"/>
        <w:tabs>
          <w:tab w:leader="none" w:pos="2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A non-U.S. institution in accordance with Rule 13d-1(b)(1)(ii)(J).</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2320" w:hanging="868"/>
        <w:spacing w:after="0"/>
        <w:tabs>
          <w:tab w:leader="none" w:pos="2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6" w:name="page7"/>
    <w:bookmarkEnd w:id="6"/>
    <w:p>
      <w:pPr>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Amount beneficially owned:</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As of December 31, 2020, the Reporting Persons beneficially owned the shares of Common Stock referenced in Item 9 of the cover page pertaining to each Reporting Person and such Item 9 disclosure is incorporated herein by reference.</w:t>
      </w:r>
    </w:p>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shares of Common Stock beneficially owned by the Reporting Persons are directly held by Indaba Capital Fund, L.P. (the “Fund”), a private investment fund for which the Investment Manager serves as investment manager. Pursuant to an Investment Management Agreement, the Fund and its general partner have delegated all voting and investment power over the shares of Common Stock directly held by the Fund to the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11 of the cover page pertaining to each Reporting Person.</w:t>
      </w:r>
    </w:p>
    <w:p>
      <w:pPr>
        <w:spacing w:after="0" w:line="233"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to which the person has:</w:t>
      </w:r>
    </w:p>
    <w:p>
      <w:pPr>
        <w:spacing w:after="0" w:line="233" w:lineRule="exact"/>
        <w:rPr>
          <w:rFonts w:ascii="Times New Roman" w:cs="Times New Roman" w:eastAsia="Times New Roman" w:hAnsi="Times New Roman"/>
          <w:sz w:val="22"/>
          <w:szCs w:val="22"/>
          <w:color w:val="auto"/>
        </w:rPr>
      </w:pPr>
    </w:p>
    <w:p>
      <w:pPr>
        <w:ind w:left="1580" w:hanging="263"/>
        <w:spacing w:after="0"/>
        <w:tabs>
          <w:tab w:leader="none" w:pos="158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Incorporated by reference to Item 5 of the cover page pertaining to each Reporting Person.</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(ii) Shared power to direct the vote:</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Incorporated by reference to Item 6 of the cover page pertaining to each Reporting Person.</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Incorporated by reference to Item 7 of the cover page pertaining to each Reporting Person.</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Incorporated by reference to Item 8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51" w:right="479" w:bottom="1440" w:gutter="0" w:footer="0" w:header="0"/>
        </w:sectPr>
      </w:pPr>
    </w:p>
    <w:bookmarkStart w:id="7" w:name="page8"/>
    <w:bookmarkEnd w:id="7"/>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237"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securities, check the following [ ].</w:t>
      </w:r>
    </w:p>
    <w:p>
      <w:pPr>
        <w:spacing w:after="0" w:line="200" w:lineRule="exact"/>
        <w:rPr>
          <w:sz w:val="20"/>
          <w:szCs w:val="20"/>
          <w:color w:val="auto"/>
        </w:rPr>
      </w:pPr>
    </w:p>
    <w:p>
      <w:pPr>
        <w:spacing w:after="0" w:line="22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237"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22"/>
          <w:szCs w:val="22"/>
          <w:color w:val="auto"/>
        </w:rPr>
        <w:t>The shares of Common Stock beneficially owned by the Reporting Persons are directly held by the Fund, for which the Investment Manager serves as investment manager.</w:t>
      </w:r>
    </w:p>
    <w:p>
      <w:pPr>
        <w:spacing w:after="0" w:line="200" w:lineRule="exact"/>
        <w:rPr>
          <w:sz w:val="20"/>
          <w:szCs w:val="20"/>
          <w:color w:val="auto"/>
        </w:rPr>
      </w:pPr>
    </w:p>
    <w:p>
      <w:pPr>
        <w:spacing w:after="0" w:line="224" w:lineRule="exact"/>
        <w:rPr>
          <w:sz w:val="20"/>
          <w:szCs w:val="20"/>
          <w:color w:val="auto"/>
        </w:rPr>
      </w:pPr>
    </w:p>
    <w:p>
      <w:pPr>
        <w:ind w:left="1040" w:right="400" w:hanging="1038"/>
        <w:spacing w:after="0" w:line="262" w:lineRule="auto"/>
        <w:tabs>
          <w:tab w:leader="none" w:pos="102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 or Control Person.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8" w:name="page9"/>
    <w:bookmarkEnd w:id="8"/>
    <w:p>
      <w:pPr>
        <w:jc w:val="center"/>
        <w:ind w:right="-33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INDABA CAPITAL MANAGEMENT, L.P.</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By: IC GP, LLC, its general partner</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Derek C. Schrier</w:t>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Name: Derek C. Schrier</w:t>
      </w:r>
    </w:p>
    <w:p>
      <w:pPr>
        <w:ind w:left="598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IC GP, LLC</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Derek C. Schrier</w:t>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Name: Derek C. Schrier</w:t>
      </w:r>
    </w:p>
    <w:p>
      <w:pPr>
        <w:ind w:left="598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u w:val="single" w:color="auto"/>
          <w:color w:val="auto"/>
        </w:rPr>
        <w:t>/s/ Derek C. Schrier</w:t>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DEREK C. SCHRIER</w:t>
      </w:r>
    </w:p>
    <w:sectPr>
      <w:pgSz w:w="11900" w:h="16838" w:orient="portrait"/>
      <w:cols w:equalWidth="0" w:num="1">
        <w:col w:w="10900"/>
      </w:cols>
      <w:pgMar w:left="320" w:top="11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lvl w:ilvl="1">
      <w:lvlJc w:val="left"/>
      <w:lvlText w:val="(%2)"/>
      <w:numFmt w:val="lowerRoman"/>
      <w:start w:val="1"/>
    </w:lvl>
  </w:abstractNum>
  <w:abstractNum w:abstractNumId="6">
    <w:nsid w:val="5BD062C2"/>
    <w:multiLevelType w:val="hybridMultilevel"/>
    <w:lvl w:ilvl="0">
      <w:lvlJc w:val="left"/>
      <w:lvlText w:val="%1"/>
      <w:numFmt w:val="lowerLetter"/>
      <w:start w:val="1"/>
    </w:lvl>
    <w:lvl w:ilvl="1">
      <w:lvlJc w:val="left"/>
      <w:lvlText w:val="(%2)"/>
      <w:numFmt w:val="lowerLetter"/>
      <w:start w:val="1"/>
    </w:lvl>
  </w:abstractNum>
  <w:abstractNum w:abstractNumId="7">
    <w:nsid w:val="12200854"/>
    <w:multiLevelType w:val="hybridMultilevel"/>
    <w:lvl w:ilvl="0">
      <w:lvlJc w:val="left"/>
      <w:lvlText w:val="(%1)"/>
      <w:numFmt w:val="lowerLetter"/>
      <w:start w:val="5"/>
    </w:lvl>
    <w:lvl w:ilvl="1">
      <w:lvlJc w:val="left"/>
      <w:lvlText w:val="(%2)"/>
      <w:numFmt w:val="lowerLetter"/>
      <w:start w:val="6"/>
    </w:lvl>
  </w:abstractNum>
  <w:abstractNum w:abstractNumId="8">
    <w:nsid w:val="4DB127F8"/>
    <w:multiLevelType w:val="hybridMultilevel"/>
    <w:lvl w:ilvl="0">
      <w:lvlJc w:val="left"/>
      <w:lvlText w:val="(%1)"/>
      <w:numFmt w:val="lowerLetter"/>
      <w:start w:val="7"/>
    </w:lvl>
    <w:lvl w:ilvl="1">
      <w:lvlJc w:val="left"/>
      <w:lvlText w:val="(%2)"/>
      <w:numFmt w:val="lowerLetter"/>
      <w:start w:val="8"/>
    </w:lvl>
    <w:lvl w:ilvl="2">
      <w:lvlJc w:val="left"/>
      <w:lvlText w:val="(%3)"/>
      <w:numFmt w:val="decimal"/>
      <w:start w:val="14"/>
    </w:lvl>
  </w:abstractNum>
  <w:abstractNum w:abstractNumId="9">
    <w:nsid w:val="216231B"/>
    <w:multiLevelType w:val="hybridMultilevel"/>
    <w:lvl w:ilvl="0">
      <w:lvlJc w:val="left"/>
      <w:lvlText w:val="(%1)"/>
      <w:numFmt w:val="lowerLetter"/>
      <w:start w:val="10"/>
    </w:lvl>
  </w:abstractNum>
  <w:abstractNum w:abstractNumId="10">
    <w:nsid w:val="1F16E9E8"/>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2021-02-16T14:34:45Z</dcterms:created>
  <dcterms:modified xsi:type="dcterms:W3CDTF">2021-02-16T14:34:45Z</dcterms:modified>
</cp:coreProperties>
</file>