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3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2022</w:t>
      </w:r>
    </w:p>
    <w:p>
      <w:pPr>
        <w:spacing w:after="0" w:line="5"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or</w:t>
      </w:r>
    </w:p>
    <w:p>
      <w:pPr>
        <w:ind w:left="220" w:hanging="212"/>
        <w:spacing w:after="0"/>
        <w:tabs>
          <w:tab w:leader="none" w:pos="2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00"/>
          </w:cols>
          <w:pgMar w:left="320" w:top="932" w:right="379" w:bottom="1440" w:gutter="0" w:footer="0" w:header="0"/>
        </w:sectPr>
      </w:pPr>
    </w:p>
    <w:p>
      <w:pPr>
        <w:spacing w:after="0" w:line="4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to</w:t>
      </w:r>
    </w:p>
    <w:p>
      <w:pPr>
        <w:spacing w:after="0" w:line="1" w:lineRule="exact"/>
        <w:rPr>
          <w:sz w:val="24"/>
          <w:szCs w:val="24"/>
          <w:color w:val="auto"/>
        </w:rPr>
      </w:pPr>
    </w:p>
    <w:p>
      <w:pPr>
        <w:sectPr>
          <w:pgSz w:w="11900" w:h="16838" w:orient="portrait"/>
          <w:cols w:equalWidth="0" w:num="2">
            <w:col w:w="6580" w:space="720"/>
            <w:col w:w="3900"/>
          </w:cols>
          <w:pgMar w:left="320" w:top="932" w:right="379" w:bottom="1440" w:gutter="0" w:footer="0" w:header="0"/>
          <w:type w:val="continuous"/>
        </w:sectPr>
      </w:pPr>
    </w:p>
    <w:p>
      <w:pPr>
        <w:ind w:left="4000"/>
        <w:spacing w:after="0" w:line="219" w:lineRule="auto"/>
        <w:rPr>
          <w:sz w:val="20"/>
          <w:szCs w:val="20"/>
          <w:color w:val="auto"/>
        </w:rPr>
      </w:pPr>
      <w:r>
        <w:rPr>
          <w:rFonts w:ascii="Times New Roman" w:cs="Times New Roman" w:eastAsia="Times New Roman" w:hAnsi="Times New Roman"/>
          <w:sz w:val="14"/>
          <w:szCs w:val="14"/>
          <w:color w:val="auto"/>
        </w:rPr>
        <w:t>_____________________________________________</w:t>
      </w:r>
    </w:p>
    <w:p>
      <w:pPr>
        <w:sectPr>
          <w:pgSz w:w="11900" w:h="16838" w:orient="portrait"/>
          <w:cols w:equalWidth="0" w:num="1">
            <w:col w:w="11200"/>
          </w:cols>
          <w:pgMar w:left="320" w:top="932" w:right="379" w:bottom="1440" w:gutter="0" w:footer="0" w:header="0"/>
          <w:type w:val="continuous"/>
        </w:sectPr>
      </w:pP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13335</wp:posOffset>
            </wp:positionV>
            <wp:extent cx="1114425"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442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9"/>
          <w:szCs w:val="39"/>
          <w:b w:val="1"/>
          <w:bCs w:val="1"/>
          <w:color w:val="auto"/>
        </w:rPr>
        <w:t>STANDARD BIOTOOLS INC.</w:t>
      </w:r>
    </w:p>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932" w:right="379" w:bottom="1440" w:gutter="0" w:footer="0" w:header="0"/>
          <w:type w:val="continuous"/>
        </w:sectPr>
      </w:pPr>
    </w:p>
    <w:p>
      <w:pPr>
        <w:spacing w:after="0" w:line="140"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sectPr>
          <w:pgSz w:w="11900" w:h="16838" w:orient="portrait"/>
          <w:cols w:equalWidth="0" w:num="2">
            <w:col w:w="7180" w:space="720"/>
            <w:col w:w="3300"/>
          </w:cols>
          <w:pgMar w:left="320" w:top="932" w:right="37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85" w:lineRule="exact"/>
        <w:rPr>
          <w:sz w:val="24"/>
          <w:szCs w:val="24"/>
          <w:color w:val="auto"/>
        </w:rPr>
      </w:pPr>
    </w:p>
    <w:p>
      <w:pPr>
        <w:sectPr>
          <w:pgSz w:w="11900" w:h="16838" w:orient="portrait"/>
          <w:cols w:equalWidth="0" w:num="2">
            <w:col w:w="6500" w:space="720"/>
            <w:col w:w="3980"/>
          </w:cols>
          <w:pgMar w:left="320" w:top="932" w:right="3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b w:val="1"/>
          <w:bCs w:val="1"/>
          <w:color w:val="auto"/>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South San Francisco,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CA</w:t>
      </w:r>
    </w:p>
    <w:p>
      <w:pPr>
        <w:spacing w:after="0" w:line="20" w:lineRule="exact"/>
        <w:rPr>
          <w:sz w:val="24"/>
          <w:szCs w:val="24"/>
          <w:color w:val="auto"/>
        </w:rPr>
      </w:pPr>
      <w:r>
        <w:rPr>
          <w:sz w:val="24"/>
          <w:szCs w:val="24"/>
          <w:color w:val="auto"/>
        </w:rPr>
        <w:br w:type="column"/>
      </w:r>
    </w:p>
    <w:p>
      <w:pPr>
        <w:jc w:val="center"/>
        <w:ind w:right="2640"/>
        <w:spacing w:after="0"/>
        <w:rPr>
          <w:sz w:val="20"/>
          <w:szCs w:val="20"/>
          <w:color w:val="auto"/>
        </w:rPr>
      </w:pPr>
      <w:r>
        <w:rPr>
          <w:rFonts w:ascii="Times New Roman" w:cs="Times New Roman" w:eastAsia="Times New Roman" w:hAnsi="Times New Roman"/>
          <w:sz w:val="17"/>
          <w:szCs w:val="17"/>
          <w:b w:val="1"/>
          <w:bCs w:val="1"/>
          <w:color w:val="auto"/>
        </w:rPr>
        <w:t>94080</w:t>
      </w:r>
    </w:p>
    <w:p>
      <w:pPr>
        <w:spacing w:after="0" w:line="42" w:lineRule="exact"/>
        <w:rPr>
          <w:sz w:val="24"/>
          <w:szCs w:val="24"/>
          <w:color w:val="auto"/>
        </w:rPr>
      </w:pPr>
    </w:p>
    <w:p>
      <w:pPr>
        <w:sectPr>
          <w:pgSz w:w="11900" w:h="16838" w:orient="portrait"/>
          <w:cols w:equalWidth="0" w:num="4">
            <w:col w:w="2600" w:space="600"/>
            <w:col w:w="1620" w:space="220"/>
            <w:col w:w="2360" w:space="720"/>
            <w:col w:w="3080"/>
          </w:cols>
          <w:pgMar w:left="320" w:top="932" w:right="37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Zip Code</w:t>
      </w:r>
    </w:p>
    <w:p>
      <w:pPr>
        <w:spacing w:after="0" w:line="115" w:lineRule="exact"/>
        <w:rPr>
          <w:sz w:val="24"/>
          <w:szCs w:val="24"/>
          <w:color w:val="auto"/>
        </w:rPr>
      </w:pPr>
    </w:p>
    <w:p>
      <w:pPr>
        <w:sectPr>
          <w:pgSz w:w="11900" w:h="16838" w:orient="portrait"/>
          <w:cols w:equalWidth="0" w:num="2">
            <w:col w:w="7320" w:space="720"/>
            <w:col w:w="3160"/>
          </w:cols>
          <w:pgMar w:left="320" w:top="932"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(650) 266-6000</w:t>
      </w:r>
    </w:p>
    <w:p>
      <w:pPr>
        <w:spacing w:after="0" w:line="3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932" w:right="379" w:bottom="1440" w:gutter="0" w:footer="0" w:header="0"/>
          <w:type w:val="continuous"/>
        </w:sectPr>
      </w:pPr>
    </w:p>
    <w:p>
      <w:pPr>
        <w:spacing w:after="0" w:line="120"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42" w:lineRule="exact"/>
        <w:rPr>
          <w:sz w:val="24"/>
          <w:szCs w:val="24"/>
          <w:color w:val="auto"/>
        </w:rPr>
      </w:pPr>
    </w:p>
    <w:p>
      <w:pPr>
        <w:sectPr>
          <w:pgSz w:w="11900" w:h="16838" w:orient="portrait"/>
          <w:cols w:equalWidth="0" w:num="3">
            <w:col w:w="4260" w:space="720"/>
            <w:col w:w="1820" w:space="720"/>
            <w:col w:w="3680"/>
          </w:cols>
          <w:pgMar w:left="320" w:top="932" w:right="37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LAB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3">
            <w:col w:w="4620" w:space="720"/>
            <w:col w:w="1420" w:space="720"/>
            <w:col w:w="3720"/>
          </w:cols>
          <w:pgMar w:left="320" w:top="932" w:right="379" w:bottom="1440" w:gutter="0" w:footer="0" w:header="0"/>
          <w:type w:val="continuous"/>
        </w:sectPr>
      </w:pP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Times New Roman" w:cs="Times New Roman" w:eastAsia="Times New Roman" w:hAnsi="Times New Roman"/>
          <w:sz w:val="16"/>
          <w:szCs w:val="16"/>
          <w:color w:val="auto"/>
        </w:rPr>
        <w:t>ct.</w:t>
      </w:r>
    </w:p>
    <w:p>
      <w:pPr>
        <w:spacing w:after="0" w:line="134" w:lineRule="exact"/>
        <w:rPr>
          <w:sz w:val="24"/>
          <w:szCs w:val="24"/>
          <w:color w:val="auto"/>
        </w:rPr>
      </w:pPr>
    </w:p>
    <w:tbl>
      <w:tblPr>
        <w:tblLayout w:type="fixed"/>
        <w:tblInd w:w="1380" w:type="dxa"/>
        <w:tblCellMar>
          <w:top w:w="0" w:type="dxa"/>
          <w:left w:w="0" w:type="dxa"/>
          <w:bottom w:w="0" w:type="dxa"/>
          <w:right w:w="0" w:type="dxa"/>
        </w:tblCellMar>
      </w:tblP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6" w:lineRule="exact"/>
        <w:rPr>
          <w:sz w:val="24"/>
          <w:szCs w:val="24"/>
          <w:color w:val="auto"/>
        </w:rPr>
      </w:pPr>
    </w:p>
    <w:p>
      <w:pPr>
        <w:ind w:right="14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340" w:right="13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2022, there were 77,252,135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2" w:right="3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1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600" w:type="dxa"/>
            <w:vAlign w:val="bottom"/>
            <w:vMerge w:val="restart"/>
          </w:tcPr>
          <w:p>
            <w:pPr>
              <w:spacing w:after="0"/>
              <w:rPr>
                <w:sz w:val="2"/>
                <w:szCs w:val="2"/>
                <w:color w:val="auto"/>
              </w:rPr>
            </w:pPr>
          </w:p>
        </w:tc>
        <w:tc>
          <w:tcPr>
            <w:tcW w:w="980" w:type="dxa"/>
            <w:vAlign w:val="bottom"/>
            <w:vMerge w:val="restart"/>
          </w:tcPr>
          <w:p>
            <w:pPr>
              <w:spacing w:after="0"/>
              <w:rPr>
                <w:sz w:val="2"/>
                <w:szCs w:val="2"/>
                <w:color w:val="auto"/>
              </w:rPr>
            </w:pPr>
          </w:p>
        </w:tc>
        <w:tc>
          <w:tcPr>
            <w:tcW w:w="22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3380" w:type="dxa"/>
            <w:vAlign w:val="bottom"/>
            <w:gridSpan w:val="6"/>
            <w:vMerge w:val="restart"/>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60" w:type="dxa"/>
            <w:vAlign w:val="bottom"/>
            <w:tcBorders>
              <w:bottom w:val="single" w:sz="8" w:color="0000FF"/>
            </w:tcBorders>
            <w:gridSpan w:val="5"/>
            <w:vMerge w:val="continue"/>
          </w:tcPr>
          <w:p>
            <w:pPr>
              <w:spacing w:after="0"/>
              <w:rPr>
                <w:sz w:val="14"/>
                <w:szCs w:val="14"/>
                <w:color w:val="auto"/>
              </w:rPr>
            </w:pPr>
          </w:p>
        </w:tc>
        <w:tc>
          <w:tcPr>
            <w:tcW w:w="3380" w:type="dxa"/>
            <w:vAlign w:val="bottom"/>
            <w:gridSpan w:val="6"/>
            <w:vMerge w:val="continue"/>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2022 and December 31, 2021</w:t>
            </w:r>
          </w:p>
        </w:tc>
        <w:tc>
          <w:tcPr>
            <w:tcW w:w="2720" w:type="dxa"/>
            <w:vAlign w:val="bottom"/>
            <w:gridSpan w:val="5"/>
          </w:tcPr>
          <w:p>
            <w:pPr>
              <w:spacing w:after="0"/>
              <w:rPr>
                <w:sz w:val="22"/>
                <w:szCs w:val="22"/>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2022 and 202</w:t>
            </w:r>
            <w:r>
              <w:rPr>
                <w:rFonts w:ascii="Times New Roman" w:cs="Times New Roman" w:eastAsia="Times New Roman" w:hAnsi="Times New Roman"/>
                <w:sz w:val="18"/>
                <w:szCs w:val="18"/>
                <w:color w:val="000000"/>
              </w:rPr>
              <w:t>1</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months ended March 31, 2022 and 2021</w:t>
            </w:r>
          </w:p>
        </w:tc>
        <w:tc>
          <w:tcPr>
            <w:tcW w:w="740" w:type="dxa"/>
            <w:vAlign w:val="bottom"/>
          </w:tcPr>
          <w:p>
            <w:pPr>
              <w:spacing w:after="0"/>
              <w:rPr>
                <w:sz w:val="22"/>
                <w:szCs w:val="22"/>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2022 and 202</w:t>
            </w:r>
            <w:r>
              <w:rPr>
                <w:rFonts w:ascii="Times New Roman" w:cs="Times New Roman" w:eastAsia="Times New Roman" w:hAnsi="Times New Roman"/>
                <w:sz w:val="18"/>
                <w:szCs w:val="18"/>
                <w:color w:val="000000"/>
              </w:rPr>
              <w:t>1</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2022 and 202</w:t>
            </w:r>
            <w:r>
              <w:rPr>
                <w:rFonts w:ascii="Times New Roman" w:cs="Times New Roman" w:eastAsia="Times New Roman" w:hAnsi="Times New Roman"/>
                <w:sz w:val="18"/>
                <w:szCs w:val="18"/>
                <w:color w:val="000000"/>
              </w:rPr>
              <w:t>1</w:t>
            </w:r>
          </w:p>
        </w:tc>
        <w:tc>
          <w:tcPr>
            <w:tcW w:w="820" w:type="dxa"/>
            <w:vAlign w:val="bottom"/>
            <w:gridSpan w:val="2"/>
          </w:tcPr>
          <w:p>
            <w:pPr>
              <w:spacing w:after="0"/>
              <w:rPr>
                <w:sz w:val="24"/>
                <w:szCs w:val="24"/>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440" w:type="dxa"/>
            <w:vAlign w:val="bottom"/>
            <w:gridSpan w:val="6"/>
          </w:tcPr>
          <w:p>
            <w:pPr>
              <w:spacing w:after="0"/>
              <w:rPr>
                <w:sz w:val="22"/>
                <w:szCs w:val="22"/>
                <w:color w:val="auto"/>
              </w:rPr>
            </w:pPr>
          </w:p>
        </w:tc>
        <w:tc>
          <w:tcPr>
            <w:tcW w:w="1560" w:type="dxa"/>
            <w:vAlign w:val="bottom"/>
            <w:gridSpan w:val="3"/>
          </w:tcPr>
          <w:p>
            <w:pPr>
              <w:spacing w:after="0"/>
              <w:rPr>
                <w:sz w:val="22"/>
                <w:szCs w:val="22"/>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40" w:type="dxa"/>
            <w:vAlign w:val="bottom"/>
            <w:gridSpan w:val="4"/>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40" w:type="dxa"/>
            <w:vAlign w:val="bottom"/>
            <w:gridSpan w:val="8"/>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OTHER INFORMATION</w:t>
            </w:r>
          </w:p>
        </w:tc>
        <w:tc>
          <w:tcPr>
            <w:tcW w:w="3560" w:type="dxa"/>
            <w:vAlign w:val="bottom"/>
            <w:gridSpan w:val="7"/>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60" w:type="dxa"/>
            <w:vAlign w:val="bottom"/>
            <w:gridSpan w:val="14"/>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640" w:type="dxa"/>
            <w:vAlign w:val="bottom"/>
            <w:gridSpan w:val="8"/>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tcPr>
          <w:p>
            <w:pPr>
              <w:spacing w:after="0"/>
              <w:rPr>
                <w:sz w:val="22"/>
                <w:szCs w:val="22"/>
                <w:color w:val="auto"/>
              </w:rPr>
            </w:pPr>
          </w:p>
        </w:tc>
        <w:tc>
          <w:tcPr>
            <w:tcW w:w="6620" w:type="dxa"/>
            <w:vAlign w:val="bottom"/>
            <w:gridSpan w:val="12"/>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680" w:type="dxa"/>
            <w:vAlign w:val="bottom"/>
            <w:gridSpan w:val="15"/>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0" w:type="dxa"/>
            <w:vAlign w:val="bottom"/>
            <w:gridSpan w:val="1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EXHIBIT LIST</w:t>
            </w:r>
          </w:p>
        </w:tc>
        <w:tc>
          <w:tcPr>
            <w:tcW w:w="8800" w:type="dxa"/>
            <w:vAlign w:val="bottom"/>
            <w:gridSpan w:val="18"/>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6"/>
        </w:trPr>
        <w:tc>
          <w:tcPr>
            <w:tcW w:w="20" w:type="dxa"/>
            <w:vAlign w:val="bottom"/>
            <w:tcBorders>
              <w:bottom w:val="single" w:sz="8" w:color="9A9A9A"/>
            </w:tcBorders>
          </w:tcPr>
          <w:p>
            <w:pPr>
              <w:spacing w:after="0"/>
              <w:rPr>
                <w:sz w:val="24"/>
                <w:szCs w:val="24"/>
                <w:color w:val="auto"/>
              </w:rPr>
            </w:pPr>
          </w:p>
        </w:tc>
        <w:tc>
          <w:tcPr>
            <w:tcW w:w="9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6"/>
                <w:szCs w:val="16"/>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0" w:type="dxa"/>
            <w:vAlign w:val="bottom"/>
          </w:tcPr>
          <w:p>
            <w:pPr>
              <w:spacing w:after="0"/>
              <w:rPr>
                <w:sz w:val="1"/>
                <w:szCs w:val="1"/>
                <w:color w:val="auto"/>
              </w:rPr>
            </w:pPr>
          </w:p>
        </w:tc>
      </w:tr>
      <w:tr>
        <w:trPr>
          <w:trHeight w:val="229"/>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$356 at each of March 31, 2022 and December 31, 2021)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20,825</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72,066</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28,034</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37,119</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27,927</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106,379</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275,214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30"/>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0" w:type="dxa"/>
            <w:vAlign w:val="bottom"/>
          </w:tcPr>
          <w:p>
            <w:pPr>
              <w:spacing w:after="0"/>
              <w:rPr>
                <w:sz w:val="1"/>
                <w:szCs w:val="1"/>
                <w:color w:val="auto"/>
              </w:rPr>
            </w:pPr>
          </w:p>
        </w:tc>
      </w:tr>
      <w:tr>
        <w:trPr>
          <w:trHeight w:val="230"/>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grant income, current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0" w:type="dxa"/>
            <w:vAlign w:val="bottom"/>
          </w:tcPr>
          <w:p>
            <w:pPr>
              <w:spacing w:after="0"/>
              <w:rPr>
                <w:sz w:val="1"/>
                <w:szCs w:val="1"/>
                <w:color w:val="auto"/>
              </w:rPr>
            </w:pPr>
          </w:p>
        </w:tc>
      </w:tr>
      <w:tr>
        <w:trPr>
          <w:trHeight w:val="230"/>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under revolving credit agreement, current</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23"/>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49,568</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Bridge loans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54,160</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grant income, non-current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 for Series B Preferred Stock</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180,618</w:t>
            </w:r>
          </w:p>
        </w:tc>
        <w:tc>
          <w:tcPr>
            <w:tcW w:w="0" w:type="dxa"/>
            <w:vAlign w:val="bottom"/>
          </w:tcPr>
          <w:p>
            <w:pPr>
              <w:spacing w:after="0"/>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 shares authorized, no shares issued and outstanding at either</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31, 2022 or December 31, 2021</w:t>
            </w:r>
          </w:p>
        </w:tc>
        <w:tc>
          <w:tcPr>
            <w:tcW w:w="2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3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$0.001 par value, 200,000 shares authorized at March 31, 2022 and December 31, 2021;</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30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77,199 and 76,919 shares issued and outstanding at March 31, 2022 and December 31, 2021,</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831,424</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(735,998)</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94,596</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275,214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24,728</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Development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32,794</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service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52,114</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forward sale of Series B Preferred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bridge loans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77,031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74,707</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100" w:type="dxa"/>
            <w:vAlign w:val="bottom"/>
            <w:shd w:val="clear" w:color="auto" w:fill="CCEEFF"/>
          </w:tcPr>
          <w:p>
            <w:pPr>
              <w:spacing w:after="0"/>
              <w:rPr>
                <w:sz w:val="19"/>
                <w:szCs w:val="19"/>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(19,264)</w:t>
            </w:r>
          </w:p>
        </w:tc>
        <w:tc>
          <w:tcPr>
            <w:tcW w:w="100" w:type="dxa"/>
            <w:vAlign w:val="bottom"/>
          </w:tcPr>
          <w:p>
            <w:pPr>
              <w:spacing w:after="0"/>
              <w:rPr>
                <w:sz w:val="19"/>
                <w:szCs w:val="19"/>
                <w:color w:val="auto"/>
              </w:rPr>
            </w:pPr>
          </w:p>
        </w:tc>
      </w:tr>
      <w:tr>
        <w:trPr>
          <w:trHeight w:val="21"/>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2080" w:type="dxa"/>
            <w:vAlign w:val="bottom"/>
            <w:gridSpan w:val="3"/>
            <w:vMerge w:val="restart"/>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restart"/>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60" w:type="dxa"/>
            <w:vAlign w:val="bottom"/>
          </w:tcPr>
          <w:p>
            <w:pPr>
              <w:spacing w:after="0"/>
              <w:rPr>
                <w:sz w:val="2"/>
                <w:szCs w:val="2"/>
                <w:color w:val="auto"/>
              </w:rPr>
            </w:pPr>
          </w:p>
        </w:tc>
        <w:tc>
          <w:tcPr>
            <w:tcW w:w="10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2"/>
                <w:szCs w:val="2"/>
                <w:color w:val="auto"/>
              </w:rPr>
            </w:pPr>
          </w:p>
        </w:tc>
        <w:tc>
          <w:tcPr>
            <w:tcW w:w="1000" w:type="dxa"/>
            <w:vAlign w:val="bottom"/>
            <w:vMerge w:val="restart"/>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Income (Loss)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76,919</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94,596</w:t>
            </w:r>
          </w:p>
        </w:tc>
        <w:tc>
          <w:tcPr>
            <w:tcW w:w="0" w:type="dxa"/>
            <w:vAlign w:val="bottom"/>
          </w:tcPr>
          <w:p>
            <w:pPr>
              <w:spacing w:after="0"/>
              <w:rPr>
                <w:sz w:val="1"/>
                <w:szCs w:val="1"/>
                <w:color w:val="auto"/>
              </w:rPr>
            </w:pPr>
          </w:p>
        </w:tc>
      </w:tr>
      <w:tr>
        <w:trPr>
          <w:trHeight w:val="184"/>
        </w:trPr>
        <w:tc>
          <w:tcPr>
            <w:tcW w:w="3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restricted stock, net of shares withheld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taxes,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as of March 31, 2022</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77,199</w:t>
            </w:r>
          </w:p>
        </w:tc>
        <w:tc>
          <w:tcPr>
            <w:tcW w:w="1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58"/>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835,379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(812,286)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22,113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2080" w:type="dxa"/>
            <w:vAlign w:val="bottom"/>
            <w:gridSpan w:val="3"/>
            <w:vMerge w:val="restart"/>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restart"/>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60" w:type="dxa"/>
            <w:vAlign w:val="bottom"/>
          </w:tcPr>
          <w:p>
            <w:pPr>
              <w:spacing w:after="0"/>
              <w:rPr>
                <w:sz w:val="2"/>
                <w:szCs w:val="2"/>
                <w:color w:val="auto"/>
              </w:rPr>
            </w:pPr>
          </w:p>
        </w:tc>
        <w:tc>
          <w:tcPr>
            <w:tcW w:w="10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2"/>
                <w:szCs w:val="2"/>
                <w:color w:val="auto"/>
              </w:rPr>
            </w:pPr>
          </w:p>
        </w:tc>
        <w:tc>
          <w:tcPr>
            <w:tcW w:w="1000" w:type="dxa"/>
            <w:vAlign w:val="bottom"/>
            <w:vMerge w:val="restart"/>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Income (Loss)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74,543</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139,050</w:t>
            </w:r>
          </w:p>
        </w:tc>
        <w:tc>
          <w:tcPr>
            <w:tcW w:w="0" w:type="dxa"/>
            <w:vAlign w:val="bottom"/>
          </w:tcPr>
          <w:p>
            <w:pPr>
              <w:spacing w:after="0"/>
              <w:rPr>
                <w:sz w:val="1"/>
                <w:szCs w:val="1"/>
                <w:color w:val="auto"/>
              </w:rPr>
            </w:pPr>
          </w:p>
        </w:tc>
      </w:tr>
      <w:tr>
        <w:trPr>
          <w:trHeight w:val="184"/>
        </w:trPr>
        <w:tc>
          <w:tcPr>
            <w:tcW w:w="3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restricted stock, net of shares withheld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taxes,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74,963</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818,776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(695,582)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122,938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92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(76,288)</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(18,821)</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8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forward sale of Series B Preferred Stock</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loss on bridge loans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w:t>
            </w:r>
          </w:p>
        </w:tc>
      </w:tr>
      <w:tr>
        <w:trPr>
          <w:trHeight w:val="21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developed technology</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r>
      <w:tr>
        <w:trPr>
          <w:trHeight w:val="195"/>
        </w:trPr>
        <w:tc>
          <w:tcPr>
            <w:tcW w:w="8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r>
      <w:tr>
        <w:trPr>
          <w:trHeight w:val="21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95"/>
        </w:trPr>
        <w:tc>
          <w:tcPr>
            <w:tcW w:w="8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debt discounts, premiums and issuance costs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21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non-cash items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9,843</w:t>
            </w:r>
          </w:p>
        </w:tc>
      </w:tr>
      <w:tr>
        <w:trPr>
          <w:trHeight w:val="195"/>
        </w:trPr>
        <w:tc>
          <w:tcPr>
            <w:tcW w:w="8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Inventories, net</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(2,896)</w:t>
            </w:r>
          </w:p>
        </w:tc>
      </w:tr>
      <w:tr>
        <w:trPr>
          <w:trHeight w:val="21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w:t>
            </w:r>
          </w:p>
        </w:tc>
      </w:tr>
      <w:tr>
        <w:trPr>
          <w:trHeight w:val="195"/>
        </w:trPr>
        <w:tc>
          <w:tcPr>
            <w:tcW w:w="8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r>
      <w:tr>
        <w:trPr>
          <w:trHeight w:val="21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compensation and related benefits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w:t>
            </w:r>
          </w:p>
        </w:tc>
      </w:tr>
      <w:tr>
        <w:trPr>
          <w:trHeight w:val="195"/>
        </w:trPr>
        <w:tc>
          <w:tcPr>
            <w:tcW w:w="8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1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(4,967)</w:t>
            </w:r>
          </w:p>
        </w:tc>
      </w:tr>
      <w:tr>
        <w:trPr>
          <w:trHeight w:val="19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(12,901)</w:t>
            </w:r>
          </w:p>
        </w:tc>
      </w:tr>
      <w:tr>
        <w:trPr>
          <w:trHeight w:val="18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NIH Contract</w:t>
            </w:r>
          </w:p>
        </w:tc>
        <w:tc>
          <w:tcPr>
            <w:tcW w:w="8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(6,923)</w:t>
            </w:r>
          </w:p>
        </w:tc>
      </w:tr>
      <w:tr>
        <w:trPr>
          <w:trHeight w:val="19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(4,923)</w:t>
            </w:r>
          </w:p>
        </w:tc>
      </w:tr>
      <w:tr>
        <w:trPr>
          <w:trHeight w:val="18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bridge loans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advances under credit agreement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8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taxes related to net share settlement of equity awards and other</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r>
      <w:tr>
        <w:trPr>
          <w:trHeight w:val="19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w:t>
            </w:r>
          </w:p>
        </w:tc>
      </w:tr>
      <w:tr>
        <w:trPr>
          <w:trHeight w:val="20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fluctuations on cash and cash equivalents</w:t>
            </w:r>
          </w:p>
        </w:tc>
        <w:tc>
          <w:tcPr>
            <w:tcW w:w="8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89"/>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(18,776)</w:t>
            </w:r>
          </w:p>
        </w:tc>
      </w:tr>
      <w:tr>
        <w:trPr>
          <w:trHeight w:val="20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69,536</w:t>
            </w:r>
          </w:p>
        </w:tc>
      </w:tr>
      <w:tr>
        <w:trPr>
          <w:trHeight w:val="203"/>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8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30,999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50,760</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96"/>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8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right-of-use assets and lease liabilities</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8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20"/>
        </w:trPr>
        <w:tc>
          <w:tcPr>
            <w:tcW w:w="8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62" w:lineRule="exact"/>
        <w:rPr>
          <w:sz w:val="20"/>
          <w:szCs w:val="20"/>
          <w:color w:val="auto"/>
        </w:rPr>
      </w:pPr>
    </w:p>
    <w:p>
      <w:pPr>
        <w:ind w:right="200" w:firstLine="324"/>
        <w:spacing w:after="0" w:line="274" w:lineRule="auto"/>
        <w:rPr>
          <w:sz w:val="20"/>
          <w:szCs w:val="20"/>
          <w:color w:val="auto"/>
        </w:rPr>
      </w:pPr>
      <w:r>
        <w:rPr>
          <w:rFonts w:ascii="Times New Roman" w:cs="Times New Roman" w:eastAsia="Times New Roman" w:hAnsi="Times New Roman"/>
          <w:sz w:val="17"/>
          <w:szCs w:val="17"/>
          <w:color w:val="auto"/>
        </w:rPr>
        <w:t>Standard BioTools Inc. (Standard BioTools, the Company, we, our or us), previously known as Fluidigm Corporation, is driven by a bold vision – unleashing tools to accelerate breakthroughs in human health. Standard BioTools has an established portfolio of essential, standardized next-generation technologies that help biomedical researchers develop medicines faster and better. As a leading solutions provider, we provide reliable and repeatable insights in health and disease using our proprietary mass cytometry and microfluidics technologies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92"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Company was formerly known as Fluidigm Corporation and changed its name to Standard BioTools Inc. in April 2022, in connection with the completion of the private placement issuance discussed in Note 3. The Company was founded in 1999 and is headquartered in South San Francisco, California.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4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generally accepted accounting principles (U.S. GAAP) and include the accounts of our wholly owned subsidiaries. As of March 31, 2022, we had wholly owned subsidiaries in Singapore, Canada, the Netherlands, Japan, France, Italy, the United Kingdom, China, Germany and Norway.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1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the audited financial statements and the related notes for the year ended December 31, 2021 included in our annual report on Form 10-K, filed with the SEC on March 8, 2022, we disclosed that we had performed an assessment to determine whether there were conditions or events, considered in the aggregate, that raised substantial doubt about our ability to continue as a going concern for at least the twelve-month period following the date the financial statements were issued. We believed that our then-current level of cash and cash equivalents, together with committed financing facilities, were not sufficient to fund ongoing operations for at least the twelve-month period after the financial statements are issued. Since then, we have closed the $225 million Series B Preferred Equity Financing, as defined in Note 3, that was previously disclosed in Note 18 to our audited financial statements for the year ended December 31, 2021 as contingent on stockholder approval. The completion of this financing has eliminated the doubt about the Company’s ability to continue as a going concern. See Note 3 and Note 17 for further discussion.</w:t>
      </w:r>
    </w:p>
    <w:p>
      <w:pPr>
        <w:spacing w:after="0" w:line="1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prior period amounts in the condensed consolidated financial statements were reclassified to conform with the current period presentation. These reclassifications were immaterial and did not affect prior period total assets, total liabilities, stockholders’ equity, total revenue, total costs and expenses, loss from operations or net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9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U.S. GAAP. The condensed consolidated results of operations for the three months ended March 31, 2022 are not necessarily indicative of the results to be expected for the full year or for any other year or interim period. The accompanying condensed consolidated financial statements should be read in conjunction with the audited financial statements and the related notes for the year ended December 31, 2021 included in our annual report on Form 10-K, filed with the SEC on March 8,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amounts reported in the condensed consolidated financial statements and accompanying notes. We base our estimates on historical experience and on various other 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 We assessed certain accounting matters that generally require consideration of forecasted financial information, including the unknown impact of COVID-19 and the war in Ukraine. Accounting matters that rely on forecasted financial information included, but were not limited to, our inventory, and related reserves, and the carrying value of goodwill and other long-lived assets and liabilities. Actual results could differ materially from these estimates and could have a material adverse effect on our condensed consolidated financial statements. We also use significant judgment in determining the fair value of financial instruments, including the Bridge Loans, forward contracts on Series B Preferred Stock and other debt and equity instruments.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4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Assets and liabilities of non-U.S. subsidiaries that use the local currency as their functional currency are translated into U.S. dollars at exchange rates in effect on the balance sheet date. Income and expense accounts are translated at monthly average exchange rates during the year. The adjustments resulting from the foreign currency translations are recorded in accumulated other comprehensive loss, a separate component of stockholders’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Issuance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for a detailed discussion of the transactions, including the accounting treatment, and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(loss). Other comprehensive income (loss) generally consists of unrealized gains and losses on our investments and foreign currency translation adjustments. Total comprehensive loss for all periods presented has been disclosed in the condensed consolidated statements of comprehensive loss.</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 of accumulated other comprehensive loss, net of tax, for the three months ended March 31, 2022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3"/>
                <w:szCs w:val="13"/>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on Investments</w:t>
            </w:r>
          </w:p>
        </w:tc>
        <w:tc>
          <w:tcPr>
            <w:tcW w:w="120" w:type="dxa"/>
            <w:vAlign w:val="bottom"/>
          </w:tcPr>
          <w:p>
            <w:pPr>
              <w:spacing w:after="0"/>
              <w:rPr>
                <w:sz w:val="17"/>
                <w:szCs w:val="17"/>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March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4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basic and diluted net loss per share is calculated by dividing net loss by the weighted-average number of shares of common stock outstanding for the period.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 w:name="page10"/>
    <w:bookmarkEnd w:id="9"/>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298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4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420" w:type="dxa"/>
            <w:vAlign w:val="bottom"/>
            <w:tcBorders>
              <w:bottom w:val="single" w:sz="8" w:color="CCEEFF"/>
            </w:tcBorders>
          </w:tcPr>
          <w:p>
            <w:pPr>
              <w:spacing w:after="0"/>
              <w:rPr>
                <w:sz w:val="16"/>
                <w:szCs w:val="16"/>
                <w:color w:val="auto"/>
              </w:rPr>
            </w:pPr>
          </w:p>
        </w:tc>
        <w:tc>
          <w:tcPr>
            <w:tcW w:w="78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restricted stock units and performance awards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Bridge Loans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Convertible Preferred Stock Purchase Agreements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18,966</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potential make-whole shares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29"/>
        </w:trPr>
        <w:tc>
          <w:tcPr>
            <w:tcW w:w="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Total</w:t>
            </w:r>
          </w:p>
        </w:tc>
        <w:tc>
          <w:tcPr>
            <w:tcW w:w="78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27,488</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Potentially dilutive securities in the above table include the impact of the Bridge Loans and the Series B Convertible Preferred Stock Purchase Agreements, defined in Note 3. See Note 3 for further discussion.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Changes and Accounting Pronouncements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Adoption of New Accounting Guidance</w:t>
      </w:r>
    </w:p>
    <w:p>
      <w:pPr>
        <w:spacing w:after="0" w:line="146"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In August 2020, the FASB issued ASU 2020-06 Debt-Debt with Conversion and Other Options (Subtopic 470-20) and Derivatives and Hedging-Contracts in Entity’s Own Equity (Subtopic 815-40): Accounting for Convertible Instruments and Contracts in an Entity’s Own Equity. The amendment to this ASU reduces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The Company adopted ASU 2020-06 effective January 1, 2022. The adoption of ASU 2020-06 did not have an impact on the Company’s 2014 and 2019 Convertible Notes.</w:t>
      </w:r>
    </w:p>
    <w:p>
      <w:pPr>
        <w:spacing w:after="0" w:line="211"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The amendment is effective for annual periods beginning after December 15, 2021. The amendment establishes financial disclosure requirements for business entities that receive government assistance that the entities account for by analogizing to a grant or contribution model because there is no specific authoritative guidance under U.S. GAAP that applies to the transaction. Entities that receive this type of assistance should include the following information in their annual report: (1) the nature of the transaction, (2) the significant terms and conditions, (3) the accounting treatment, (4) the line items on the balance sheet and income statement that are affected along with (5) the respective amounts that have been recorded. The Company adopted ASU 2021-10 effective January 1, 2022. The adoption of ASU 2021-10 did not have a material impact on the Company’s financial statements.</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ind w:right="8940" w:firstLine="8"/>
        <w:spacing w:after="0" w:line="417"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Private Placement Issuance Overview of Transactions</w:t>
      </w: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On January 23, 2022, we entered into (i) a Loan Agreement (the Casdin Bridge Loan Agreement) with Casdin Private Growth Equity Fund II, L.P. and Casdin Partners Master Fund, L.P. (collectively, Casdin) and (ii) a Loan Agreement (the Viking Bridge Loan Agreement, and together with the Casdin Bridge Loan Agreement, the Bridge Loan Agreements) with Viking Global Opportunities Illiquid Investments Sub-Master LP and Viking Global Opportunities Drawdown (Aggregator) LP (collectively, Viking and, together with Casdin, the Purchasers and each, a Purchaser). Each Bridge Loan Agreement provided for a $12.5 million term loan (the Bridge Loans) to the Company. The Bridge Loans were fully drawn on January 24, 2022. The Bridge Loans automatically converted into Series B Preferred Stock, defined below, upon the completion of the Preferred Equity Financing, defined below.</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Also on January 23, 2022, we entered into separate Series B Convertible Preferred Stock Purchase Agreements (the Purchase Agreements) with each of Casdin and Viking pursuant to which at the closing of the transactions contemplated thereby, and on the terms and subject to the conditions set forth therein, including the approval of our stockholders, we issued and sold an aggregate of $225 million of convertible preferred stock on April 4, 2022, consisting of: (i) 112,500 shares of the Company’s Series B-1 Convertible Preferred Stock, par value $0.001 per share (the Series B-1 Preferred Stock), at a purchase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price of $1,000 per share to Casdin; and (ii) 112,500 shares of the Company’s Series B-2 Convertible Preferred Stock, par value $0.001 per share (the Series B-2 Preferred Stock, and together with the Series B-1 Preferred Stock, the Series B Preferred Stock) at a purchase price of $1,000 per share to Viking (the Preferred Equity Financing, and together with the issuance of shares of Series B Preferred Stock in connection with the conversion of the Bridge Loans, the Private Placement Issuance).</w:t>
      </w:r>
    </w:p>
    <w:p>
      <w:pPr>
        <w:spacing w:after="0" w:line="9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rights, preferences and privileges of the Series B Preferred Stock are set forth in the Series B-1 Certificate of Designations and Series B-2 Certificate of Designations (collectively, the Series B Certificates of Designations), each as defined in the respective Purchase Agreements. The Series B Preferred Stock ranks senior to our common stock with respect to dividend rights, redemption rights and rights on the distribution of assets on any voluntary or involuntary liquidation, dissolution or winding up of the affairs of the Company. The holders of Series B Preferred Stock are entitled to participate in all dividends declared on our common stock on an as-converted basis, on the terms and subject to the conditions set forth in the Series B Certificates of Designations.</w:t>
      </w:r>
    </w:p>
    <w:p>
      <w:pPr>
        <w:spacing w:after="0" w:line="120"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Our board of directors (the Board) called a meeting (Special Meeting) to ask our stockholders to consider, vote upon and approve (i) a proposal to amend the Company’s Eighth Amended and Restated Certificate of Incorporation (the Charter) to, among other things, increase the number of shares of common stock, par value $0.001 per share, that we are authorized to issue from two hundred million (200,000,000) shares to four hundred million (400,000,000) shares and to change the Company’s name to Standard BioTools Inc. (the Charter Amendment Proposal); (ii) a proposal to approve, in accordance with Nasdaq Listing Rule 5635, the issuance of (A) the Series B-1 Preferred Stock and the Series B-2 Preferred Stock pursuant to the Purchase Agreements, (B) the Series B-1 Preferred Stock and the Series B-2 Preferred Stock issuable pursuant to the terms of the Bridge Loan Agreements and (C) the common stock issuable upon the conversion of the Series B Preferred Stock (the Private Placement Issuance Proposal); and (iii) a proposal to adjourn the Special Meeting if the Special Meeting were convened and a quorum were present, but there were not sufficient votes to approve the Charter Amendment Proposal and the Private Placement Issuance Proposal (the Adjournment Proposal, and, together with the Private Placement Issuance Proposal and the Charter Amendment Proposal, the Stockholder Proposals). Each of the Private Placement Issuance Proposal and Charter Amendment Proposal were conditioned on the approval of the other proposal, and neither proposal would take effect unless both were approved by our stockholders. Our stockholders approved the Charter Amendment Proposal and Private Placement Issuance Proposal on April 1, 2022. The Private Placement Issuance closed on April 4, 2022. The proceeds of the Private Placement Issuance have been and will be used to fund expenses related to the Private Placement Issuance, as well as working capital, general corporate purposes and potential future merger and acquisition opportunities that we may identify from time to time.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Loans</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Prior to their conversion, the Bridge Loans bore interest (i) from and including the effective date of the Bridge Loan Agreements to but excluding March 1, 2022, at 10%, (ii) from and including March 1, 2022 to but excluding June 1, 2022, at 12%, (iii) from and including June 1, 2022 to but excluding September 1, 2022, at 14%, and (iv) from and including September 1, 2022 and thereafter, at 16%. Interest accrued daily and was payable in kind by adding the accrued interest to the outstanding principal amount. Unless earlier converted, the outstanding principal amount of the Bridge Loans (inclusive of principal and accrued and unpaid interest) was due and payable in cash on the maturity date.</w:t>
      </w:r>
    </w:p>
    <w:p>
      <w:pPr>
        <w:spacing w:after="0" w:line="11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Bridge Loans automatically converted into Series B Preferred Stock upon the issuance of the shares of Series B Preferred Stock pursuant to the Purchase Agreements, in accordance with the terms of the Bridge Loan Agreements. The Bridge Loans converted into a number of shares of Series B Preferred Stock equal to (i) the then outstanding principal amount of the applicable Bridge Loan (including any interest added to the original principal amount thereof) plus accrued and unpaid interest (together, the Conversion Amount) on the Bridge Loans divided by $1,000 multiplied by (ii) the Conversion Price (as defined in the Series B Certificates of Designations) divided by $2.84.</w:t>
      </w:r>
    </w:p>
    <w:p>
      <w:pPr>
        <w:spacing w:after="0" w:line="11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the Series B Preferred Stock had not been approved for issuance by our stockholders, or the Purchase Agreements were terminated, then the Bridge Loans would have become convertible, at each lender’s option, into common stock, par value $0.001 per share, of the Company at an initial conversion rate of 352.1126 shares of common stock per $1,000 of the Conversion Amount, subject to the cap set forth in the Bridge Loan Agreements. Unless earlier converted, the Bridge Loans, inclusive of principal and accrued and unpaid interest, would have become due and payable in cash on the maturity date. The maturity date of the Bridge Loans was 91 days after the maturity date of the Term Loan Facility as defined in Note 9. The latest possible maturity date of the Bridge Loans was September 30, 2025. The conversion rate was subject to customary adjustments as set forth in the Bridge Loan Agreements.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color w:val="auto"/>
        </w:rPr>
        <w:t>The carrying value of the Bridge Loans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and unpaid interest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amount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loss on Bridge Loans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Bridge Loans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324"/>
        <w:spacing w:after="0" w:line="245" w:lineRule="auto"/>
        <w:rPr>
          <w:sz w:val="20"/>
          <w:szCs w:val="20"/>
          <w:color w:val="auto"/>
        </w:rPr>
      </w:pPr>
      <w:r>
        <w:rPr>
          <w:rFonts w:ascii="Times New Roman" w:cs="Times New Roman" w:eastAsia="Times New Roman" w:hAnsi="Times New Roman"/>
          <w:sz w:val="18"/>
          <w:szCs w:val="18"/>
          <w:color w:val="auto"/>
        </w:rPr>
        <w:t>Applying the guidance in ASC 825, we elected to record the Bridge Loans at their fair value. The change in fair value of the Bridge Loans from $25.0 million at inception to $35.7 million as of March 31, 2022, including the portion attributable to accrued interest, is reflected as a non-operating unrealized loss on the Bridge Loans in the accompanying consolidated statement of operations. In addition, as required under the fair value option, issuance costs associated with the debt of $0.2 million were recognized in selling, general and administrative expenses in the first quarter of 2022.</w:t>
      </w:r>
    </w:p>
    <w:p>
      <w:pPr>
        <w:spacing w:after="0" w:line="127" w:lineRule="exact"/>
        <w:rPr>
          <w:sz w:val="20"/>
          <w:szCs w:val="20"/>
          <w:color w:val="auto"/>
        </w:rPr>
      </w:pPr>
    </w:p>
    <w:p>
      <w:pPr>
        <w:ind w:right="20" w:firstLine="324"/>
        <w:spacing w:after="0" w:line="219" w:lineRule="exact"/>
        <w:rPr>
          <w:sz w:val="20"/>
          <w:szCs w:val="20"/>
          <w:color w:val="auto"/>
        </w:rPr>
      </w:pPr>
      <w:r>
        <w:rPr>
          <w:rFonts w:ascii="Times New Roman" w:cs="Times New Roman" w:eastAsia="Times New Roman" w:hAnsi="Times New Roman"/>
          <w:sz w:val="18"/>
          <w:szCs w:val="18"/>
          <w:color w:val="auto"/>
        </w:rPr>
        <w:t>The unrealized loss on the Bridge Loans was largely driven by an increase in the price of our common stock from $2.84 per share at inception to $3.59 per share as of March 31, 2022, and, to a lesser extent, to the change in value of the various conversion options under the Approval Scenario, discussed below. We employed a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expected return method in our valuation analysis of the Bridge Loans. Specifically, our analysis contemplated two scenarios: 1) our stockholders approve the transaction (Approval Scenario) and 2) our stockholders do not approve the transaction (Disapproval Scenario). To estimate the fair value of the Bridge Loans pursuant to the Approval Scenario, we employed a Monte Carlo Simulation (MCS) analysis based on the underlying Series B Preferred Stock into which the Bridge Loans were convertible. Given the convertibility of the Series B Preferred Stock into cash or our common stock, our MCS analysis simulated the value of the Series B Preferred Stock using a random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walk process that incorporated the various provisions of the Series B Preferred Stock discussed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 Purchase Agreements</w:t>
      </w:r>
    </w:p>
    <w:p>
      <w:pPr>
        <w:spacing w:after="0" w:line="1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Purchase Agreements for the issuance of 225,000 shares of Series B Preferred Stock for $225 million at a future date, have been accounted for as forward sales contracts at fair value in accordance with ASC 480 because the Series B Preferred Stock includes certain contingent redemption features which create an obligation for the Company to repurchase its shares. The fair values of the forward sales contracts were determined using the MCS analysis discussed above. As noted above, given the convertibility of the Series B Preferred Stock into cash or our common stock under several scenarios, the MCS analysis simulated the value of our common stock and the resulting impact on the value of Series B Preferred Stock, given the various provisions discussed below. The fair value of 225,000 shares of Series B Preferred Stock was determined to be $262.8 million as of March 31, 2022. The $37.8 million difference between the fair value of the Series B Preferred Stock of $262.8 million and the par value of $225 million represents the value of the forward sales contracts and is recorded on the condensed consolidated balance sheet in non-current liabilities, while the change in the fair value of the forward sales contracts is included in non-operating income in the condensed consolidated statement of operations for the three months ended March 31, 2022. The increase in the fair value of the Series B Preferred Stock from January 23, 2022 to March 31, 2022 reflects the increase in the price of our common stock since the inception of the contracts through March 31, 2022, and the value of the various conversion rights and key provisions discussed below.</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Series B Certificates of Designations contain several conversion rights and other key provisions described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 Voluntary Conversion Rights</w:t>
      </w:r>
    </w:p>
    <w:p>
      <w:pPr>
        <w:spacing w:after="0" w:line="146"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Series B Preferred Stock is convertible at the option of the holders thereof at any time into a number of shares of common stock equal to the Conversion Rate (as defined in the Series B Certificates of Designations), which is initially 294.1176 shares of common stock per share of Series B Preferred Stock, in each case subject to certain adjustments and certain limitations on conversion.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Call Provision</w:t>
      </w:r>
    </w:p>
    <w:p>
      <w:pPr>
        <w:spacing w:after="0" w:line="16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At any time after the fifth anniversary of the closing of the Private Placement Issuance, if the last reported sale price of the common stock is greater than 250% of the Conversion Price (as defined in the Series B Certificates of Designations) as of such time for at least 20 consecutive trading days, we may elect to convert all of the outstanding shares of Series B Preferred Stock into shares of common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Issuer Redemption Provision</w:t>
      </w:r>
    </w:p>
    <w:p>
      <w:pPr>
        <w:spacing w:after="0" w:line="14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After the seventh anniversary of the closing of the Private Placement Issuance, subject to certain conditions, we may, at our option, redeem all of the outstanding shares of Series B Preferred Stock at a redemption price per share of Series B Preferred Stock, payable in cash, equal to the Liquidation Preference (as defined in the Series B Certificates of Designations).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Provisions</w:t>
      </w:r>
    </w:p>
    <w:p>
      <w:pPr>
        <w:spacing w:after="0" w:line="16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we undergo certain change of control transactions, each holder of outstanding shares of Series B Preferred Stock will have the option, subject to the holder’s right to convert all or a portion of the shares of Series B Preferred Stock held by such holder into common stock, to require us to purchase all or a portion of such holder’s outstanding shares of Series B Preferred Stock that have not been converted into common stock at a purchase price per share of Series B Preferred Stock, payable in cash, equal to the greater of (A) the Liquidation Preference of such share of Series B Preferred Stock, and (B) the amount of cash and/or other assets that such holder would have been entitled to receive if such holder had converted such share of Series B Preferred Stock into common stock immediately prior to the change of control transaction (Change of Control Put).</w:t>
      </w:r>
    </w:p>
    <w:p>
      <w:pPr>
        <w:spacing w:after="0" w:line="10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event of a change of control in which we are not expected to be the surviving corporation or if the common stock will no longer be listed on a U.S. national securities exchange, we will have a right to redeem, subject to the holder’s right to convert into common stock prior to such redemption, all of such holder’s shares of Series B Preferred Stock, or if a holder exercises the Change of Control Put in part, the remainder of such holder’s shares of Series B Preferred Stock, at a redemption price per share payable in cash, equal to the greater of (A) the Liquidation Preference of such share of Series B Preferred Stock, and (B) the amount of cash and/or other assets that the holder would have received if such holder had converted such share of Series B Preferred Stock into common stock immediately prior to the change of control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affairs of the Company, the Series B Preferred Stock has a liquidation preference equal to the greater of (i) the Liquidation Preference (as defined in the Series B Certificates of Designations, currently $3.40) and (ii) the amount per share of Series B Preferred Stock that such holder would have received had all holders of Series B Preferred Stock, immediately prior to such voluntary or involuntary liquidation, dissolution or winding up of the affairs of the Company, converted all shares of Series B Preferred Stock into common stock pursuant to the terms of the Series B Certificates of Designations (without regard to any limitations on conversion contained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NIH Contract</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2020, we were awarded the NIH Contract under the RADx program to support the expansion of our production capacity and throughput capabilities for COVID-19 testing with our microfluidics technology. We completed the required milestones in 2021 and received the total NIH Contract value of $34.0 million. Proceeds from the NIH Contract have been used primarily for capital expenditures to expand production capacity and, to a lesser extent, to offset applicable operating costs. Grant proceeds that exceed the cost of the capital expenditures and expenses that have been and are expected to be incurred are recorded in other non-operating income.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under the NIH Contract as of March 31, 2022 and December 31, 2021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receipts from milestones achieved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34,016</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amounts applied against operating costs (excluding depreciation)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amounts applied against depreciation expense for assets placed in service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amounts recognized as non-operating income</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grant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placed in service, gross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amounts applied against depreciation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property and equipment,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20,096</w:t>
            </w:r>
          </w:p>
        </w:tc>
      </w:tr>
      <w:tr>
        <w:trPr>
          <w:trHeight w:val="23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future capital expenditures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1"/>
        </w:trPr>
        <w:tc>
          <w:tcPr>
            <w:tcW w:w="78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deferred grant income</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20,840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21,651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grant income, current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grant income, non-current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18,116</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grant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Deferred grant income, current on the condensed consolidated balance sheet represents amounts expected to be offset against depreciation expense over the next twelve months. Deferred grant income, non-current includes amounts expected to be offset against depreciation expense in later periods.</w:t>
      </w:r>
    </w:p>
    <w:p>
      <w:pPr>
        <w:spacing w:after="0" w:line="81"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We expect to spend $22.4 million on capital expenditures associated with the NIH Contract. We have incurred $21.4 million of capital expenditures through March 31, 2022, of which $20.4 million has been placed in service, while the remaining $0.9 million is included in construction-in-progress (See Note 8). We expect to place the remaining equipment in service by the end of the first half of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Development Agreement</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Effective March 31, 2020, we signed an OEM Supply and Development Agreement (Development Agreement) with a customer. Under the Development Agreement, we developed products based on our microfluidics technology. The Development Agreement provided for up-front and periodic milestone payments during the development stage, which was completed in the third quarter of 2021, and on-going annual payments of $0.4 million for sustaining efforts. We recognized $0.1 million and $1.5 million of development revenue from this agreement during the three months ended March 31, 2022 and March 31, 2021,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revenue for the three months ended March 31, 2022 and 2021 based upon geographic area and source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Markets: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12,930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26,504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37"/>
        </w:trPr>
        <w:tc>
          <w:tcPr>
            <w:tcW w:w="8260" w:type="dxa"/>
            <w:vAlign w:val="bottom"/>
          </w:tcPr>
          <w:p>
            <w:pPr>
              <w:spacing w:after="0"/>
              <w:rPr>
                <w:sz w:val="24"/>
                <w:szCs w:val="24"/>
                <w:color w:val="auto"/>
              </w:rPr>
            </w:pPr>
          </w:p>
        </w:tc>
        <w:tc>
          <w:tcPr>
            <w:tcW w:w="2980" w:type="dxa"/>
            <w:vAlign w:val="bottom"/>
            <w:gridSpan w:val="5"/>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Source: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Instruments</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Consumables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12,481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20,004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revenue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 revenue</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revenue</w:t>
            </w:r>
          </w:p>
        </w:tc>
        <w:tc>
          <w:tcPr>
            <w:tcW w:w="8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26,504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Unfulfilled Performance Obligations</w:t>
      </w:r>
    </w:p>
    <w:p>
      <w:pPr>
        <w:spacing w:after="0" w:line="14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reported $17.9 million of deferred revenue on our December 31, 2021 consolidated balance sheet. During the three months ended March 31, 2022, $4.1 million of the opening balance was recognized as revenue and $4.3 million of net additional advance payments were received from customers, primarily associated with instrument service contracts. At March 31, 2022, we reported $18.1 million of deferred revenue.</w:t>
      </w:r>
    </w:p>
    <w:p>
      <w:pPr>
        <w:spacing w:after="0" w:line="12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expected timing of revenue recognition for unfulfilled performance obligations associated with instrument service contracts that were partially completed as of March 31, 2022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3"/>
                <w:szCs w:val="13"/>
                <w:color w:val="auto"/>
              </w:rPr>
            </w:pP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Expected Revenue</w:t>
            </w:r>
          </w:p>
        </w:tc>
        <w:tc>
          <w:tcPr>
            <w:tcW w:w="0" w:type="dxa"/>
            <w:vAlign w:val="bottom"/>
          </w:tcPr>
          <w:p>
            <w:pPr>
              <w:spacing w:after="0"/>
              <w:rPr>
                <w:sz w:val="1"/>
                <w:szCs w:val="1"/>
                <w:color w:val="auto"/>
              </w:rPr>
            </w:pPr>
          </w:p>
        </w:tc>
      </w:tr>
      <w:tr>
        <w:trPr>
          <w:trHeight w:val="139"/>
        </w:trPr>
        <w:tc>
          <w:tcPr>
            <w:tcW w:w="9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3"/>
        </w:trPr>
        <w:tc>
          <w:tcPr>
            <w:tcW w:w="9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 of the year</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340" w:right="120" w:hanging="332"/>
        <w:spacing w:after="0" w:line="255" w:lineRule="auto"/>
        <w:tabs>
          <w:tab w:leader="none" w:pos="2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revenue includes both billed amounts included in deferred revenue and unbilled amounts that are not reflected in our condensed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10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apply the practical expedient that permits us not to disclose information about unsatisfied performance obligations for service contracts with an expected term of one year or less.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DVS in February 2014, we recognized goodwill of $104.1 million and $112.0 million of developed technology. In the first quarter of 2020, we recognized $2.2 million (Euro 2.0 million) of goodwill from the InstruNor acquisition and $5.4 million (Euro 4.9 million) of developed technology. As the goodwill and developed technology from the InstruNor acquisition are recorded in the functional currency of our European operations, which is the Euro, these balances are revalued each period and the U.S. dollar value of these assets will fluctuate as foreign exchange rates change. We are amortizing InstruNor developed technology over 8 years.</w:t>
      </w:r>
    </w:p>
    <w:p>
      <w:pPr>
        <w:spacing w:after="0" w:line="10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Qualitative assessment includes assessing significant events and circumstances such as our current results, assumptions regarding future performance, strategic initiatives and overall economic factors, including the ongoing global COVID-19 pandemic and macroeconomic developments to determine the existence of potential indicators of impairment and assess if it is more likely than not that the fair value of our reporting unit or intangible assets is less than their carrying value. If indicators of impairment are identified, a quantitative impairment test is performed. There have been no indicators of impairment during the three months ended March 31, 2022.</w:t>
      </w:r>
    </w:p>
    <w:p>
      <w:pPr>
        <w:spacing w:after="0" w:line="12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Intangible assets also include other patents and licenses, which are included in other non-current assets. Intangible assets, net, were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1"/>
                <w:szCs w:val="11"/>
                <w:color w:val="auto"/>
              </w:rPr>
            </w:pPr>
          </w:p>
        </w:tc>
        <w:tc>
          <w:tcPr>
            <w:tcW w:w="14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0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294"/>
        </w:trPr>
        <w:tc>
          <w:tcPr>
            <w:tcW w:w="20" w:type="dxa"/>
            <w:vAlign w:val="bottom"/>
            <w:tcBorders>
              <w:bottom w:val="single" w:sz="8" w:color="CCEEFF"/>
            </w:tcBorders>
            <w:shd w:val="clear" w:color="auto" w:fill="CCEEFF"/>
          </w:tcPr>
          <w:p>
            <w:pPr>
              <w:spacing w:after="0"/>
              <w:rPr>
                <w:sz w:val="24"/>
                <w:szCs w:val="24"/>
                <w:color w:val="auto"/>
              </w:rPr>
            </w:pPr>
          </w:p>
        </w:tc>
        <w:tc>
          <w:tcPr>
            <w:tcW w:w="52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117,392</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24,875</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 years</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5200" w:type="dxa"/>
            <w:vAlign w:val="bottom"/>
            <w:tcBorders>
              <w:top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color w:val="auto"/>
              </w:rPr>
              <w:t>Patents and licenses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11,259</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(10,171)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1,088</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40" w:type="dxa"/>
            <w:vAlign w:val="bottom"/>
            <w:tcBorders>
              <w:top w:val="single" w:sz="8" w:color="auto"/>
              <w:bottom w:val="single" w:sz="8" w:color="auto"/>
            </w:tcBorders>
            <w:gridSpan w:val="2"/>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7.0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tcBorders>
              <w:top w:val="single" w:sz="8" w:color="auto"/>
            </w:tcBorders>
            <w:gridSpan w:val="2"/>
            <w:vMerge w:val="restart"/>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Borders>
              <w:top w:val="single" w:sz="8" w:color="auto"/>
            </w:tcBorders>
            <w:gridSpan w:val="2"/>
            <w:vMerge w:val="restart"/>
          </w:tcPr>
          <w:p>
            <w:pPr>
              <w:spacing w:after="0"/>
              <w:rPr>
                <w:sz w:val="11"/>
                <w:szCs w:val="11"/>
                <w:color w:val="auto"/>
              </w:rPr>
            </w:pPr>
          </w:p>
        </w:tc>
        <w:tc>
          <w:tcPr>
            <w:tcW w:w="14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(89,576)</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4"/>
          </w:tcPr>
          <w:p>
            <w:pPr>
              <w:ind w:left="20"/>
              <w:spacing w:after="0" w:line="203" w:lineRule="exact"/>
              <w:rPr>
                <w:sz w:val="20"/>
                <w:szCs w:val="20"/>
                <w:color w:val="auto"/>
              </w:rPr>
            </w:pPr>
            <w:r>
              <w:rPr>
                <w:rFonts w:ascii="Times New Roman" w:cs="Times New Roman" w:eastAsia="Times New Roman" w:hAnsi="Times New Roman"/>
                <w:sz w:val="18"/>
                <w:szCs w:val="18"/>
                <w:color w:val="auto"/>
              </w:rPr>
              <w:t>Patents and licenses</w:t>
            </w: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7"/>
                <w:szCs w:val="17"/>
                <w:color w:val="auto"/>
              </w:rPr>
            </w:pPr>
          </w:p>
        </w:tc>
        <w:tc>
          <w:tcPr>
            <w:tcW w:w="580" w:type="dxa"/>
            <w:vAlign w:val="bottom"/>
            <w:gridSpan w:val="2"/>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1,257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rPr>
              <w:t>7.0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amortization expense for the three months ended March 31, 2022 and 2021 was $3.1 million and $3.2 million,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the carrying value of intangible assets as of March 31, 2022, the amortization expense is expected to be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Developed Technology</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Patents and Licenses</w:t>
            </w:r>
          </w:p>
        </w:tc>
        <w:tc>
          <w:tcPr>
            <w:tcW w:w="340" w:type="dxa"/>
            <w:vAlign w:val="bottom"/>
          </w:tcPr>
          <w:p>
            <w:pPr>
              <w:spacing w:after="0"/>
              <w:rPr>
                <w:sz w:val="13"/>
                <w:szCs w:val="13"/>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 of the year</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Balance Sheet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as of March 31, 2022 and December 31, 2021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28,451</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Short-term restricted cash of approximately $16 thousand is included in prepaid expenses and other current assets and $1.0 million of non-current restricted cash is included in other non-current assets in the condensed consolidated balance sheet as of March 31, 2022 and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net consisted of the following as of March 31, 2022 and December 31, 2021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20,825</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March 31, 2022 and December 31, 2021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28,034</w:t>
            </w:r>
          </w:p>
        </w:tc>
      </w:tr>
      <w:tr>
        <w:trPr>
          <w:trHeight w:val="21"/>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majority of the amounts included in construction-in-progress are related to the NIH Contract (see Note 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 and Related Benefits</w:t>
      </w:r>
    </w:p>
    <w:p>
      <w:pPr>
        <w:spacing w:after="0" w:line="148"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Accrued compensation and related benefits, which is included in current liabilities on the condensed consolidated balance sheet consisted of the following as of March 31, 2022 and December 31, 2021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incentive compensation</w:t>
            </w:r>
          </w:p>
        </w:tc>
        <w:tc>
          <w:tcPr>
            <w:tcW w:w="35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taxes and other</w:t>
            </w:r>
          </w:p>
        </w:tc>
        <w:tc>
          <w:tcPr>
            <w:tcW w:w="3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severance and retention bonuses</w:t>
            </w:r>
          </w:p>
        </w:tc>
        <w:tc>
          <w:tcPr>
            <w:tcW w:w="3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3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Long-term accrued severance and retention bonuses of approximately $0.6 million and $0.1 million are included in non-current other liabilities on our condensed consolidated balance sheet as of March 31, 2022 and December 31, 2021,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Accrued warranty is included in other current liabilities on our condensed consolidated balance sheet. Activity for our warranty accrual for the three months ended March 31, 2022 and 2021 is summarized below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2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(release) for current period warranties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0"/>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for a discussion of the $35.7 million Bridge Loans outstanding as of March 31, 2022 as part of the Private Placement Issuance.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Senior Convertible Notes (2014 Notes) and 2019 Senior Convertible Notes (2019 Notes)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of the components of the 2014 Notes and 2019 Notes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2.75% 2014 Notes due 2034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2014 Notes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50"/>
        </w:trPr>
        <w:tc>
          <w:tcPr>
            <w:tcW w:w="7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9"/>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5.25% 2019 Notes due 2024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carrying value of 2019 Notes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53,592</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all Notes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Senior Convertible Notes (2014 Notes)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February 2014, we closed an underwritten public offering of 2014 Notes. In 2019, the outstanding 2014 Notes were largely refinanced with the 2019 Notes, discussed below. The effective interest rate on the 2014 Notes, reflecting the impact of debt discounts and issuance costs, is approximately 3%. The 2014 Notes will mature on February 1, 2034, unless earlier converted, redeemed, or repurchased in accordance with the terms of the 2014 Notes. Holders may require us to repurchase all or a portion of their 2014 Notes on each of February 6, 2024 and February 6, 2029, at a repurchase price in cash equal to 100% of the principal amount of the 2014 Notes plus accrued and unpaid interest.</w:t>
      </w:r>
    </w:p>
    <w:p>
      <w:pPr>
        <w:spacing w:after="0" w:line="10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provided by the indenture governing the 2014 Notes, in February 2021, holders of $0.5 million of the 2014 Notes required us to repurchase their notes at 100% of the principal amount plus accrued and unpaid interest. We recorded a loss of $9 thousand on the extinguishment of those notes, representing the difference between the price paid to extinguish the 2014 Notes and their carrying value, including unamortized debt issuance costs. As of March 31, 2022, there was $0.6 million aggregate principal of the 2014 Notes outstanding.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2019 Senior Convertible Notes (2019 Notes)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November 2019, we issued $55.0 million aggregate principal amount of 2019 Notes. Net proceeds of the 2019 Notes issuance were $52.7 million, after deductions for commissions and other debt issuance costs. $51.8 million of the proceeds of the 2019 Notes were used to retire $50.2 million aggregate principal amount of our 2014 Notes, leaving $1.1 million of aggregate principal value of 2014 Notes then outstanding.</w:t>
      </w:r>
    </w:p>
    <w:p>
      <w:pPr>
        <w:spacing w:after="0" w:line="9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2019 Notes bear interest at 5.25% per annum, payable semiannually on June 1 and December 1 of each year, beginning on June 1, 2020. The 2019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2019 Notes is 344.8276 shares of our common stock per $1,000 principal amount of 2019 Notes (which is equivalent to an initial conversion price of approximately $2.90 per share). The conversion rate is subject to adjustment upon the occurrence of certain specified events. Those certain specified events include voluntary conversion of the 2019 Notes prior to our exercise of the Issuer’s Conversion Option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2019 Notes will also be convertible at our option upon certain conditions in accordance with the terms of the indenture governing the 2019 Notes. On or after December 1, 2021 to December 1, 2022, if the price of our common stock has equaled or exceeded 150% of the Conversion Price (as defined in the indenture) then in effect for a specified number of days (Issuer’s Conversion Option), we may, at our option, elect to convert the 2019 Notes in whole but not in part into shares of common stock of the Company, determined in accordance with the terms of the indenture. On or after December 1, 2022, if the price of our common stock has equaled or exceeded 130% of the Conversion Price then in effect for a specified number of days, we may, at our option, elect to convert the 2019 Notes in whole but not in part into shares of common stock of the Company, determined in accordance with the terms of the indenture.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Offering-related costs for the 2019 Notes were capitalized as debt issuance costs and are recorded as an offset to the carrying value of the 2019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rate on the 2019 Notes is 6.2%.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 and Term Loan, net</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of our term loan and advances under the Credit Facility, and the maximum amount available under the Credit Facility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term fee accretion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term loan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advances under credit agreement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r>
      <w:tr>
        <w:trPr>
          <w:trHeight w:val="20"/>
        </w:trPr>
        <w:tc>
          <w:tcPr>
            <w:tcW w:w="7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August 2018, we entered into a revolving credit facility with Silicon Valley Bank (as amended, the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w:t>
      </w:r>
    </w:p>
    <w:p>
      <w:pPr>
        <w:spacing w:after="0" w:line="99" w:lineRule="exact"/>
        <w:rPr>
          <w:sz w:val="20"/>
          <w:szCs w:val="20"/>
          <w:color w:val="auto"/>
        </w:rPr>
      </w:pPr>
    </w:p>
    <w:p>
      <w:pPr>
        <w:ind w:right="240" w:firstLine="324"/>
        <w:spacing w:after="0" w:line="273" w:lineRule="auto"/>
        <w:rPr>
          <w:sz w:val="20"/>
          <w:szCs w:val="20"/>
          <w:color w:val="auto"/>
        </w:rPr>
      </w:pPr>
      <w:r>
        <w:rPr>
          <w:rFonts w:ascii="Times New Roman" w:cs="Times New Roman" w:eastAsia="Times New Roman" w:hAnsi="Times New Roman"/>
          <w:sz w:val="18"/>
          <w:szCs w:val="18"/>
          <w:color w:val="auto"/>
        </w:rPr>
        <w:t>On August 2, 2021, we amended our Revolving Credit Facility to extend the maturity date to August 2, 2023 and to provide for a new $10.0 million Term Loan Facility (the Term Loan Facility and, together with the Revolving Credit Facility, the Credit Facility). The stated maturity of the Term Loan</w:t>
      </w:r>
    </w:p>
    <w:p>
      <w:pPr>
        <w:spacing w:after="0" w:line="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Facility is July 1, 2025. However, if the principal amount of our convertible debt exceeds $0.6 million as of June 1, 2024 or if the maturity of our 2019 Notes has not been extended beyond January 1, 2026 by June 1, 2024, then the maturity date of the Term Loan Facility will be June 1, 2024. The Credit Facility 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9" w:name="page20"/>
    <w:bookmarkEnd w:id="19"/>
    <w:p>
      <w:pPr>
        <w:ind w:right="360"/>
        <w:spacing w:after="0" w:line="282" w:lineRule="auto"/>
        <w:rPr>
          <w:sz w:val="20"/>
          <w:szCs w:val="20"/>
          <w:color w:val="auto"/>
        </w:rPr>
      </w:pPr>
      <w:r>
        <w:rPr>
          <w:rFonts w:ascii="Times New Roman" w:cs="Times New Roman" w:eastAsia="Times New Roman" w:hAnsi="Times New Roman"/>
          <w:sz w:val="18"/>
          <w:szCs w:val="18"/>
          <w:color w:val="auto"/>
        </w:rPr>
        <w:t>collateralized by substantially all our property, other than intellectual property. The Credit Facility also includes a financial covenant that requires us to maintain a minimum Adjusted Quick Ratio, as defined in the agreement, of at least 1.25 to 1.00.</w:t>
      </w:r>
    </w:p>
    <w:p>
      <w:pPr>
        <w:spacing w:after="0" w:line="189" w:lineRule="exact"/>
        <w:rPr>
          <w:sz w:val="20"/>
          <w:szCs w:val="20"/>
          <w:color w:val="auto"/>
        </w:rPr>
      </w:pPr>
    </w:p>
    <w:p>
      <w:pPr>
        <w:ind w:right="40" w:firstLine="324"/>
        <w:spacing w:after="0" w:line="246" w:lineRule="auto"/>
        <w:rPr>
          <w:sz w:val="20"/>
          <w:szCs w:val="20"/>
          <w:color w:val="auto"/>
        </w:rPr>
      </w:pPr>
      <w:r>
        <w:rPr>
          <w:rFonts w:ascii="Times New Roman" w:cs="Times New Roman" w:eastAsia="Times New Roman" w:hAnsi="Times New Roman"/>
          <w:sz w:val="18"/>
          <w:szCs w:val="18"/>
          <w:color w:val="auto"/>
        </w:rPr>
        <w:t>The interest rate on advances made under the Revolving Credit Facility is the greater of (i) prime rate plus 0.50% or (ii) 5.25%. Interest on any outstanding amounts is due and payable monthly and the principal balance is due at maturity, though loans can be prepaid at any time without penalty. Fees for the Revolving Credit Facility include an annual commitment fee of $112,500 and a quarterly unused line fee based on the Borrowing Base. Total availability under the Revolving Credit Facility as of March 31, 2022 was $8.4 million. There were no borrowings outstanding under the Revolving Credit Facility at March 31, 2022.</w:t>
      </w:r>
    </w:p>
    <w:p>
      <w:pPr>
        <w:spacing w:after="0" w:line="114" w:lineRule="exact"/>
        <w:rPr>
          <w:sz w:val="20"/>
          <w:szCs w:val="20"/>
          <w:color w:val="auto"/>
        </w:rPr>
      </w:pPr>
    </w:p>
    <w:p>
      <w:pPr>
        <w:ind w:right="40" w:firstLine="324"/>
        <w:spacing w:after="0" w:line="247" w:lineRule="auto"/>
        <w:rPr>
          <w:sz w:val="20"/>
          <w:szCs w:val="20"/>
          <w:color w:val="auto"/>
        </w:rPr>
      </w:pPr>
      <w:r>
        <w:rPr>
          <w:rFonts w:ascii="Times New Roman" w:cs="Times New Roman" w:eastAsia="Times New Roman" w:hAnsi="Times New Roman"/>
          <w:sz w:val="18"/>
          <w:szCs w:val="18"/>
          <w:color w:val="auto"/>
        </w:rPr>
        <w:t>As of March 31, 2022, the Term Loan Facility was fully drawn. The interest rate on the Term Loan Facility is the greater of 4.0% or a floating per annum rate equal to three quarters of one percentage point (0.75%) above the prime rate. Interest on any outstanding term loan advances is due and payable monthly. In addition to the monthly interest payments, a final payment equal to 6.5% of the original principal amount of each advance is due on the earlier of the maturity date or the date the advance is repaid. Principal balances are required to be repaid in twenty-four equal installments beginning on August 1, 2023. The effective interest rate on the Term Loan Facility, reflecting the impact of debt issuance costs, the end-of-term fee and expected timing of principal repayment was 6.3% as of March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have operating leases for buildings, equipment and vehicles. Existing leases have remaining terms of less than one year to eight years. Some leases contain options to extend the lease, usually for up to five years, and termination options.</w:t>
      </w:r>
    </w:p>
    <w:p>
      <w:pPr>
        <w:spacing w:after="0" w:line="94"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related to leases was as follows as of March 31, 2022 and December 31, 2021 (in thousands, except for discount rate and lease term):</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buildings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43,595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43,457</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equipment</w:t>
            </w:r>
          </w:p>
        </w:tc>
        <w:tc>
          <w:tcPr>
            <w:tcW w:w="26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vehicles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676</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right-of-use assets, gross</w:t>
            </w:r>
          </w:p>
        </w:tc>
        <w:tc>
          <w:tcPr>
            <w:tcW w:w="26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44,286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44,217</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(7,897)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(7,098)</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right-of-use assets,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36,389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37,119</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3,209</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3,053</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36,760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37,548</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39,969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40,601</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per annum</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cash and available-for-sale securities that were measured at fair value by significant investment category within the fair value hierarchy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60" w:type="dxa"/>
            <w:vAlign w:val="bottom"/>
          </w:tcPr>
          <w:p>
            <w:pPr>
              <w:spacing w:after="0"/>
              <w:rPr>
                <w:sz w:val="11"/>
                <w:szCs w:val="11"/>
                <w:color w:val="auto"/>
              </w:rPr>
            </w:pPr>
          </w:p>
        </w:tc>
        <w:tc>
          <w:tcPr>
            <w:tcW w:w="86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60" w:type="dxa"/>
            <w:vAlign w:val="bottom"/>
          </w:tcPr>
          <w:p>
            <w:pPr>
              <w:spacing w:after="0"/>
              <w:rPr>
                <w:sz w:val="17"/>
                <w:szCs w:val="17"/>
                <w:color w:val="auto"/>
              </w:rPr>
            </w:pPr>
          </w:p>
        </w:tc>
        <w:tc>
          <w:tcPr>
            <w:tcW w:w="8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21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Cash-restricted</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top w:val="single" w:sz="8" w:color="auto"/>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29,983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60" w:type="dxa"/>
            <w:vAlign w:val="bottom"/>
          </w:tcPr>
          <w:p>
            <w:pPr>
              <w:spacing w:after="0"/>
              <w:rPr>
                <w:sz w:val="11"/>
                <w:szCs w:val="11"/>
                <w:color w:val="auto"/>
              </w:rPr>
            </w:pPr>
          </w:p>
        </w:tc>
        <w:tc>
          <w:tcPr>
            <w:tcW w:w="86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60" w:type="dxa"/>
            <w:vAlign w:val="bottom"/>
          </w:tcPr>
          <w:p>
            <w:pPr>
              <w:spacing w:after="0"/>
              <w:rPr>
                <w:sz w:val="17"/>
                <w:szCs w:val="17"/>
                <w:color w:val="auto"/>
              </w:rPr>
            </w:pPr>
          </w:p>
        </w:tc>
        <w:tc>
          <w:tcPr>
            <w:tcW w:w="8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21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Cash-restricted</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are Level I measurements. There were no transfers between Level I and Level II measurements, and no changes in the valuation techniques used during the three months ended March 31, 2022.</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record our Bridge Loans and forward contracts on our Series B Preferred Equity Financing at their fair market values. See Note 3 for a discussion of these transactions and the determination of their fair market value.</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convertible notes, Bridge Loans, and forward sales contracts are not regularly traded and it is difficult to estimate a reliable and accurate market price for these securities. The estimated fair values for these securities represent Level III valuations since a fair value for these securities cannot be determined by using readily observable inputs or measures, such as market prices. Fair values were estimated using pricing models and risk-adjusted value ranges.</w:t>
      </w:r>
    </w:p>
    <w:p>
      <w:pPr>
        <w:spacing w:after="0" w:line="11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our term loan also represents a Level III valuation since the value cannot be determined by using readily observable inputs or measures, such as market prices. The fair value of our term loan was estimated using a discounted cash flows approach and current market interest rate data for similar loans.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par value, carrying value and the estimated fair value of our debt as of March 31, 2022 and December 31, 2021, respectively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1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0"/>
        </w:trPr>
        <w:tc>
          <w:tcPr>
            <w:tcW w:w="46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2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Notes</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81,880</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Notes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55,578</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55,578</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82,481</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under revolving credit agreement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90,578</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121,050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72,416</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99,432</w:t>
            </w:r>
          </w:p>
        </w:tc>
      </w:tr>
      <w:tr>
        <w:trPr>
          <w:trHeight w:val="21"/>
        </w:trPr>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 Reserved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2022, we had reserved shares of common stock for future issuance under equity compensation plans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Issued Upon Release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15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Of Restricted Stock</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and Performance</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Securities</w:t>
            </w:r>
          </w:p>
        </w:tc>
        <w:tc>
          <w:tcPr>
            <w:tcW w:w="0" w:type="dxa"/>
            <w:vAlign w:val="bottom"/>
          </w:tcPr>
          <w:p>
            <w:pPr>
              <w:spacing w:after="0"/>
              <w:rPr>
                <w:sz w:val="1"/>
                <w:szCs w:val="1"/>
                <w:color w:val="auto"/>
              </w:rPr>
            </w:pPr>
          </w:p>
        </w:tc>
      </w:tr>
      <w:tr>
        <w:trPr>
          <w:trHeight w:val="14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 Units at</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2011 Equity Incentive Plan</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DVS Sciences Inc. 2010 Equity Incentive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 Inducement Award Plan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Employee Stock Purchase Plan</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Included in the securities to be issued upon release of RSUs and PSUs are the maximum number of shares that could be issued for performance share unit awards, which can vest at 0%-200% of the number of awards granted. The number of shares available for future issuance also reflects PSU awards granted at the maximum number of shares that could be issued under these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Plans</w:t>
      </w:r>
    </w:p>
    <w:p>
      <w:pPr>
        <w:spacing w:after="0" w:line="162"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sets the terms, conditions, and restrictions related to our 2017 Employee Stock Purchase Plan (ESPP) and the grant of stock options, restricted stock units (RSUs) and performance-based awards under our equity incentive plans. Our board of directors determines the number of awards to grant and also sets vesting criteria.</w:t>
      </w:r>
    </w:p>
    <w:p>
      <w:pPr>
        <w:spacing w:after="0" w:line="10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general, RSUs vest on a quarterly basis over a period of four years from the date of grant at a rate of 25% on the first anniversary of the grant date and ratably each quarter over the remaining 12 quarters, or ratably over 16 quarters, subject to the employees’ continued employment. We may grant RSUs with different vesting terms from time to time. In the first quarter of 2022, we granted 0.8 million of retention RSUs which vest within one year.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Incentive stock options and non-statutory stock options granted under our 2011 Equity Incentive Plan (2011 Plan) have a term of no more than ten years from the date of grant and an exercise price of at least 100% of the fair market value of the underlying common stock on the date of grant. Generally,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1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2011 Equity Incentive Plan</w:t>
      </w:r>
    </w:p>
    <w:p>
      <w:pPr>
        <w:spacing w:after="0" w:line="14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January 2011, our board of directors adopted the 2011 Plan under which incentive stock options, non-statutory stock options, RSUs, stock appreciation rights, performance stock units (PSUs), and performance shares may be granted to our employees, directors, and consultants. In April 2019, our board of directors authorized, and in June 2019, our stockholders approved an amendment and restatement of the 2011 Plan to make various changes, including increasing the number of shares reserved for issuance by approximately 5.0 million shares and extending the term of the 2011 Plan until April 2029. In May 2020, our board of directors authorized, and in June 2020, our stockholders approved, an increase of 1.4 million shares reserved for issuance under the 2011 Plan. In April 2021, our board of directors authorized, and in May 2021, our stockholders approved, an additional increase of 4.1 million shares reserved for issuance under the 2011 Plan.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under the various plans was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44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 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the unrecognized compensation costs related to outstanding unvested RSUs under our equity incentive plans were $21.8 million. We expect to recognize those costs over a weighted average period of 2.2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2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14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 Remaining</w:t>
            </w: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160" w:type="dxa"/>
            <w:vAlign w:val="bottom"/>
          </w:tcPr>
          <w:p>
            <w:pPr>
              <w:spacing w:after="0"/>
              <w:rPr>
                <w:sz w:val="12"/>
                <w:szCs w:val="12"/>
                <w:color w:val="auto"/>
              </w:rPr>
            </w:pPr>
          </w:p>
        </w:tc>
        <w:tc>
          <w:tcPr>
            <w:tcW w:w="12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5220" w:type="dxa"/>
            <w:vAlign w:val="bottom"/>
          </w:tcPr>
          <w:p>
            <w:pPr>
              <w:spacing w:after="0"/>
              <w:rPr>
                <w:sz w:val="17"/>
                <w:szCs w:val="17"/>
                <w:color w:val="auto"/>
              </w:rPr>
            </w:pPr>
          </w:p>
        </w:tc>
        <w:tc>
          <w:tcPr>
            <w:tcW w:w="14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Options (000s)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7"/>
                <w:szCs w:val="17"/>
                <w:color w:val="auto"/>
              </w:rPr>
            </w:pPr>
          </w:p>
        </w:tc>
        <w:tc>
          <w:tcPr>
            <w:tcW w:w="12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9"/>
                <w:szCs w:val="9"/>
                <w:b w:val="1"/>
                <w:bCs w:val="1"/>
                <w:color w:val="auto"/>
              </w:rPr>
              <w:t>(1)</w:t>
            </w:r>
            <w:r>
              <w:rPr>
                <w:rFonts w:ascii="Times New Roman" w:cs="Times New Roman" w:eastAsia="Times New Roman" w:hAnsi="Times New Roman"/>
                <w:sz w:val="14"/>
                <w:szCs w:val="14"/>
                <w:b w:val="1"/>
                <w:bCs w:val="1"/>
                <w:color w:val="auto"/>
              </w:rPr>
              <w:t xml:space="preserve"> in (000s)</w:t>
            </w:r>
          </w:p>
        </w:tc>
        <w:tc>
          <w:tcPr>
            <w:tcW w:w="0" w:type="dxa"/>
            <w:vAlign w:val="bottom"/>
          </w:tcPr>
          <w:p>
            <w:pPr>
              <w:spacing w:after="0"/>
              <w:rPr>
                <w:sz w:val="1"/>
                <w:szCs w:val="1"/>
                <w:color w:val="auto"/>
              </w:rPr>
            </w:pPr>
          </w:p>
        </w:tc>
      </w:tr>
      <w:tr>
        <w:trPr>
          <w:trHeight w:val="22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at March 31, 2022</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1,469</w:t>
            </w:r>
          </w:p>
        </w:tc>
        <w:tc>
          <w:tcPr>
            <w:tcW w:w="2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awards at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340" w:right="240" w:hanging="332"/>
        <w:spacing w:after="0" w:line="260"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intrinsic value as of March 31, 2022 was calculated as the difference between the closing price per share of our common stock on the last trading day of March 31, 2022, which was $3.59, and the exercise price of the options, multiplied by the number of in-the-money options.</w:t>
      </w:r>
    </w:p>
    <w:p>
      <w:pPr>
        <w:spacing w:after="0" w:line="100"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the unrecognized compensation costs related to outstanding unvested options under our equity incentive plans were $0.1 million. We expect to recognize those costs over a weighted average period of 0.5 years.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 with Market Condition</w:t>
      </w:r>
    </w:p>
    <w:p>
      <w:pPr>
        <w:spacing w:after="0" w:line="14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have granted PSU awards to certain executive officers and senior level employees. The number of PSUs ultimately earned under these awards is calculated based on the Total Shareholder Return (TSR) of our common stock as compared to the TSR of a defined group of peer companies during the applicable three-year performance period. The percentage of PSUs that vest will depend on our relative position at the end of the performance period and can range from 0% to 200% of the number of units granted.</w:t>
      </w:r>
    </w:p>
    <w:p>
      <w:pPr>
        <w:spacing w:after="0" w:line="112"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Based on the performance of our stock relative to our defined group of peer companies, none of the PSUs awarded in 2019 for the 2019-2021 measurement period were vested. The performance adjustment in the table below reflects that no shares were issued upon vesting of the 2019 PSU awards.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under the TSR-based PSUs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4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adjustment for 2019 awards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 released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 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the unrecognized compensation costs related to these awards were $3.2 million. We expect to recognize those costs over a weighted average period of 1.6 years.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 with Performance Conditions</w:t>
      </w:r>
    </w:p>
    <w:p>
      <w:pPr>
        <w:spacing w:after="0" w:line="162"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2019, we granted performance stock units to an employee. The number of performance stock units that ultimately vested under these awards was dependent on the employee achieving certain discrete operational milestones, the last of which was measured at December 31, 2021. In early 2022, it was determined that the operational milestones were not met and the 29 thousand awards that were outstanding on December 31, 2021 were cancelled.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Employee Stock Purchase Plan (ESPP)</w:t>
      </w:r>
    </w:p>
    <w:p>
      <w:pPr>
        <w:spacing w:after="0" w:line="16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ESPP offers U.S. and some non-U.S. employees the right to purchase shares of our common stock. Our ESPP program has a six-month offering period, with a new period commencing on the first trading day on or after May 31 and November 30 of each year. Employees are eligible to participate through payroll deductions of up to 10% of their compensation. Employees may not purchase more than $25 thousand of stock for any calendar year. The purchase price at which shares are sold under the ESPP is 85% of the lower of the fair market value of a share of our common stock on the first day of the offering period or the last day of the offering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stock-based compensation expense recognized was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31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stock options and performance share units</w:t>
            </w:r>
          </w:p>
        </w:tc>
        <w:tc>
          <w:tcPr>
            <w:tcW w:w="3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3,473</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3,677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1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quarterly provision for income taxes is based on an estimated effective annual income tax rate. Our quarterly provision for income taxes also includes discrete items, such as changes in valuation allowances or adjustments upon finalization of tax returns as well as infrequently occurring items, if any, such as the effects of changes in tax laws or rates, in the interim period in which they occur.</w:t>
      </w:r>
    </w:p>
    <w:p>
      <w:pPr>
        <w:spacing w:after="0" w:line="9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We recorded a tax benefit of $0.6 million and $1.7 million for the three months ended March 31, 2022 and 2021, respectively. Lower losses in our foreign operations in the quarter ended March 31, 2022 compared to the quarter ended March 31, 2021 resulted in a lower tax benefit for our foreign operations for the three months ended March 31, 2022 compared to the prior year period.</w:t>
      </w:r>
    </w:p>
    <w:p>
      <w:pPr>
        <w:spacing w:after="0" w:line="10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tax benefit for the periods presented in this report differs from the 21% U.S. Federal statutory rate principally because we maintain a valuation allowance for our domestic deferred tax assets, which primarily consist of net-operating loss carryforwards.</w:t>
      </w:r>
    </w:p>
    <w:p>
      <w:pPr>
        <w:spacing w:after="0" w:line="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Recording deferred tax assets is appropriate when realization of these assets is more likely than not. Assessing the realizability of deferred tax assets is dependent upon several factors including historical financial results and future expected financial results. Domestic deferred tax assets have been offset by valuation allowances. Any release of valuation allowances could have the effect of decreasing the income tax provision in the period the valuation allowance is released. We continue to assess the likelihood that we will be able to recover our deferred tax assets, including those for which a valuation allowance is recorded. There can be no assurance that we will generate profits in the future periods enabling us to fully realize our deferred tax assets. The timing of recording a valuation allowance or the reversal of such valuation allowance is subject to objective and subjective factors that cannot be readily predicted in advance.</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tax positions are subject to audits by multiple tax jurisdictions. We believe that we have provided adequate reserves for uncertain tax positions for all tax years still open for assessment. For the three months ended March 31, 2022 and 2021, respectively, we did not recognize any material interest or penalties related to uncertain tax positions.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Information About Geographic Areas</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operate in one reporting segment that develops, manufactures and commercializes tools for life science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1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 summary table of our revenue by geographic areas of our customers and by product and services for the three months ended March 31, 2022 and 2021 is included in Note 6 to the condensed consolidated financial statements.</w:t>
      </w:r>
    </w:p>
    <w:p>
      <w:pPr>
        <w:spacing w:after="0" w:line="81"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Revenue from customers in the United States represented $11.8 million, or 45% of total revenues, and $18.1 million, or 55% of total revenues, for the three months ended March 31, 2022 and 2021, respectively.</w:t>
      </w:r>
    </w:p>
    <w:p>
      <w:pPr>
        <w:spacing w:after="0" w:line="94"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Revenue from customers in China represented $2.8 million, or 11% of total revenues, and $3.0 million, or 9% of total revenues, for the three months ended March 31, 2022 and 2021, respectively. With the exception of China for the three months ended March 31, 2022, no foreign country had revenue in excess of 10% of total revenues during any of the periods presented in this report.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25" w:name="page26"/>
    <w:bookmarkEnd w:id="25"/>
    <w:p>
      <w:pPr>
        <w:ind w:right="280"/>
        <w:spacing w:after="0" w:line="282" w:lineRule="auto"/>
        <w:rPr>
          <w:sz w:val="20"/>
          <w:szCs w:val="20"/>
          <w:color w:val="auto"/>
        </w:rPr>
      </w:pPr>
      <w:r>
        <w:rPr>
          <w:rFonts w:ascii="Times New Roman" w:cs="Times New Roman" w:eastAsia="Times New Roman" w:hAnsi="Times New Roman"/>
          <w:sz w:val="18"/>
          <w:szCs w:val="18"/>
          <w:color w:val="auto"/>
        </w:rPr>
        <w:t>related expenses including, among others, attorneys’ fees, judgments, fines and settlement amounts incurred by any of these individuals in any action or proceeding.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2020, a putative class action complaint alleging violations of the federal securities laws was filed against the Company (also naming our now-former Chief Executive Officer and our Chief Financial Officer as defendants) in the U.S. District Court for the Northern District of California (Reena Saintjermain, et al. v. Fluidigm Corporation, et al). The Court appointed a lead plaintiff and lead counsel in December 2020, and an amended complaint was filed on February 19, 2021. The complaint, as amended, seeks unspecified damages on behalf of a purported class of persons and entities who acquired our common stock between February 7, 2019 and November 5, 2019 and alleges securities laws violations based on statements and alleged omissions made by the Company during such period. The Company filed a motion to dismiss the complaint on April 5, 2021 and, on August 4, 2021, the Court granted defendants’ motion to dismiss with leave to amend. A second amended complaint was filed on September 14, 2021. The Company filed a motion to dismiss the second amended complaint on October 29, 2021 and, on February 14, 2022, the Court granted defendants’ motion and dismissed the second amended complaint with prejudice. On March 15, 2022, plaintiff filed a Notice of Appeal to the U.S. Court of Appeals for the Ninth Circuit. We believe the claims alleged in the complaint lack merit and we intend to defend this action vigorously.</w:t>
      </w:r>
    </w:p>
    <w:p>
      <w:pPr>
        <w:spacing w:after="0" w:line="11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April 1, 2022, our stockholders approved the Charter Amendment Proposal and Private Placement Issuance Proposal discussed in Note 3. The Private Placement Issuance closed on April 4, 2022. On April 4, 2022, we received $225 million, before expenses, and issued 225,000 shares of Series B Preferred Stock pursuant to the Purchase Agreements. The Bridge Loans converted into 30,559 shares of Series B Preferred Stock based on a Conversion Amount, as described in Note 3, of $25.5 million.</w:t>
      </w:r>
    </w:p>
    <w:p>
      <w:pPr>
        <w:spacing w:after="0" w:line="11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Following stockholder approval of the Charter Amendment Proposal and the Private Placement Issuance Proposal, our name was changed to Standard BioTools Inc. Shortly after the closing of the Private Placement Issuance, we also changed the ticker symbol for our common stock to LAB. Upon the closing of the Private Placement Issuance, Dr. Michael Egholm was appointed as the Company’s President and Chief Executive Officer and as a member of the Board of Directors.</w:t>
      </w:r>
    </w:p>
    <w:p>
      <w:pPr>
        <w:spacing w:after="0" w:line="9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closing, we adopted the 2022 Inducement Equity Incentive Plan with an initial reserve of approximately 9.5 million shares. Effective April 4, 2022, we awarded options for 8.1 million shares of our common stock at an exercise price of $3.99 per share and 1.4 million restricted stock units to members of our management team, including Dr. Egholm under the 2022 Inducement Equity Incentive Plan. These awards vest over four years.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i w:val="1"/>
          <w:iCs w:val="1"/>
          <w:color w:val="auto"/>
        </w:rPr>
        <w:t>The following Management’s Discussion and Analysis of Financial Condition and Results of Operations (MD&amp;A) is intended to help the reader understand the results of operations and financial condition of Standard BioTools Inc. MD&amp;A is provided as a supplement to, and should be read together with our condensed consolidated financial statements and the notes to those statements included elsewhere in this Form 10-Q. This Form 10-Q contains forward-looking statements within the meaning of Section 27A of the Securities Act of 1933, as amended (the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income and expenses, unit sales and the selling prices of our products, business strategies, financing plans, expansion of our business, competitive position, industry environment, potential growth opportunities, market growth expectations, and the effects of competition and public health crises (including the COVID-19 pandemic) on our business, the global supply chain, and our customers, suppliers, and other business partners.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9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located elsewhere in this quarterly report on Form 10-Q, and in our annual report on Form 10-K filed with the Securities and Exchange Commission (SEC). Given these uncertainties, you should not place undue reliance on these forward-looking statements. Also, forward-looking statements represent our management’s beliefs and assumptions only as of the date of this Form 10-Q.</w:t>
      </w:r>
    </w:p>
    <w:p>
      <w:pPr>
        <w:spacing w:after="0" w:line="116" w:lineRule="exact"/>
        <w:rPr>
          <w:sz w:val="20"/>
          <w:szCs w:val="20"/>
          <w:color w:val="auto"/>
        </w:rPr>
      </w:pPr>
    </w:p>
    <w:p>
      <w:pPr>
        <w:ind w:right="2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9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Standard BioTools™, the Standard BioTools logo, Fluidigm®, the Fluidigm logo, Access Array™, Acculift™, Advanta™, Atlas™, Biomark™,</w:t>
      </w:r>
    </w:p>
    <w:p>
      <w:pPr>
        <w:spacing w:after="0" w:line="1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Bringing new insights to life™, C1™, Callisto™, Cell-ID™, CyTOF®, CyTOF XT™, CyTOF XT logo, D3™, Delta Gene™, Direct™, Digital Array™, Dynamic Array™, EP1™, EQ™, FC1™, Flex Six™, Flow Conductor™, GeckoGrip™, Helios™, High-Precision 96.96 Genotyping™, HTI™, Hyperion™, IMC™, Imaging Mass Cytometry™, Immune Profiling Assay™, Juno™, Maxpar®, MCD™, MSL®, Nanoflex™, Open App™, Pathsetter™, Polaris™, qdPCR 37K™, Script Builder™, Script Hub™, Singular™, SNP Trace™, and SNP Type™ are trademarks or registered trademarks of Standard BioTools Inc. Other service marks, trademarks and trade names referred to in this quarterly report on Form 10-Q are the property of their respective owners.</w:t>
      </w:r>
    </w:p>
    <w:p>
      <w:pPr>
        <w:spacing w:after="0" w:line="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Form 10-Q to “Standard BioTools” the “Company,” “we,” “us,” and “our” refer to Standard BioTools Inc. and its subsidiaries.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MD&amp;A is organized in the following sections:</w:t>
      </w:r>
    </w:p>
    <w:p>
      <w:pPr>
        <w:spacing w:after="0" w:line="15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Overview</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Critical Accounting Policies, Significant Judgments and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Changes and Accounting Pronouncements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and Capital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Standard BioTools Inc., previously known as Fluidigm Corporation, is driven by a bold vision – unleashing tools to accelerate breakthroughs in human health. Standard BioTools has an established portfolio of essential, standardized next-generation technologies that help biomedical researchers develop medicines faster and better. As a leading solutions provider, we provide reliable and repeatable insights in health and disease using our proprietary mass cytometry and microfluidics technologies that help transform scientific discoveries into better patient outcomes. We work with leading academic,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27" w:name="page28"/>
    <w:bookmarkEnd w:id="27"/>
    <w:p>
      <w:pPr>
        <w:ind w:right="620"/>
        <w:spacing w:after="0" w:line="282" w:lineRule="auto"/>
        <w:rPr>
          <w:sz w:val="20"/>
          <w:szCs w:val="20"/>
          <w:color w:val="auto"/>
        </w:rPr>
      </w:pPr>
      <w:r>
        <w:rPr>
          <w:rFonts w:ascii="Times New Roman" w:cs="Times New Roman" w:eastAsia="Times New Roman" w:hAnsi="Times New Roman"/>
          <w:sz w:val="18"/>
          <w:szCs w:val="18"/>
          <w:color w:val="auto"/>
        </w:rPr>
        <w:t>government, pharmaceutical, biotechnology, plant and animal research, and clinical laboratories worldwide, focusing on the most pressing needs in translational and clinical research, including oncology, immunology, and immunotherapy.</w:t>
      </w:r>
    </w:p>
    <w:p>
      <w:pPr>
        <w:spacing w:after="0" w:line="67" w:lineRule="exact"/>
        <w:rPr>
          <w:sz w:val="20"/>
          <w:szCs w:val="20"/>
          <w:color w:val="auto"/>
        </w:rPr>
      </w:pPr>
    </w:p>
    <w:p>
      <w:pPr>
        <w:ind w:right="140" w:firstLine="324"/>
        <w:spacing w:after="0" w:line="242" w:lineRule="auto"/>
        <w:rPr>
          <w:sz w:val="20"/>
          <w:szCs w:val="20"/>
          <w:color w:val="auto"/>
        </w:rPr>
      </w:pPr>
      <w:r>
        <w:rPr>
          <w:rFonts w:ascii="Times New Roman" w:cs="Times New Roman" w:eastAsia="Times New Roman" w:hAnsi="Times New Roman"/>
          <w:sz w:val="18"/>
          <w:szCs w:val="18"/>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 Our facility in Singapore manufactures our integrated fluidic circuits (IFCs) as well as our microfluidics instruments, which are assembled by our contract manufacturer located within our Singapore facility. Our mass cytometry instruments, assays and reagents are manufactured at our facility in Canada.</w:t>
      </w:r>
    </w:p>
    <w:p>
      <w:pPr>
        <w:spacing w:after="0" w:line="13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total revenue for the three months ended March 31, 2022 was $26.5 million and $32.8 million for the three months ended March 31, 2021. We have incurred significant net losses since our inception in 1999 and, as of March 31, 2022, our accumulated deficit was $812.3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Issuance</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January 23, 2022, we entered into (i) a Loan Agreement (the Casdin Bridge Loan Agreement) with Casdin Private Growth Equity Fund II, L.P. and Casdin Partners Master Fund, L.P. (collectively, Casdin) and (ii) a Loan Agreement (the Viking Bridge Loan Agreement, and together with the Casdin Bridge Loan Agreement, the Bridge Loan Agreements) and each a Bridge Loan) with Viking Global Opportunities Illiquid Investments Sub-Master LP and Viking Global Opportunities Drawdown (Aggregator) LP (collectively, Viking and, together with Casdin, the Purchasers and each, a Purchaser). Each Bridge Loan Agreement provided for a $12.5 million term loan to the Company. The Bridge Loans were fully drawn on January 24, 2022. The Bridge Loans automatically converted into Series B Preferred Stock, defined below, upon the completion of the Preferred Equity Financing, defined below. The proceeds of the Bridge Loans may be used for working capital and general corporate purposes.</w:t>
      </w:r>
    </w:p>
    <w:p>
      <w:pPr>
        <w:spacing w:after="0" w:line="121"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Also on January 23, 2022, we entered into separate Series B Convertible Preferred Stock Purchase Agreements (the Purchase Agreements) with each of the Purchasers pursuant to which, among other things, at the closing of the transactions contemplated thereby, and on the terms and subject to the conditions set forth therein, including the approval of our stockholders, we issued and sold an aggregate of $225 million of convertible preferred stock on April 4, 2022, consisting of: (i) 112,500 shares of the Company’s Series B-1 Convertible Preferred Stock, par value $0.001 per share (the Series B-1 Preferred Stock), at a purchase price of $1,000 per share to Casdin; and (ii) 112,500 shares of the Company’s Series B-2 Convertible Preferred Stock, par value $0.001 per share (the Series B-2 Preferred Stock, and together with the Series B-1 Preferred Stock, the Series B Preferred Stock) at a purchase price of $1,000 per share to Viking (the Preferred Equity Financing, and together with the issuance of shares of Series B Preferred Stock in connection with the conversion of the Bridge Loans, the Private Placement Issuance). The proceeds of the Preferred Equity Financing will be used for expenses related to the Private Placement Issuance, as well as working capital, general corporate purposes and potential future merger and acquisition opportunities that we may identify from time to time.</w:t>
      </w:r>
    </w:p>
    <w:p>
      <w:pPr>
        <w:spacing w:after="0" w:line="11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(the Board) called a meeting (Special Meeting) to ask our stockholders to consider, vote upon and approve (i) a proposal to amend the Company’s Eighth Amended and Restated Certificate of Incorporation (the Charter) to, among other things, increase the number of shares of common stock, par value $0.001 per share, (Common Stock) of the Company that we are authorized to issue from two hundred million (200,000,000) shares to four hundred million (400,000,000) shares and to change our name to Standard BioTools Inc. (the Charter Amendment Proposal); (ii) a proposal to approve, in accordance with Nasdaq Listing Rule 5635, the issuance of (A) the Series B-1 Preferred Stock and the Series B-2 Preferred Stock pursuant to the Purchase Agreements, (B) the Series B-1 Preferred Stock and the Series B-2 Preferred Stock issuable pursuant to the terms of the Bridge Loan Agreements and (C) the Common Stock issuable upon the conversion of the Series B Preferred Stock (the Private Placement Issuance Proposal); and (iii) a proposal to adjourn the Special Meeting if the Special Meeting were convened and a quorum were present, but there were not sufficient votes to approve the Charter Amendment Proposal and the Private Placement Issuance Proposal (the Adjournment Proposal, and, together with the Private Placement Issuance Proposal and the Charter Amendment Proposal, the Stockholder Proposals). Each of the Private Placement Issuance Proposal and Charter Amendment Proposal were conditioned on the approval of the other proposal, and neither proposal would take effect unless both were approved by our stockholders. Our stockholders approved the Charter Amendment Proposal and Private Placement Issuance Proposal on April 1, 2022. The Private Placement Issuance closed on April 4, 2022.</w:t>
      </w:r>
    </w:p>
    <w:p>
      <w:pPr>
        <w:spacing w:after="0" w:line="120"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On April 1, 2022, the Company filed with the Secretary of State of the State of Delaware (i) the Charter Amendment, (ii) the Series B-1 Preferred Stock Certificate of Designations to establish the preferences, limitations and relative rights of the Series B-1 Preferred Stock and (iii) the Series B-2 Preferred Stock Certificate of Designations to establish the preferences,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ind w:right="40"/>
        <w:spacing w:after="0" w:line="282" w:lineRule="auto"/>
        <w:rPr>
          <w:sz w:val="20"/>
          <w:szCs w:val="20"/>
          <w:color w:val="auto"/>
        </w:rPr>
      </w:pPr>
      <w:r>
        <w:rPr>
          <w:rFonts w:ascii="Times New Roman" w:cs="Times New Roman" w:eastAsia="Times New Roman" w:hAnsi="Times New Roman"/>
          <w:sz w:val="18"/>
          <w:szCs w:val="18"/>
          <w:color w:val="auto"/>
        </w:rPr>
        <w:t>limitations and relative rights of the Series B-2 Preferred Stock. The Charter Amendment, Series B-1 Certificate of Designations and Series B-2 Certificate of Designations became effective upon filing.</w:t>
      </w:r>
    </w:p>
    <w:p>
      <w:pPr>
        <w:spacing w:after="0" w:line="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April 4, 2022, following stockholder approval of the Charter Amendment Proposal and the Private Placement Issuance Proposal, we received $225 million, before expenses, and issued 225,000 shares of Series B Preferred Stock, pursuant to the Purchase Agreements. The Bridge Loans converted into 30,559 shares of Series B Preferred Stock. With the approval of the proposals, our name was changed to Standard BioTools Inc. Shortly after the closing of the Private Placement Issuance we also changed our ticker symbol for our common stock to LAB. Upon the closing of the Private Placement Issuance, Dr. Michael Egholm was appointed as the Company’s President and Chief Executive Officer and as a member of the Board of Directors.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capital from the Private Placement Issuance is expected to help fuel a realization of identified growth and cost opportunities and allow for new growth drivers as we pursue and consolidate complementary technologies across the life science ecosystem.</w:t>
      </w:r>
    </w:p>
    <w:p>
      <w:pPr>
        <w:spacing w:after="0" w:line="90" w:lineRule="exact"/>
        <w:rPr>
          <w:sz w:val="20"/>
          <w:szCs w:val="20"/>
          <w:color w:val="auto"/>
        </w:rPr>
      </w:pPr>
    </w:p>
    <w:p>
      <w:pPr>
        <w:ind w:left="660" w:right="72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Achieving significantly greater breadth and scale</w:t>
      </w:r>
      <w:r>
        <w:rPr>
          <w:rFonts w:ascii="Times New Roman" w:cs="Times New Roman" w:eastAsia="Times New Roman" w:hAnsi="Times New Roman"/>
          <w:sz w:val="18"/>
          <w:szCs w:val="18"/>
          <w:color w:val="auto"/>
        </w:rPr>
        <w:t>. With a strong platform and deeply experienced management team, we will strive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accelerate growth both organically and, importantly, inorganically to deliver breadth and scale to the Company.</w:t>
      </w:r>
    </w:p>
    <w:p>
      <w:pPr>
        <w:spacing w:after="0" w:line="73" w:lineRule="exact"/>
        <w:rPr>
          <w:rFonts w:ascii="Times New Roman" w:cs="Times New Roman" w:eastAsia="Times New Roman" w:hAnsi="Times New Roman"/>
          <w:sz w:val="18"/>
          <w:szCs w:val="18"/>
          <w:color w:val="auto"/>
        </w:rPr>
      </w:pPr>
    </w:p>
    <w:p>
      <w:pPr>
        <w:ind w:left="660" w:right="48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Optimizing the cost structure</w:t>
      </w:r>
      <w:r>
        <w:rPr>
          <w:rFonts w:ascii="Times New Roman" w:cs="Times New Roman" w:eastAsia="Times New Roman" w:hAnsi="Times New Roman"/>
          <w:sz w:val="18"/>
          <w:szCs w:val="18"/>
          <w:color w:val="auto"/>
        </w:rPr>
        <w:t>. As we work toward our goal of being sustainably cash flow positive, we intend to have a leaner general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expense structure and a sales and marketing spend that is better aligned to support high-growth areas.</w:t>
      </w:r>
    </w:p>
    <w:p>
      <w:pPr>
        <w:spacing w:after="0" w:line="87" w:lineRule="exact"/>
        <w:rPr>
          <w:rFonts w:ascii="Times New Roman" w:cs="Times New Roman" w:eastAsia="Times New Roman" w:hAnsi="Times New Roman"/>
          <w:sz w:val="18"/>
          <w:szCs w:val="18"/>
          <w:color w:val="auto"/>
        </w:rPr>
      </w:pPr>
    </w:p>
    <w:p>
      <w:pPr>
        <w:ind w:left="660" w:right="26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a larger menu to expanding customer base. </w:t>
      </w:r>
      <w:r>
        <w:rPr>
          <w:rFonts w:ascii="Times New Roman" w:cs="Times New Roman" w:eastAsia="Times New Roman" w:hAnsi="Times New Roman"/>
          <w:sz w:val="18"/>
          <w:szCs w:val="18"/>
          <w:color w:val="auto"/>
        </w:rPr>
        <w:t>We expect to direct sales and marketing towards expanding our relationships deeper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the life science ecosystem, including large biopharma, emerging biotech, and diagnostic companies and the broader contract research organization and contract manufacturing organization service provider network.</w:t>
      </w:r>
    </w:p>
    <w:p>
      <w:pPr>
        <w:spacing w:after="0" w:line="103" w:lineRule="exact"/>
        <w:rPr>
          <w:rFonts w:ascii="Times New Roman" w:cs="Times New Roman" w:eastAsia="Times New Roman" w:hAnsi="Times New Roman"/>
          <w:sz w:val="18"/>
          <w:szCs w:val="18"/>
          <w:color w:val="auto"/>
        </w:rPr>
      </w:pPr>
    </w:p>
    <w:p>
      <w:pPr>
        <w:jc w:val="both"/>
        <w:ind w:left="660" w:right="50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Accelerating growth in mass cytometry</w:t>
      </w:r>
      <w:r>
        <w:rPr>
          <w:rFonts w:ascii="Times New Roman" w:cs="Times New Roman" w:eastAsia="Times New Roman" w:hAnsi="Times New Roman"/>
          <w:sz w:val="18"/>
          <w:szCs w:val="18"/>
          <w:color w:val="auto"/>
        </w:rPr>
        <w:t>. With particular emphasis on expanding our CyTOF and Imaging Mass Cytometry™ platforms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support translational and clinical research, we intend to simplify the design and execution of deep cell profiling, standardize sample analysis with reproducible workflows and automation, and significantly advance capabilities for novel therapeutic development.</w:t>
      </w:r>
    </w:p>
    <w:p>
      <w:pPr>
        <w:spacing w:after="0" w:line="89" w:lineRule="exact"/>
        <w:rPr>
          <w:rFonts w:ascii="Times New Roman" w:cs="Times New Roman" w:eastAsia="Times New Roman" w:hAnsi="Times New Roman"/>
          <w:sz w:val="18"/>
          <w:szCs w:val="18"/>
          <w:color w:val="auto"/>
        </w:rPr>
      </w:pPr>
    </w:p>
    <w:p>
      <w:pPr>
        <w:ind w:left="660" w:right="240" w:hanging="328"/>
        <w:spacing w:after="0" w:line="267"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Realizing and rationalizing opportunities in targeted high-profit areas within microfluidics</w:t>
      </w:r>
      <w:r>
        <w:rPr>
          <w:rFonts w:ascii="Times New Roman" w:cs="Times New Roman" w:eastAsia="Times New Roman" w:hAnsi="Times New Roman"/>
          <w:sz w:val="17"/>
          <w:szCs w:val="17"/>
          <w:color w:val="auto"/>
        </w:rPr>
        <w:t>. We plan to focus on targeted end-applications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(e.g., proteomics, biomarker analysis) and key partnerships (e.g., Olink® Bioscience) while rationalizing business processes and execution</w:t>
      </w:r>
      <w:r>
        <w:rPr>
          <w:rFonts w:ascii="Calibri" w:cs="Calibri" w:eastAsia="Calibri" w:hAnsi="Calibri"/>
          <w:sz w:val="20"/>
          <w:szCs w:val="20"/>
          <w:color w:val="auto"/>
        </w:rPr>
        <w:t>.</w:t>
      </w:r>
    </w:p>
    <w:p>
      <w:pPr>
        <w:spacing w:after="0" w:line="122"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In the audited consolidated financial statements and the related notes for the year ended December 31, 2021 included in our annual report on Form 10-K, filed with the SEC on March 8, 2022, we disclosed that we had performed an assessment to determine whether there were conditions or events, considered in the aggregate, that raised substantial doubt about our ability to continue as a going concern for at least the twelve-month period following the date the financial statements were issued. We believed that our then-current level of cash and cash equivalents, together with committed financing facilities, were not sufficient to fund ongoing operations for at least the twelve-month period after the financial statements were issued. Since then, we have closed the $225 million Series B Preferred Equity Financing, as discussed in Note 3. The financing, which was contingent upon stockholder approval, was previously disclosed in Note 18 to our audited financial statements included in our 2021 annual report on Form 10-K. The completion of this investment has eliminated the doubt about the Company’s ability to continue as a going concern. See Note 3 and Note 17 for additional discussion.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Estimates</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included elsewhere in this Form 10-Q are prepared in accordance with accounting principles generally accepted in the United States. The preparation of these condensed financial statements in accordance with U.S. GAAP requires management to make estimates and assumptions that affect the amounts reported in the condensed consolidated financial statements and accompanying notes. We base our estimates on historical experience and on various other assumptions believed to be reasonable, which together form the basis for making judgments about the carrying values of assets and liabilities. We also assessed certain accounting matters that generally require consideration of forecasted financial information, including the unknown impact of the COVID-19 pandemic and the war in Ukraine. Accounting matters that rely on forecasted financial information included, but were not limited to, our inventory, and related reserves, and the carrying value of goodwill and other long-lived assets and liabilities. Actual results could differ materially from these estimates and could have a material adverse effect on our condensed consolidated financial statements. The full extent to which the COVID-19 pandemic impacts our business, results of operations and financial condition will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9" w:name="page30"/>
    <w:bookmarkEnd w:id="29"/>
    <w:p>
      <w:pPr>
        <w:ind w:right="60"/>
        <w:spacing w:after="0" w:line="266" w:lineRule="auto"/>
        <w:rPr>
          <w:sz w:val="20"/>
          <w:szCs w:val="20"/>
          <w:color w:val="auto"/>
        </w:rPr>
      </w:pPr>
      <w:r>
        <w:rPr>
          <w:rFonts w:ascii="Times New Roman" w:cs="Times New Roman" w:eastAsia="Times New Roman" w:hAnsi="Times New Roman"/>
          <w:sz w:val="18"/>
          <w:szCs w:val="18"/>
          <w:color w:val="auto"/>
        </w:rPr>
        <w:t>depend on numerous evolving factors including, but not limited to, the magnitude and duration of the pandemic, the extent to which it will impact worldwide macroeconomic conditions, including the speed of recovery, and governmental and business reactions to the pandemic. We also use significant judgment in determining the fair value of financial instruments, including debt and equity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Changes and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Guidance</w:t>
      </w:r>
    </w:p>
    <w:p>
      <w:pPr>
        <w:spacing w:after="0" w:line="14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Debt-Debt with Conversion and Other Options (Subtopic 470-20) and Derivatives and Hedging-Contracts in Entity’s Own Equity (Subtopic 815-40): Accounting for Convertible Instruments and Contracts in an Entity’s Own Equity. The amendment to this ASU reduces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We adopted ASU 2020-06 effective January 1, 2022. The adoption of ASU 2020-06 did not have an impact on our 2014 and 2019 Convertible Notes.</w:t>
      </w:r>
    </w:p>
    <w:p>
      <w:pPr>
        <w:spacing w:after="0" w:line="120" w:lineRule="exact"/>
        <w:rPr>
          <w:sz w:val="20"/>
          <w:szCs w:val="20"/>
          <w:color w:val="auto"/>
        </w:rPr>
      </w:pPr>
    </w:p>
    <w:p>
      <w:pPr>
        <w:ind w:right="660" w:firstLine="324"/>
        <w:spacing w:after="0" w:line="246"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The amendment is effective for annual periods beginning after December 15, 2021.</w:t>
      </w:r>
    </w:p>
    <w:p>
      <w:pPr>
        <w:spacing w:after="0" w:line="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The amendment establishes financial disclosure requirements for business entities that receive government assistance that they account for by analogizing to a grant or contribution model because there is no specific authoritative guidance under U.S. GAAP that applies to the transaction. Entities that receive this type of assistance should include the following information in their annual report: (1) the nature of the transaction, (2) the significant terms and conditions, (3) the accounting treatment, (4) the line items on the balance sheet and income statement that are affected along with (5) the respective amounts that have been recorded. We adopted ASU 2021-10 effective January 1, 2022. The adoption of ASU 2021-10 did not have a material impact on our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53"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historical condensed consolidated statements of operations data for the three months ended March 31, 2022 and 2021, and as a percentage of total revenue (in thousands):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6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6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69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6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product revenue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service revenue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9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forward sale of Series B Preferred Stock</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bridge loans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We generate revenue primarily from sales of our products and services, and by entering into product development agreements, license and royalty agreements, and grants. Our product revenue consists of sales of instruments and consumables. Consumables revenue is largely driven by the size of our installed base of instruments and the annual level of pull-through per instrument. Service revenue is linked to the sales and active installed base of our instruments as our service revenue primarily consists of post-warranty service contracts, preventive maintenance plans, instrument parts, installation and training. We sell our products to leading academic and government laboratories, as well as pharmaceutical, biotechnology, clinical, plant and animal research organizations and clinical laboratories worldwide.</w:t>
      </w:r>
    </w:p>
    <w:p>
      <w:pPr>
        <w:spacing w:after="0" w:line="104" w:lineRule="exact"/>
        <w:rPr>
          <w:sz w:val="20"/>
          <w:szCs w:val="20"/>
          <w:color w:val="auto"/>
        </w:rPr>
      </w:pPr>
    </w:p>
    <w:p>
      <w:pPr>
        <w:ind w:right="60"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Development Revenue</w:t>
      </w:r>
      <w:r>
        <w:rPr>
          <w:rFonts w:ascii="Times New Roman" w:cs="Times New Roman" w:eastAsia="Times New Roman" w:hAnsi="Times New Roman"/>
          <w:sz w:val="18"/>
          <w:szCs w:val="18"/>
          <w:color w:val="auto"/>
        </w:rPr>
        <w:t>. On March 31, 2020, we entered into an OEM Supply and Development Agreement (Development Agreement) with a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develop products based on our microfluidics technology. The Development Agreement provided for up-front and periodic milestone payments during its development stage, which was completed in the third quarter of 2021, and for on-going annual payments of $0.4 million for sustaining efforts. During the three months ended March 31, 2022, we recognized $0.1 million of development revenue associated with these fees. During the three months ended March 31, 2021, we recognized $1.5 million of revenue from the project. Costs associated with the Development Agreement were recorded in research and development expense in the condensed consolidated statement of operations.</w:t>
      </w:r>
    </w:p>
    <w:p>
      <w:pPr>
        <w:spacing w:after="0" w:line="11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Grant Revenue</w:t>
      </w:r>
      <w:r>
        <w:rPr>
          <w:rFonts w:ascii="Times New Roman" w:cs="Times New Roman" w:eastAsia="Times New Roman" w:hAnsi="Times New Roman"/>
          <w:sz w:val="18"/>
          <w:szCs w:val="18"/>
          <w:color w:val="auto"/>
        </w:rPr>
        <w:t>. During the three months ended March 31, 2021, we recognized $0.3 million of grant revenue by providing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under a contractual arrangement we entered into in the second half of 2019. The contract was completed during the third quarter of 2021. Costs associated with the agreement were recorded in research and development expense in the condensed consolidated statement of operations.</w:t>
      </w:r>
    </w:p>
    <w:p>
      <w:pPr>
        <w:spacing w:after="0" w:line="90" w:lineRule="exact"/>
        <w:rPr>
          <w:sz w:val="20"/>
          <w:szCs w:val="20"/>
          <w:color w:val="auto"/>
        </w:rPr>
      </w:pPr>
    </w:p>
    <w:p>
      <w:pPr>
        <w:jc w:val="both"/>
        <w:ind w:right="220"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License Revenue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recognize revenue from license agreements when the license is transferred to the customer and the customer is able to use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from the license. During the three months ended March 31, 2022, we entered into an agreement to settle intellectual property infringement claims and received a $0.3 million payment in exchange for a license to certain of our intellectual property.</w:t>
      </w:r>
    </w:p>
    <w:p>
      <w:pPr>
        <w:spacing w:after="0" w:line="10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No single customer represented more than 10% of our total revenue for the three months ended March 31, 2022. Revenue from one customer exceeded 10% of total revenue for the three months ended March 31, 2021. Revenue from our five largest customers represented 21% and 27% of total revenue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source for the three months ended March 31, 2022 and 2021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20" w:type="dxa"/>
            <w:vAlign w:val="bottom"/>
            <w:gridSpan w:val="8"/>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0" w:type="dxa"/>
            <w:vAlign w:val="bottom"/>
          </w:tcPr>
          <w:p>
            <w:pPr>
              <w:spacing w:after="0"/>
              <w:rPr>
                <w:sz w:val="1"/>
                <w:szCs w:val="1"/>
                <w:color w:val="auto"/>
              </w:rPr>
            </w:pPr>
          </w:p>
        </w:tc>
      </w:tr>
      <w:tr>
        <w:trPr>
          <w:trHeight w:val="124"/>
        </w:trPr>
        <w:tc>
          <w:tcPr>
            <w:tcW w:w="6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20" w:type="dxa"/>
            <w:vAlign w:val="bottom"/>
            <w:gridSpan w:val="8"/>
            <w:vMerge w:val="continue"/>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Instruments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Consumables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12,481</w:t>
            </w:r>
          </w:p>
        </w:tc>
        <w:tc>
          <w:tcPr>
            <w:tcW w:w="9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9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and service revenue</w:t>
            </w: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revenue</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9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total revenue by geographic area for the three months ended March 31, 2022 and 2021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9"/>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62"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Total revenue decreased by $6.3 million, or 19%, for the three months ended March 31, 2022 compared to the three months ended March 31, 2021 primarily driven by a decline in consumables revenue and development revenue. A weaker dollar negatively impacted Company total revenues by 1.1 percentage points.</w:t>
      </w:r>
    </w:p>
    <w:p>
      <w:pPr>
        <w:spacing w:after="0" w:line="10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Americas revenue decreased by $5.6 million, or 30%, for the three months ended March 31, 2022 compared to the three months ended March 31, 2021. The decline is primarily attributable to a reduction in product revenue driven by the sharp decline in the demand for COVID-19 testing products and by a $1.4 million decline in development revenue. EMEA revenue decreased by $0.5 million driven by a decline in mass cytometry instruments, and partially offset by an increase in microfluidics instruments revenue primarily from products launched in the second half of 2021. A weaker dollar contributed 4.0 percentage points of the 5.8 percentage point decrease in EMEA revenue. In Asia-Pacific, revenue decreased by $0.2 million, or 3.2%, primarily due to a decline in consumables revenue, which was largely offset by an increase in instruments revenue.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40" w:firstLine="324"/>
        <w:spacing w:after="0" w:line="268" w:lineRule="auto"/>
        <w:rPr>
          <w:sz w:val="20"/>
          <w:szCs w:val="20"/>
          <w:color w:val="auto"/>
        </w:rPr>
      </w:pPr>
      <w:r>
        <w:rPr>
          <w:rFonts w:ascii="Times New Roman" w:cs="Times New Roman" w:eastAsia="Times New Roman" w:hAnsi="Times New Roman"/>
          <w:sz w:val="18"/>
          <w:szCs w:val="18"/>
          <w:i w:val="1"/>
          <w:iCs w:val="1"/>
          <w:color w:val="auto"/>
        </w:rPr>
        <w:t>Product and Service Revenue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tables present the split of product and service revenue between mass cytometry and microfluidics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and as a percentage of the respective category’s total product and service revenue for the three months ended March 31, 2022 and 2021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Year-</w:t>
            </w: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Over-</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48"/>
        </w:trPr>
        <w:tc>
          <w:tcPr>
            <w:tcW w:w="5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Mass cytometry:</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Instruments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Consumables</w:t>
            </w: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9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revenue</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w:t>
            </w:r>
          </w:p>
        </w:tc>
        <w:tc>
          <w:tcPr>
            <w:tcW w:w="12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2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9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and service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Microfluidics:</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Instruments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Consumables</w:t>
            </w: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revenue</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12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12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9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and service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Mass cytometry revenue decreased by $0.5 million, or 4%, during the three months ended March 31, 2022 compared to the three months ended March 31, 2021. The year-over-year decrease was primarily attributable to an overall decrease in legacy mass cytometry instruments revenue, partially offset by an increase in revenue from CyTOF XT instruments, which were released in May 2021. The decline in microfluidics revenue of $4.4 million, or 26%, during the three months ended March 31, 2022 compared to the three months ended March 31, 2021 is directly attributable to reduced demand for our COVID-19 testing products, partially offset by revenues from new BioMark O and BioMark X instruments, which were both released in the second half of 2021.</w:t>
      </w:r>
    </w:p>
    <w:p>
      <w:pPr>
        <w:spacing w:after="0" w:line="106" w:lineRule="exact"/>
        <w:rPr>
          <w:sz w:val="20"/>
          <w:szCs w:val="20"/>
          <w:color w:val="auto"/>
        </w:rPr>
      </w:pPr>
    </w:p>
    <w:p>
      <w:pPr>
        <w:ind w:right="600" w:firstLine="324"/>
        <w:spacing w:after="0" w:line="422" w:lineRule="auto"/>
        <w:rPr>
          <w:sz w:val="20"/>
          <w:szCs w:val="20"/>
          <w:color w:val="auto"/>
        </w:rPr>
      </w:pPr>
      <w:r>
        <w:rPr>
          <w:rFonts w:ascii="Times New Roman" w:cs="Times New Roman" w:eastAsia="Times New Roman" w:hAnsi="Times New Roman"/>
          <w:sz w:val="18"/>
          <w:szCs w:val="18"/>
          <w:color w:val="auto"/>
        </w:rPr>
        <w:t xml:space="preserve">We expect the average selling prices of our products to fluctuate over time based on market conditions, product mix, and currency fluctuations. </w:t>
      </w:r>
      <w:r>
        <w:rPr>
          <w:rFonts w:ascii="Times New Roman" w:cs="Times New Roman" w:eastAsia="Times New Roman" w:hAnsi="Times New Roman"/>
          <w:sz w:val="18"/>
          <w:szCs w:val="18"/>
          <w:b w:val="1"/>
          <w:bCs w:val="1"/>
          <w:i w:val="1"/>
          <w:iCs w:val="1"/>
          <w:color w:val="auto"/>
        </w:rPr>
        <w:t>Product and Service Cost, Product and Service Gross Profit and Product and Service Margin</w:t>
      </w:r>
    </w:p>
    <w:p>
      <w:pPr>
        <w:spacing w:after="0" w:line="1"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102"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Cost of service revenue includes direct labor hours, overhead, and instrument parts. Our cost of service revenue and related service margin may fluctuate depending on the variability in material and labor costs of servicing instruments.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8"/>
          <w:szCs w:val="18"/>
          <w:color w:val="auto"/>
        </w:rPr>
        <w:t>The following table presents our product and service cost, product and service gross profit, and product and service margin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Year-over-</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60"/>
              <w:spacing w:after="0" w:line="164" w:lineRule="exact"/>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12,339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11,663</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2,090</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and service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13,753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and service gross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17,261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and service margin</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10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(10.3)   ppt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Product and service margin decreased by 10.3 percentage points for the three months ended March 31, 2022 compared to the three months ended March 31, 2021. Products introduced in the second half of 2021, which have lower average gross margins, reduced product and service margins by 2.4 percentage points for the three months ended March 31, 2022 compared to the three months ended March 31, 2021. Higher inventory reserves and warranty costs contributed 2.2 percentage points and 1.7 percentage points, respectively, to the decline in product and service margins. Fixed depreciation and amortization costs on a lower revenue base contributed 2.4 percentage points to the decline in product and service margins for the three months ended March 31, 2022 compared to the three months ended March 31, 2021. Other factors, including unfavorable product mix from lower COVID-19 consumables sales in the three months ended March 31, 2022 compared to the three months ended March 31, 2021, coupled with the impact of lower plant utilization for mass cytometry products account for the majority of the remaining decline in product and service gross margins for the three months ended March 31, 2022 compared to the three months ended March 31,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three months ended March 31, 2022 and 2021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4"/>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Year-over-</w:t>
            </w:r>
          </w:p>
        </w:tc>
        <w:tc>
          <w:tcPr>
            <w:tcW w:w="0" w:type="dxa"/>
            <w:vAlign w:val="bottom"/>
          </w:tcPr>
          <w:p>
            <w:pPr>
              <w:spacing w:after="0"/>
              <w:rPr>
                <w:sz w:val="1"/>
                <w:szCs w:val="1"/>
                <w:color w:val="auto"/>
              </w:rPr>
            </w:pPr>
          </w:p>
        </w:tc>
      </w:tr>
      <w:tr>
        <w:trPr>
          <w:trHeight w:val="175"/>
        </w:trPr>
        <w:tc>
          <w:tcPr>
            <w:tcW w:w="7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consists primarily of compensation-related costs, product development and material expenses, and other allocated facilities and information technology expenses. Our research and development efforts have focused primarily on enhancing our technologies and supporting development and commercialization of new and existing products and services. Research and development expense also includes costs incurred in conjunction with research grants and development arrangements. We have made substantial investments in research and development since our inception and expect to continue to do so.</w:t>
      </w:r>
    </w:p>
    <w:p>
      <w:pPr>
        <w:spacing w:after="0" w:line="10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$1.9 million, or 18%, for the three months ended March 31, 2022 compared to the three months ended March 31, 2021 as the year-ago period includes development costs related to products that were launched in the second half of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personnel costs for our sales and marketing, business development, finance, legal, human resources, information technology, and general management, as well as professional services, such as legal and accounting services.</w:t>
      </w:r>
    </w:p>
    <w:p>
      <w:pPr>
        <w:spacing w:after="0" w:line="8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$3.3 million, or 12%, for the three months ended March 31, 2022 compared to the three months ended March 31, 2021. The increase was primarily due to $3.4 million of costs associated with the Private Placement Issuance, and $1.2 million of severance costs for our former CEO. Litigation costs decreased by $1.1 million due to the resolution of patent infringement claims.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Selling, general and administrative expenses for the rest of 2022 will be negatively impacted by costs associated with approximately $5.0 million of cash retention bonuses and approximately $2.9 million of stock-based compensation that will pay out over the next year through the first quarter of 2023.</w:t>
      </w:r>
    </w:p>
    <w:p>
      <w:pPr>
        <w:sectPr>
          <w:pgSz w:w="11900" w:h="16838" w:orient="portrait"/>
          <w:cols w:equalWidth="0" w:num="1">
            <w:col w:w="11240"/>
          </w:cols>
          <w:pgMar w:left="320" w:top="1039" w:right="339" w:bottom="1440" w:gutter="0" w:footer="0" w:header="0"/>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Other Non-Operating Items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The following table presents these items for the three months ended March 31, 2022 and 2021 (in thousands):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53"/>
        </w:trPr>
        <w:tc>
          <w:tcPr>
            <w:tcW w:w="7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Loss on forward sale of Series B Preferred Stock</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bridge loans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Year-over-</w:t>
      </w:r>
    </w:p>
    <w:p>
      <w:pPr>
        <w:jc w:val="center"/>
        <w:ind w:right="120"/>
        <w:spacing w:after="0" w:line="208" w:lineRule="auto"/>
        <w:rPr>
          <w:sz w:val="20"/>
          <w:szCs w:val="20"/>
          <w:color w:val="auto"/>
        </w:rPr>
      </w:pPr>
      <w:r>
        <w:rPr>
          <w:rFonts w:ascii="Times New Roman" w:cs="Times New Roman" w:eastAsia="Times New Roman" w:hAnsi="Times New Roman"/>
          <w:sz w:val="18"/>
          <w:szCs w:val="18"/>
          <w:b w:val="1"/>
          <w:bCs w:val="1"/>
          <w:color w:val="auto"/>
        </w:rPr>
        <w:t>Year</w:t>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3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16 %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NA</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NA</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(141)%</w:t>
      </w:r>
    </w:p>
    <w:p>
      <w:pPr>
        <w:spacing w:after="0" w:line="5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4112 %</w:t>
      </w:r>
    </w:p>
    <w:p>
      <w:pPr>
        <w:spacing w:after="0" w:line="254" w:lineRule="exact"/>
        <w:rPr>
          <w:sz w:val="20"/>
          <w:szCs w:val="20"/>
          <w:color w:val="auto"/>
        </w:rPr>
      </w:pPr>
    </w:p>
    <w:p>
      <w:pPr>
        <w:sectPr>
          <w:pgSz w:w="11900" w:h="16838" w:orient="portrait"/>
          <w:cols w:equalWidth="0" w:num="2">
            <w:col w:w="10100" w:space="220"/>
            <w:col w:w="920"/>
          </w:cols>
          <w:pgMar w:left="320" w:top="1039" w:right="339" w:bottom="1440" w:gutter="0" w:footer="0" w:header="0"/>
          <w:type w:val="continuous"/>
        </w:sectPr>
      </w:pPr>
    </w:p>
    <w:p>
      <w:pPr>
        <w:spacing w:after="0" w:line="11"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Interest expense is comprised primarily of interest on our convertible debt and Term Loan Facility. The increase in interest expense for the three months ended March 31, 2022 compared to the three months ended March 31, 2021 is due primarily to our Term Loan Facility.</w:t>
      </w:r>
    </w:p>
    <w:p>
      <w:pPr>
        <w:spacing w:after="0" w:line="9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Purchase Agreements, which promised to exchange 225,000 shares of Series B Preferred Stock for $225 million at a future date, accounted for as forward sales contracts at fair value in accordance with ASC 480 because the Series B Preferred Stock includes certain contingent redemption features which created an obligation for the Company to repurchase its shares. The fair value of the forward sales contracts was determined using a Monte Carlo Simulation (MCS) analysis. Given the convertibility of the Series B Preferred Stock into cash or our common stock under several scenarios, the MCS analysis simulated the value of the Series B Preferred Stock under numerous scenarios, reflecting the impact of the various conversion and redemption provisions of the Series B Preferred Stock. The fair value of 225,000 shares of Series B Preferred Stock was $262.8 million as of March 31, 2022. The increase in the fair value of the Series B Preferred Stock from January 23, 2022 to March 31, 2022 reflects the increase in the price of our common stock price since the inception of the contracts and the change in the value of the various conversion rights and key provisions discussed below. The loss of $37.8 million on the forward sale of the Series B Preferred Stock represents the difference between the fair value of the Series B Preferred Stock of $262.8 million and the $225.0 million of cash to be received.</w:t>
      </w:r>
    </w:p>
    <w:p>
      <w:pPr>
        <w:spacing w:after="0" w:line="11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Applying the guidance in ASC 825 to the Bridge Loans, we have elected to record the Bridge Loans at their fair value, given the short period of time in which the Bridge Loans were expected to be outstanding. The Unrealized Loss on the Bridge Loans reflects the entire change in the value of the Bridge Loans as a single line item on the condensed consolidated statement of operations, including the portion attributable to accrued interest. Accordingly, we have recognized no interest expense on the Bridge Loans for the three months ended March 31, 2022.</w:t>
      </w:r>
    </w:p>
    <w:p>
      <w:pPr>
        <w:spacing w:after="0" w:line="11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Bridge Loans is largely driven by the value of our common stock and the value of the Series B Preferred Stock into which they were converted. The Unrealized Loss on the Bridge Loans of $10.7 million was largely driven by an increase in the value in the price of our common stock from $2.84 per share at inception to $3.59 per share as of March 31, 2022 and, to a lesser extent, by the impact of the change in value of the various conversion options of the Series B Preferred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48"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Our tax provision is generally driven by three components: (i) tax provision from our foreign operations, (ii) tax benefits from the amortization of acquisition-related intangible assets, and (iii) discrete items, such as changes in valuation allowances or adjustments upon finalization of tax returns. Depending on the relative value of these components, we can have either a tax benefit or expense for any given period.</w:t>
      </w:r>
    </w:p>
    <w:p>
      <w:pPr>
        <w:spacing w:after="0" w:line="10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recorded a tax benefit of $0.6 million, or an effective tax rate of 0.7%, for the three months ended March 31, 2022. In the three months ended March 31, 2021, we recorded a tax benefit of $1.7 million, or an effective tax rate of 8.2%. Lower losses in certain of our foreign operations in the quarter ended March 31, 2022 compared to the quarter ended March 31, 2021 resulted in a lower tax benefit for our foreign operations for the three months ended March 31, 2022.</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our principal sources of liquidity consisted of $30.0 million of cash and cash equivalents, as well as $1.0 million of restricted cash and $8.4 million of availability under the Revolving Credit Facility.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cash flow summary for the three months ended March 31, 2022 and 2021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(18,776)</w:t>
            </w:r>
          </w:p>
        </w:tc>
      </w:tr>
      <w:tr>
        <w:trPr>
          <w:trHeight w:val="21"/>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Purchase obligations consist of contractual and legally binding commitments to purchase goods and services. The majority of our contracts are cancellable with little or no notice or penalty. However, once a vendor has incurred costs to fulfill a contract with us, and which costs cannot be otherwise deployed, we are liable for those costs upon cancellation.</w:t>
      </w:r>
    </w:p>
    <w:p>
      <w:pPr>
        <w:spacing w:after="0" w:line="9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additional obligations as part of our ordinary course of business, beyond those committed for capital expenditures and other purchase obligations and commitments for purchases of goods and services. For example, see Note 3 and Note 9 within our condensed consolidated financial statements for information about our short-term and long-term debt obligations and the Private Placement Issuance. See Note 10 within our condensed consolidated financial statements for information about our lease obligations, and see Note 16 within our condensed consolidated financial statements included elsewhere in this Form 10-Q for information about our various contractual and legally binding purchase commitments to purchase goods and services. Other than as disclosed above, there have been no material changes during the three months ended March 31, 2022 to our contractual obligations disclosed in our “Management’s Discussion and Analysis of Financial Condition and Results of Operations” included in our annual report on Form 10-K for the year ended December 31, 2021. The expected timing of payments of our obligations is estimated based on current information. Timing of payments and actual amounts paid may be different, depending on the timing of receipt of goods or services, or changes to agreed-upon amounts for some obligations. In addition, some of our purchasing requirements are not current obligations and are therefore not included in the amounts above. For example, some of these requirements are not handled through binding contracts or are fulfilled by vendors on a purchase order basis within short time horizons.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derive cash flows from operations primarily from cash collected from the sale of our products and services, license agreements and grants.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spacing w:after="0" w:line="9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$15.6 million and consisted of net loss of $76.3 million, less non-cash items of $57.6 million and cash provided by assets and liabilities, net, of $3.1 million. Non-cash items included a loss on forward sale of Series B Preferred Stock of $37.8 million, an unrealized loss on the Bridge Loans of $10.7 million, stock-based compensation expense of $4.0 million, amortization of developed technology of $3.0 million, depreciation and amortization of $1.0 million, provision for excess and obsolete inventory of $0.9 million, and a variety of smaller items.</w:t>
      </w:r>
    </w:p>
    <w:p>
      <w:pPr>
        <w:spacing w:after="0" w:line="116"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net decrease in assets and liabilities was primarily attributable to a $3.0 million increase of accrued compensation and related benefits due to an increase in severance and retention bonuses, a reduction of accounts receivable, net of $2.9 million, and an increase of accounts payable of $1.9 million. These decreases were partially offset by an increase in inventories, net of $3.6 million, and a decrease of other liabilities of $1.3 million.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primary investing activities consist of purchases, sales, and maturities of our short-term investments and capital expenditures for manufacturing, laboratory, computer equipment and software to support our infrastructure and workforce. We expect to continue to incur costs for capital expenditures to improve manufacturing efficiencies and strengthen information technology and network security. However, we may choose to decrease or defer certain capital expenditures and development activities, while further optimizing our organization.</w:t>
      </w:r>
    </w:p>
    <w:p>
      <w:pPr>
        <w:spacing w:after="0" w:line="9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was $0.9 million. Capital expenditures of $0.9 million were incurred primarily to expand our microfluidics IFC production capacity in Singapore related to the NIH Contract.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totaled $18.1 million during the three months ended March 31, 2022. The principal source of cash was proceeds from the $25.0 million Bridge Loans, which occurred as part of the Private Placement Issuance. This was partially offset by repayments of $6.8 million of advances under the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At March 31, 2022 and December 31, 2021, our working capital, excluding deferred revenues, current and deferred grant income, current, and restricted cash, was $41.9 million and $38.0 million, respectively, including cash and cash equivalents of $30.0 million and $28.5 million, respectively. We had no investments as of March 31, 2022 and December 31, 2021.</w:t>
      </w:r>
    </w:p>
    <w:p>
      <w:pPr>
        <w:spacing w:after="0" w:line="9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February 2014, we closed an underwritten public offering of our 2014 Notes. Pursuant to the Indenture governing the 2014 Notes, holders of the 2014 Notes have the right, subject to certain conditions specified in such indenture, to require us to repurchase all or a portion of their 2014 Notes on each of February 6, 2024 and February 6, 2029, at a repurchase price in cash equal to 100% of the principal amount of the 2014 Notes plus accrued and unpaid interest. On February 6, 2021, holders of $0.5 million of the 2014 Notes caused us to repurchase their notes in accordance with this provision leaving $0.6 million of 2014 Notes outstanding as of March 31, 2022.</w:t>
      </w:r>
    </w:p>
    <w:p>
      <w:pPr>
        <w:spacing w:after="0" w:line="11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2019, we closed a private placement to qualified institutional buyers pursuant to Rule 144A under the Securities Act of $55.0 million aggregate principal amount of our 2019 Notes. The 2019 Notes bear interest at 5.25% per annum, payable semiannually on June 1 and December 1 of each year, beginning on June 1, 2020. The 2019 Notes will mature on December 1, 2024, unless earlier repurchased or converted pursuant to their terms. The 2019 Notes will be convertible at the option of the holder at any point prior to close of business on the second scheduled trading day preceding the maturity date. The initial conversion rate of the 2019 Notes is 344.8276 shares of the Company’s common stock per $1,000 principal amount of 2019 Notes (which is equivalent to an initial conversion price of $2.90 per share). The conversion rate will be subject to adjustment upon the occurrence of certain specified events but will not be adjusted for any accrued and unpaid interest.</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(as defined in the indenture, currently $2.90, subject to adjustment)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summaries of the 2014 Notes and the 2019 Notes are not complete and are qualified in their entirety by the applicable indentures, forms of global notes, and other agreements and documents filed with the SEC.</w:t>
      </w:r>
    </w:p>
    <w:p>
      <w:pPr>
        <w:spacing w:after="0" w:line="94"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On August 2, 2018, we entered into a Loan and Security Agreement with SVB (the Credit Agreement) for our Revolving Credit Facility, which provides for secured revolving loans in an aggregate amount of up to $15.0 million, In August 2021, we amended our Revolving Credit Facility to extend the maturity date to August 2, 2023 and to provide for a new $10.0 million Term Loan Facility (the Term Loan Facility and, together with the Revolving</w:t>
      </w:r>
    </w:p>
    <w:p>
      <w:pPr>
        <w:spacing w:after="0" w:line="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Credit Facility, the Credit Facility). The Credit Facility is collateralized by substantially all our property, other than intellectual property. The maturity date of the Term Loan Facility is July 1, 2025, subject to the following condition: in the event the principal amount of our convertible debt exceeds $0.6 million as of June 1, 2024 or if the maturity date of our 2019 Notes has not been extended beyond January 1, 2026 by that date, then the maturity date of the Term Loan Facility will be June 1, 2024.</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37" w:name="page38"/>
    <w:bookmarkEnd w:id="37"/>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As of March 31, 2022, the balance outstanding on the Term Loan Facility was $10.1 million. Interest on the term loan accrues on the outstanding principal amount thereof at the greater of (i) a floating per annum rate equal to three quarters of one percentage point (0.75%) above the prime rate (as customarily defined), or 4% with a final payment equal to 6.5% of the aggregate original principal amounts of each term loan advance due on the earlier of</w:t>
      </w:r>
    </w:p>
    <w:p>
      <w:pPr>
        <w:spacing w:after="0" w:line="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maturity date of the Term Loan Facility, the acceleration of the term loan advances or any prepayment of a term loan advance. Interest is payable monthly. The principal amount of the term loan advances is repayable beginning on August 1, 2023, in twenty-four equal monthly installments of principal plus monthly payments of accrued interest. The Amendment also added a financial covenant to the Credit Facility, requiring us to maintain a minimum Adjusted Quick Ratio (as defined) of at least 1.25 to 1.00.</w:t>
      </w:r>
    </w:p>
    <w:p>
      <w:pPr>
        <w:spacing w:after="0" w:line="11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2022, total availability under the Revolving Credit Facility was $8.4 million. We currently have no outstanding debt under the Revolving Credit Facility, and we are in compliance with all the terms and conditions of the Revolving Credit Facility as of March 31, 2022. See Note 9 to our condensed consolidated financial statements for more information about the Revolving Credit Facility and Term Loan Facility.</w:t>
      </w:r>
    </w:p>
    <w:p>
      <w:pPr>
        <w:spacing w:after="0" w:line="9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On January 23, 2022, we entered into $25 million of Bridge Loans Agreements with Casdin and Viking. On April 4, 2022, we completed the Private Placement Issuance, receiving $225 million of funding in exchange for the issuance of 225,000 shares of Series B Preferred Stock. The Bridge Loans also automatically converted into 30,559 shares of Series B Preferred Stock on April 4, 2022.</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rights, preferences and privileges of the Series B Preferred Stock are set forth in the Series B-1 Certificate of Designations and Series B-2 Certificate of Designations. The Series B Preferred Stock ranks senior to our common stock with respect to dividend rights, redemption rights and rights on the distribution of assets on any voluntary or involuntary liquidation, dissolution or winding up of the affairs of the Company. The holders of Series B Preferred Stock will be entitled to participate in all dividends declared on our common stock on an as-converted basis, on the terms and subject to the conditions set forth in the Series B Certificates of Designations.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summary of the conversion rights and other key provisions of the Series B Preferred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 Voluntary Conversion Rights</w:t>
      </w:r>
    </w:p>
    <w:p>
      <w:pPr>
        <w:spacing w:after="0" w:line="160"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Series B Preferred Stock is convertible at the option of the holders thereof at any time into a number of shares of Common Stock equal to the Conversion Rate (as defined in the Series B Certificates of Designations), which is initially 294.1176 shares of common stock per share of Series B Preferred Stock, in each case subject to certain adjustments and limitations on conversion.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Call Provision</w:t>
      </w:r>
    </w:p>
    <w:p>
      <w:pPr>
        <w:spacing w:after="0" w:line="16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At any time after the fifth anniversary of the closing of the Private Placement Issuance, if the last reported sale price of the Common Stock is greater than 250% of the Conversion Price (as defined in the Series B Certificates of Designations) as of such time for at least 20 consecutive trading days immediately preceding the date of the notice of mandatory conversion, we may elect to convert all of the outstanding shares of Series B Preferred Stock into shares of common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Redemption Provision</w:t>
      </w:r>
    </w:p>
    <w:p>
      <w:pPr>
        <w:spacing w:after="0" w:line="14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After the seventh anniversary of the closing of the Private Placement Issuance, subject to certain conditions, we may, at our option, redeem all of the outstanding shares of Series B Preferred Stock at a redemption price per share of Series B Preferred Stock, payable in cash, equal to the Liquidation Preference.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Provisions</w:t>
      </w:r>
    </w:p>
    <w:p>
      <w:pPr>
        <w:spacing w:after="0" w:line="16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we undergo certain change of control transactions, each holder of outstanding shares of Series B Preferred Stock will have the option, subject to the holder’s right to convert all or a portion of the shares of Series B Preferred Stock held by such holder into Common Stock prior to such redemption, to require us to purchase all or a portion of such holder’s outstanding shares of Series B Preferred Stock that have not been converted into Common Stock at a purchase price per share of Series B Preferred Stock, payable in cash, equal to the greater of (A) the Liquidation Preference of such share of Series B Preferred Stock, and (B) the amount of cash and/or other assets that such holder would have been entitled to receive if such holder had converted such share of Series B Preferred Stock into Common Stock immediately prior to the change of control transaction (Change of Control Put).</w:t>
      </w:r>
    </w:p>
    <w:p>
      <w:pPr>
        <w:spacing w:after="0" w:line="10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the event of a change of control in which we are anticipated to merge with another person and will not be the surviving corporation or if the Common Stock will no longer be listed on a U.S. national securities exchange, we will have a right to redeem, subject to the holder’s right to convert into Common Stock prior to such redemption, all of such holder’s shares of Series B Preferred Stock, or if a holder exercises the Change of Control Put in part, the remainder of such holder’s shares of</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8" w:name="page39"/>
    <w:bookmarkEnd w:id="38"/>
    <w:p>
      <w:pPr>
        <w:ind w:right="200"/>
        <w:spacing w:after="0" w:line="266" w:lineRule="auto"/>
        <w:rPr>
          <w:sz w:val="20"/>
          <w:szCs w:val="20"/>
          <w:color w:val="auto"/>
        </w:rPr>
      </w:pPr>
      <w:r>
        <w:rPr>
          <w:rFonts w:ascii="Times New Roman" w:cs="Times New Roman" w:eastAsia="Times New Roman" w:hAnsi="Times New Roman"/>
          <w:sz w:val="18"/>
          <w:szCs w:val="18"/>
          <w:color w:val="auto"/>
        </w:rPr>
        <w:t>Series B Preferred Stock, at a redemption price per share payable in cash, equal to the greater of (A) the Liquidation Preference of such share of Series B Preferred Stock, and (B) the amount of cash and/or other assets that the holder would have received if such holder had converted such share of Series B Preferred Stock into Common Stock immediately prior to the change of control transaction.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6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affairs of the Company, the Series B Preferred Stock has a liquidation preference equal to the greater of (i) the Liquidation Preference (as defined in the Certificate of Designations, currently $3.40) and (ii) the amount per share of Series B Preferred Stock that such holder would have received had all holders of Series B Preferred Stock, immediately prior to such voluntary or involuntary liquidation, dissolution or winding up of the affairs of the Company, converted all shares of Series B Preferred Stock into Common Stock pursuant to the terms of the Series B Certificates of Designations (without regard to any limitations on conversion contained therein).</w:t>
      </w:r>
    </w:p>
    <w:p>
      <w:pPr>
        <w:spacing w:after="0" w:line="116"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believe our existing cash, cash equivalents, and investments, along with funding available from Private Placement Issuance and the Revolving Credit Facility, will be sufficient to meet our working capital and capital expenditure needs for at least the next 12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6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three months ended March 31, 2022, we had a foreign currency gain of $0.1 million compared to a foreign currency loss of $0.4 million in the prior year for the same period.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of $30.0 million as of March 31, 2022. These amounts were held primarily in cash on deposit with banks and money market funds which are short-term. We held no investments in treasury securities at March 31, 2022. Cash, cash equivalents and investments are held for working capital purposes. We believe that we do not have any material exposure to changes in the fair value of our money market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March 31, 2022. The term “disclosure controls and procedures,” as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spacing w:after="0" w:line="254" w:lineRule="auto"/>
        <w:rPr>
          <w:sz w:val="20"/>
          <w:szCs w:val="20"/>
          <w:color w:val="auto"/>
        </w:rPr>
      </w:pPr>
      <w:r>
        <w:rPr>
          <w:rFonts w:ascii="Times New Roman" w:cs="Times New Roman" w:eastAsia="Times New Roman" w:hAnsi="Times New Roman"/>
          <w:sz w:val="18"/>
          <w:szCs w:val="18"/>
          <w:color w:val="auto"/>
        </w:rPr>
        <w:t>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2022, our Chief Executive Officer and Chief Financial Officer concluded that, as of such date, our disclosure controls and procedures were effective at the reasonable assurance level.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2022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4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2020, a putative class action complaint alleging violations of the federal securities laws was filed against the Company (also naming our now-former Chief Executive Officer and our Chief Financial Officer as defendants) in the U.S. District Court for the Northern District of California (Reena Saintjermain, et al. v. Fluidigm Corporation, et al). The Court appointed a lead plaintiff and lead counsel in December 2020, and an amended complaint was filed on February 19, 2021. The complaint, as amended, seeks unspecified damages on behalf of a purported class of persons and entities who acquired our common stock between February 7, 2019 and November 5, 2019 and alleges securities laws violations based on statements and alleged omissions made by the Company during such period. The Company filed a motion to dismiss the complaint on April 5, 2021 and, on August 4, 2021, the Court granted defendants’ motion to dismiss with leave to amend. A second amended complaint was filed on September 14, 2021. The Company filed a motion to dismiss the second amended complaint on October 29, 2021 and, on February 14, 2022, the Court granted defendants’ motion and dismissed the second amended complaint with prejudice. On March 15, 2022, plaintiff filed a Notice of Appeal to the U.S. Court of Appeals for the Ninth Circuit. We believe the claims alleged in the complaint lack merit and we intend to defend this action vigorously.</w:t>
      </w:r>
    </w:p>
    <w:p>
      <w:pPr>
        <w:spacing w:after="0" w:line="1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0" w:lineRule="exact"/>
        <w:rPr>
          <w:sz w:val="20"/>
          <w:szCs w:val="20"/>
          <w:color w:val="auto"/>
        </w:rPr>
      </w:pPr>
    </w:p>
    <w:p>
      <w:pPr>
        <w:ind w:right="120"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quarterly report on Form 10-Q.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Strategy</w:t>
      </w:r>
    </w:p>
    <w:p>
      <w:pPr>
        <w:spacing w:after="0" w:line="14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significantly affected our business operations.</w:t>
      </w:r>
    </w:p>
    <w:p>
      <w:pPr>
        <w:spacing w:after="0" w:line="49" w:lineRule="exact"/>
        <w:rPr>
          <w:rFonts w:ascii="Times New Roman" w:cs="Times New Roman" w:eastAsia="Times New Roman" w:hAnsi="Times New Roman"/>
          <w:sz w:val="18"/>
          <w:szCs w:val="18"/>
          <w:color w:val="auto"/>
        </w:rPr>
      </w:pPr>
    </w:p>
    <w:p>
      <w:pPr>
        <w:ind w:left="660" w:right="16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and revenue growth rates have varied significantly from quarter-to-quarter and year-to-year, and may not be consistent with expectations.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inception, and we may continue to incur substantial losses for the foreseeable future.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life science markets are highly competitive and subject to rapid technological change.</w:t>
      </w:r>
    </w:p>
    <w:p>
      <w:pPr>
        <w:spacing w:after="0" w:line="49" w:lineRule="exact"/>
        <w:rPr>
          <w:rFonts w:ascii="Times New Roman" w:cs="Times New Roman" w:eastAsia="Times New Roman" w:hAnsi="Times New Roman"/>
          <w:sz w:val="18"/>
          <w:szCs w:val="18"/>
          <w:color w:val="auto"/>
        </w:rPr>
      </w:pPr>
    </w:p>
    <w:p>
      <w:pPr>
        <w:ind w:left="660" w:right="20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research and product development efforts do not result in commercially viable products within anticipated timelines, if at all, our business and results of operations will be adversely affected.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is dependent upon our ability to expand our customer base and introduce new applications.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fail to achieve and sustain sufficient market acceptance, our revenue will be adversely affected.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growth strategy involves the potential for significant acquisitions.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efficiency and cost-savings initiatives could be disruptive to our operations.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 company-wide enterprise resource planning (ERP) system could adversely affect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 and Reliance on Third Parties</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development or manufacturing problems or delays.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research and development spending levels of our customers.</w:t>
      </w:r>
    </w:p>
    <w:p>
      <w:pPr>
        <w:spacing w:after="0" w:line="36"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manufacturing facilities or other operations, or in the operations of our customers or business partners, could result in cancellation of orders, delays in deliveries or other business activities, or loss of customers.</w:t>
      </w:r>
    </w:p>
    <w:p>
      <w:pPr>
        <w:sectPr>
          <w:pgSz w:w="11900" w:h="16838" w:orient="portrait"/>
          <w:cols w:equalWidth="0" w:num="1">
            <w:col w:w="11220"/>
          </w:cols>
          <w:pgMar w:left="320" w:top="1049"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type w:val="continuous"/>
        </w:sectPr>
      </w:pPr>
    </w:p>
    <w:bookmarkStart w:id="41" w:name="page42"/>
    <w:bookmarkEnd w:id="41"/>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single and sole source suppliers for some of the components and materials used in our products.</w:t>
      </w:r>
    </w:p>
    <w:p>
      <w:pPr>
        <w:spacing w:after="0" w:line="49"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or delay in the shipping or off-loading of our products may have an adverse effect on our financial condition and results of operations.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depend upon the continuing efforts of our management team and other key employees.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 capabilities and direct sales, field support, and marketing forces must be sufficient to meet our customers’ needs.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our analytical systems, customers typically need to purchase specialized reagents.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cyberattacks, and other IT failures could adversely affect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Quality and the Regulatory Environment</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could have defects or errors.</w:t>
      </w:r>
    </w:p>
    <w:p>
      <w:pPr>
        <w:spacing w:after="0" w:line="4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FDA granted Emergency Use Authorization (EUA) for our Advanta Dx SARS-CoV-2 RT-PCR Assay in August 2020 and an update to our EUA for use of the AZOVA COVID-19 Test Collection Kit in February 2021, among other updates, these authorizations are only valid during the COVID-19 public health emergency.</w:t>
      </w:r>
    </w:p>
    <w:p>
      <w:pPr>
        <w:spacing w:after="0" w:line="2" w:lineRule="exact"/>
        <w:rPr>
          <w:rFonts w:ascii="Times New Roman" w:cs="Times New Roman" w:eastAsia="Times New Roman" w:hAnsi="Times New Roman"/>
          <w:sz w:val="18"/>
          <w:szCs w:val="18"/>
          <w:color w:val="auto"/>
        </w:rPr>
      </w:pPr>
    </w:p>
    <w:p>
      <w:pPr>
        <w:ind w:left="660" w:right="220" w:hanging="328"/>
        <w:spacing w:after="0" w:line="27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elect to label and promote any of our non-EUA products as medical devices, we would be required to obtain prior approval or clearance by the FDA or comparable foreign regulatory authority.</w:t>
      </w:r>
    </w:p>
    <w:p>
      <w:pPr>
        <w:spacing w:after="0" w:line="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or the failure to comply with current and future regulations affecting our products and business operations worldwide could cause us significant expense and adversely impact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 and Operating a Global Business</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substantial portion of our revenue internationally.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global economy may significantly harm our revenue, profitability, and results of operations.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fluctuations in the exchange rate of the U.S. dollar and foreign currencies.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Tax, and Accounting Risks</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are uncertain and we may need to raise additional funds in the future.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effective internal control over financial reporting could adversely affect our business.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value of our goodwill or other intangible assets.</w:t>
      </w:r>
    </w:p>
    <w:p>
      <w:pPr>
        <w:spacing w:after="0" w:line="4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covenants and other obligations under our debt facilities, the lenders may be able to accelerate amounts owed under the facilities and, in the case of our Credit Facility (as defined herein), may foreclose upon the assets securing our obligations.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taxation in multiple jurisdictions.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amount of outstanding indebtedness.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4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technology is uncertain.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and proprietary rights.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damages resulting from claims that we or our employees have wrongfully used or disclosed alleged trade secrets.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certain technologies that are licensed to us.</w:t>
      </w:r>
    </w:p>
    <w:p>
      <w:pPr>
        <w:spacing w:after="0" w:line="49" w:lineRule="exact"/>
        <w:rPr>
          <w:rFonts w:ascii="Times New Roman" w:cs="Times New Roman" w:eastAsia="Times New Roman" w:hAnsi="Times New Roman"/>
          <w:sz w:val="18"/>
          <w:szCs w:val="18"/>
          <w:color w:val="auto"/>
        </w:rPr>
      </w:pPr>
    </w:p>
    <w:p>
      <w:pPr>
        <w:ind w:left="660" w:right="360" w:hanging="328"/>
        <w:spacing w:after="0" w:line="27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manufacturing restrictions related to licensed technologies that were developed with the financial assistance of U.S. governmental grants.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obligations and restrictions relating to technologies developed in cooperation with Canadian government agencies.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4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 the public market could cause our stock price to fall.</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unfavorable research about us or cease to cover our business, our stock price and/or trading volume could decline.</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conversions of our 2014 Notes or 2019 Notes will dilute the ownership interest of our existing stockholders.</w:t>
      </w:r>
    </w:p>
    <w:p>
      <w:pPr>
        <w:sectPr>
          <w:pgSz w:w="11900" w:h="16838" w:orient="portrait"/>
          <w:cols w:equalWidth="0" w:num="1">
            <w:col w:w="11160"/>
          </w:cols>
          <w:pgMar w:left="320" w:top="105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53" w:right="41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162" w:lineRule="exact"/>
        <w:rPr>
          <w:sz w:val="20"/>
          <w:szCs w:val="20"/>
          <w:color w:val="auto"/>
        </w:rPr>
      </w:pPr>
    </w:p>
    <w:p>
      <w:pPr>
        <w:ind w:left="660" w:right="1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own a significant portion of our total outstanding voting securities and may prevent other stockholders from influencing material corporate decisions.</w:t>
      </w:r>
    </w:p>
    <w:p>
      <w:pPr>
        <w:ind w:left="660" w:right="320" w:hanging="328"/>
        <w:spacing w:after="0" w:line="27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Common Stock could decline if the holders of our Series B Preferred Stock sell their shares when transfer restrictions expire.</w:t>
      </w:r>
    </w:p>
    <w:p>
      <w:pPr>
        <w:spacing w:after="0" w:line="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Series B-1 Preferred Stock and Series B-2 Preferred Stock may exercise influence over us, including through their ability to each designate a member of our board of directors.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STRATEGY</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global COVID-19 pandemic has significantly affected our business operations and could continue to adversely impact our financial position and cash flows to an extent that is unknown and difficult to predict.</w:t>
      </w:r>
    </w:p>
    <w:p>
      <w:pPr>
        <w:spacing w:after="0" w:line="9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pandemic and international public health emergency caused by SARS-CoV-2, the novel strain of coronavirus that causes the disease commonly known as COVID-19, has adversely affected all the countries in which we and our customers, suppliers, and other business partners operate, disrupting supply chains, causing significant volatility in global financial markets, and raising the prospect of an extended global recession. Public health problems resulting from COVID-19 and precautionary measures instituted by governments and businesses to mitigate its spread and resurgence, including travel restrictions and quarantines, could continue to contribute to a general slowdown in the global economy, cause increasingly adverse impacts on our customers, suppliers, and other business partners, and further disrupt our operations. Changes in our operations as a result of the COVID-19 pandemic have resulted in inefficiencies and delays, including in sales and product development efforts, and additional costs related to business continuity initiatives that cannot be fully mitigated through succession planning, employees working remotely, or teleconferencing technologies.</w:t>
      </w:r>
    </w:p>
    <w:p>
      <w:pPr>
        <w:spacing w:after="0" w:line="124"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COVID-19 pandemic and related governmental and societal reactions have had, and may continue to have, a negative impact on our business, liquidity, results of operations, and stock price due to the occurrence of some or all of the following events or circumstances among others:</w:t>
      </w:r>
    </w:p>
    <w:p>
      <w:pPr>
        <w:spacing w:after="0" w:line="81" w:lineRule="exact"/>
        <w:rPr>
          <w:sz w:val="20"/>
          <w:szCs w:val="20"/>
          <w:color w:val="auto"/>
        </w:rPr>
      </w:pPr>
    </w:p>
    <w:p>
      <w:pPr>
        <w:ind w:left="660" w:right="5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some of our products and services due to the impact of COVID-19 on our customers, including in the global academic research community;</w:t>
      </w:r>
    </w:p>
    <w:p>
      <w:pPr>
        <w:spacing w:after="0" w:line="4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of ongoing travel restrictions and social distancing policies on our sales operations, marketing efforts, and customer field support;</w:t>
      </w:r>
    </w:p>
    <w:p>
      <w:pPr>
        <w:spacing w:after="0" w:line="40"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business productivity due to inefficiencies in employees working from home or increasing physical distancing and other pandemic response protocols in our production facilities;</w:t>
      </w:r>
    </w:p>
    <w:p>
      <w:pPr>
        <w:spacing w:after="0" w:line="26"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voluntary turnover, together with impaired ability to hire and effectively train new personnel due to labor shortages, travel restrictions, and physical distancing protocols;</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susceptibility to the risk of information technology security breaches and other disruptions due to increased volumes of remote access to our information systems from our employees working at home;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if one of our facilities were to experience a COVID-19 outbreak;</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the operations of our contract manufacturers, suppliers, and other business partners;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delays in the supply of components and materials used in our products;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volatility in our stock price due to financial market instability.</w:t>
      </w:r>
    </w:p>
    <w:p>
      <w:pPr>
        <w:spacing w:after="0" w:line="144"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In addition to its negative impact on some aspects of our business, the COVID-19 pandemic has been a source of opportunity for our diagnostics business, opening up external funding sources to support innovation and product development and resulting in increased revenues due to sales of our Advanta Dx SARS-CoV-2 RT-PCR test and related sales of our microfluidics instruments. However, as vaccines and alternative testing options for the coronavirus have become available and the perceived threat of the pandemic has receded, the demand for our COVID-19 testing products has slowed, resulting in a corresponding decline in related revenue.</w:t>
      </w:r>
    </w:p>
    <w:p>
      <w:pPr>
        <w:spacing w:after="0" w:line="116" w:lineRule="exact"/>
        <w:rPr>
          <w:sz w:val="20"/>
          <w:szCs w:val="20"/>
          <w:color w:val="auto"/>
        </w:rPr>
      </w:pPr>
    </w:p>
    <w:p>
      <w:pPr>
        <w:ind w:right="180" w:firstLine="324"/>
        <w:spacing w:after="0" w:line="277" w:lineRule="auto"/>
        <w:rPr>
          <w:sz w:val="20"/>
          <w:szCs w:val="20"/>
          <w:color w:val="auto"/>
        </w:rPr>
      </w:pPr>
      <w:r>
        <w:rPr>
          <w:rFonts w:ascii="Times New Roman" w:cs="Times New Roman" w:eastAsia="Times New Roman" w:hAnsi="Times New Roman"/>
          <w:sz w:val="17"/>
          <w:szCs w:val="17"/>
          <w:color w:val="auto"/>
        </w:rPr>
        <w:t>In 2021, factors such as supply chain constraints, China trade restrictions, and the ongoing slowdown in the Asia-Pacific region caused our overall revenues to decline more than expected. The extent to which the COVID-19 pandemic will continue to impact our business and financial results will depend on future developments, which are highly uncertain and cannot be predicted with confidence, such as the continued spread and resurgences of the coronavirus; the emergence of new strains of the disease, such as the Delta and Omicron variants; the availability, efficacy, and acceptance of COVID-19 vaccines; the scope and duration of the public health emergency; and COVID-19 mitigation measures such as travel bans and restrictions, social</w:t>
      </w:r>
    </w:p>
    <w:p>
      <w:pPr>
        <w:sectPr>
          <w:pgSz w:w="11900" w:h="16838" w:orient="portrait"/>
          <w:cols w:equalWidth="0" w:num="1">
            <w:col w:w="11220"/>
          </w:cols>
          <w:pgMar w:left="320" w:top="1265" w:right="3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type w:val="continuous"/>
        </w:sectPr>
      </w:pPr>
    </w:p>
    <w:bookmarkStart w:id="43" w:name="page44"/>
    <w:bookmarkEnd w:id="43"/>
    <w:p>
      <w:pPr>
        <w:ind w:right="320"/>
        <w:spacing w:after="0" w:line="266" w:lineRule="auto"/>
        <w:rPr>
          <w:sz w:val="20"/>
          <w:szCs w:val="20"/>
          <w:color w:val="auto"/>
        </w:rPr>
      </w:pPr>
      <w:r>
        <w:rPr>
          <w:rFonts w:ascii="Times New Roman" w:cs="Times New Roman" w:eastAsia="Times New Roman" w:hAnsi="Times New Roman"/>
          <w:sz w:val="18"/>
          <w:szCs w:val="18"/>
          <w:color w:val="auto"/>
        </w:rPr>
        <w:t>distancing, quarantines, and business shutdowns and closures. Additionally, in response to rising COVID-19 infections in 2022, China has imposed lockdowns in certain parts of the country, which have and continue to negatively impact manufacturing and/or supply chains, as well as demand for our products.</w:t>
      </w:r>
    </w:p>
    <w:p>
      <w:pPr>
        <w:spacing w:after="0" w:line="9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Because the severity, magnitude, and duration of the COVID-19 pandemic and its economic consequences are uncertain, we are unable to predict the impact of COVID-19 on our operations, our financial performance, and our ability to successfully execute our business strategies and initiatives. The ultimate impact of the COVID-19 pandemic on our operations and financial performance depends on many factors that are not within our control, including, but not limited, to: governmental, business, and individual actions that have been and continue to be taken in response to the pandemic (including restrictions on travel,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labor and materials shortages; supply chain difficulties, including disruption of logistics, shipping, and other distribution operations; and the pace of recovery when the threat of COVID-19 subsides.</w:t>
      </w:r>
    </w:p>
    <w:p>
      <w:pPr>
        <w:spacing w:after="0" w:line="12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the COVID-19 pandemic continues to affect our operating and financial results, it may also have the effect of heightening many of the other risks described in our other risk factors below. COVID-19 may also affect our operating and financial results in a manner that is not presently known to us or that we currently do not expect to present significant risks to our operations or financial results, particularly if the pandemic and its associated impacts reoccur in the coming months.</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financial results and revenue growth rates have varied significantly from quarter-to-quarter and year-to-year due to a number of factors, and a significant variance in our operating results or rates of growth from our financial guidance or market expectations, if any, could lead to substantial volatility in our stock price.</w:t>
      </w:r>
    </w:p>
    <w:p>
      <w:pPr>
        <w:spacing w:after="0" w:line="10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Although our revenue increased year-over-year in 2020 compared to 2019 and in 2019 compared to 2018, we experienced a year-over-year decline in revenue in 2021 compared to 2020, and we may be similarly unable to achieve revenue growth in future periods. Variability in our quarterly or annual results of operations, mix of product revenue, including any decline in our revenue related to the COVID-19 pandemic, or variability in rates of revenue growth, if any, may lead to volatility in our stock price as research analysts and investors respond to these fluctuations. These fluctuations are due to numerous factors that are difficult to forecast, including:</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budget cycles, capital spending, and the availability of VAT and import tax exemptions;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variations in customer operations;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tendencies among some customers to defer purchase decisions to the end of the quarter;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large unit value of our systems, particularly our proteomics systems;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and sales policies or the pricing and sales policies of our competitors;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manufacture, market, sell, and deliver products to our customers in a timely and cost-effective manner;</w:t>
      </w:r>
    </w:p>
    <w:p>
      <w:pPr>
        <w:spacing w:after="0" w:line="9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obtain adequate quantities of the materials or components used in our products, which in certain cases are purchased through sole and single source suppliers;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shortages, lack of skilled labor, increased turnover, and competitive job markets;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reductions in revenue from sales of legacy instruments that may have contributed significant revenue in prior periods;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or yield problems in our manufacturing operations;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enhancements by us and our competitors;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costs or expenses;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complex, variable and, at times, lengthy sales cycle;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and government protectionism;</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9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inflationary pressure, including as a result of supply shortages, could adversely impact our financial results. Our operating costs have increased, and may continue to increase, due to the recent growth in inflation.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11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losses since inception, and we may continue to incur substantial losses for the foreseeable future.</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incurred significant losses in each fiscal year since our inception, including net losses of $59.2 million, $53.0 million, and $64.8 million during the years 2021, 2020, and 2019, respectively. As of March 31, 2022, we had an accumulated deficit of $812.3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 Until we are able to generate additional revenue to support our level of operating expenses, we will continue to incur operating and net losses and negative cash flow from operations.</w:t>
      </w:r>
    </w:p>
    <w:p>
      <w:pPr>
        <w:spacing w:after="0" w:line="10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inflationary pressure, including as a result of supply shortages, could adversely impact our financial results. Our operating costs have increased, and may continue to increase, due to the recent growth in inflation.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11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9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life science markets are highly competitive and subject to rapid technological change, and we may not be able to successfully compete.</w:t>
      </w:r>
    </w:p>
    <w:p>
      <w:pPr>
        <w:spacing w:after="0" w:line="14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180"/>
        <w:spacing w:after="0" w:line="256" w:lineRule="auto"/>
        <w:rPr>
          <w:sz w:val="20"/>
          <w:szCs w:val="20"/>
          <w:color w:val="auto"/>
        </w:rPr>
      </w:pPr>
      <w:r>
        <w:rPr>
          <w:rFonts w:ascii="Times New Roman" w:cs="Times New Roman" w:eastAsia="Times New Roman" w:hAnsi="Times New Roman"/>
          <w:sz w:val="18"/>
          <w:szCs w:val="18"/>
          <w:color w:val="auto"/>
        </w:rPr>
        <w:t>consumables for gene expression analysis, single-cell targeted gene expression and protein expression analysis, SNP genotyping, quantitative polymerase chain reaction (qPCR), digital PCR, flow cytometry, tissue imaging, and additional applications using well established laboratory techniques, as well as newer technologies such as bead encoded arrays, microfluidics, next-generation DNA sequencing (NGS),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10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consider Agilent Technologies, Inc., Thermo Fisher Scientific Inc. (Thermo), Bio-Rad Laboratories, Inc., NanoString Technologies, Inc. (NanoString), and Agena Bioscience, Inc. to be our principal competitors in the microfluidics space. We believe that Cytek Biosciences, Inc. and Becton, Dickinson and Company are currently our principal competitors for our mass cytometry market share, and that IonPath Inc., Akoya Biosciences, Inc., NanoString, and 10x Genomics, Inc. are our principal competitors for our Imaging Mass Cytometry™ market share.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12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success is dependent upon our ability to expand our customer base and introduce new applications.</w:t>
      </w:r>
    </w:p>
    <w:p>
      <w:pPr>
        <w:spacing w:after="0" w:line="14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products fail to achieve and sustain sufficient market acceptance, our revenue will be adversely affected.</w:t>
      </w:r>
    </w:p>
    <w:p>
      <w:pPr>
        <w:spacing w:after="0" w:line="16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80"/>
        <w:spacing w:after="0" w:line="261" w:lineRule="auto"/>
        <w:rPr>
          <w:sz w:val="20"/>
          <w:szCs w:val="20"/>
          <w:color w:val="auto"/>
        </w:rPr>
      </w:pPr>
      <w:r>
        <w:rPr>
          <w:rFonts w:ascii="Times New Roman" w:cs="Times New Roman" w:eastAsia="Times New Roman" w:hAnsi="Times New Roman"/>
          <w:sz w:val="18"/>
          <w:szCs w:val="18"/>
          <w:color w:val="auto"/>
        </w:rPr>
        <w:t>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9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91"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NGS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Our efficiency and cost-savings initiatives could be disruptive to our operations and adversely affect our results of operations and financial condition.</w:t>
      </w:r>
    </w:p>
    <w:p>
      <w:pPr>
        <w:spacing w:after="0" w:line="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have implemented efficiency and cost-savings initiatives intended to stabilize our business operations. These efficiency initiatives have included targeted workforce reductions, optimizing our facilities, and reducing excess space. In 2020, in response to the uncertainty arising from the COVID-19 pandemic, we initiated a range of additional actions aimed at temporarily reducing our operating expenses and preserving liquidity, including implementing temporary enterprise-wide salary reductions of 20% for employees at or above the ‘director’ level and 10% for all others, temporarily reducing our board members’ cash retainers by 20%, and constraining hiring. Although we discontinued our hiring constraints and pandemic-related pay reductions in 2020, we regularly review other possible actions to preserve liquidity and optimize our organization. For example, we may need to decrease or defer capital expenditures and development activities or implement further operating expense reduction measures. The implementation of these and other efficiency and cost-savings initiatives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we seek to implement a company-wide enterprise resource planning (ERP) system, such implementation could adversely affect our business and results of operations or the effectiveness of internal control over financial reporting.</w:t>
      </w:r>
    </w:p>
    <w:p>
      <w:pPr>
        <w:spacing w:after="0" w:line="7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are considering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40"/>
        <w:spacing w:after="0" w:line="261" w:lineRule="auto"/>
        <w:rPr>
          <w:sz w:val="20"/>
          <w:szCs w:val="20"/>
          <w:color w:val="auto"/>
        </w:rPr>
      </w:pPr>
      <w:r>
        <w:rPr>
          <w:rFonts w:ascii="Times New Roman" w:cs="Times New Roman" w:eastAsia="Times New Roman" w:hAnsi="Times New Roman"/>
          <w:sz w:val="18"/>
          <w:szCs w:val="18"/>
          <w:color w:val="auto"/>
        </w:rPr>
        <w:t>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7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7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and managing the operations, technologies, and products of the companies we acquire;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 from normal daily operation of our business;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key business relationships and the reputations of the businesses we acquire;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key personnel of the acquired company;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entry into markets in which we have limited or no prior experience and in which competitors have stronger market positions;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unfamiliar affiliates and customers of the companies we acquire;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revenue to offset our increased expenses associated with acquisitions;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responsibility for the liabilities of the businesses we acquire, including those which we may not anticipate;</w:t>
      </w:r>
    </w:p>
    <w:p>
      <w:pPr>
        <w:spacing w:after="0" w:line="76"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not realize the value of acquired assets recorded as goodwill or intangible assets, and would be required to incur material charges relating to the impairment of those assets;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internal standards, controls, procedures, and policies.</w:t>
      </w:r>
    </w:p>
    <w:p>
      <w:pPr>
        <w:spacing w:after="0" w:line="144"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OPERATIONS AND RELIANCE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development or manufacturing problems or delays that could limit the potential growth of our revenue or increase our losses.</w:t>
      </w:r>
    </w:p>
    <w:p>
      <w:pPr>
        <w:spacing w:after="0" w:line="162" w:lineRule="exact"/>
        <w:rPr>
          <w:sz w:val="20"/>
          <w:szCs w:val="20"/>
          <w:color w:val="auto"/>
        </w:rPr>
      </w:pPr>
    </w:p>
    <w:p>
      <w:pPr>
        <w:jc w:val="both"/>
        <w:ind w:right="80" w:firstLine="324"/>
        <w:spacing w:after="0" w:line="272" w:lineRule="auto"/>
        <w:rPr>
          <w:sz w:val="20"/>
          <w:szCs w:val="20"/>
          <w:color w:val="auto"/>
        </w:rPr>
      </w:pPr>
      <w:r>
        <w:rPr>
          <w:rFonts w:ascii="Times New Roman" w:cs="Times New Roman" w:eastAsia="Times New Roman" w:hAnsi="Times New Roman"/>
          <w:sz w:val="17"/>
          <w:szCs w:val="17"/>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color w:val="auto"/>
        </w:rPr>
        <w:t>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9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0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Furthermore, developing an IFC for a new application may require developing a specific production process for that type of IFC. While all of our IFCs are produced using the same basic processes, significant variations may be required to ensure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ind w:right="260"/>
        <w:spacing w:after="0" w:line="282" w:lineRule="auto"/>
        <w:rPr>
          <w:sz w:val="20"/>
          <w:szCs w:val="20"/>
          <w:color w:val="auto"/>
        </w:rPr>
      </w:pPr>
      <w:r>
        <w:rPr>
          <w:rFonts w:ascii="Times New Roman" w:cs="Times New Roman" w:eastAsia="Times New Roman" w:hAnsi="Times New Roman"/>
          <w:sz w:val="18"/>
          <w:szCs w:val="18"/>
          <w:color w:val="auto"/>
        </w:rPr>
        <w:t>adequate yield of any particular type of IFC. Developing such a process can be time consuming, and any unexpected difficulty in doing so can delay the introduction of a product.</w:t>
      </w:r>
    </w:p>
    <w:p>
      <w:pPr>
        <w:spacing w:after="0" w:line="81"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research and development spending levels of our customers, a reduction in which could limit our ability to sell our products and adversely affect our business.</w:t>
      </w:r>
    </w:p>
    <w:p>
      <w:pPr>
        <w:spacing w:after="0" w:line="9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have been impacted by the COVID-19 pandemic and may additionally be impacted by other factors—have had and will continue to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tariffs and trade restrictions,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have fluctuated and may continue to fluctuate substantially due to reductions and delays in research and development expenditures by our customers. For example, reductions in operating expenditures by global academic research facilities because of the COVID-19 pandemic have resulted in lower than expected sales of our mass cytometry instruments. Additionally, the imposition of tariffs and delays in issuing VAT and import tax exemptions have adversely affected the sales of our products in China. Similar reductions and delays in customer spending have resulted and may continue to result from other factors that are not within our control, such as:</w:t>
      </w:r>
    </w:p>
    <w:p>
      <w:pPr>
        <w:spacing w:after="0" w:line="13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public health crises;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provide funding to research institutions and companies;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the political climate;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protectionism, the escalation of tariffs and other trade barriers;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tax permits and incentives, including VAT and import tax exemptions;</w:t>
      </w:r>
    </w:p>
    <w:p>
      <w:pPr>
        <w:spacing w:after="0" w:line="90"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affecting life science and plant and animal research companies engaged in research and commercial activities;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research priorities;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 cycles across various geographies and industries;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shortages among our customers;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on companies to consolidate operations and reduce costs;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in the life science and plant and animal research industries;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affecting research and development spending.</w:t>
      </w:r>
    </w:p>
    <w:p>
      <w:pPr>
        <w:spacing w:after="0" w:line="14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Any decrease in our customers’ budgets or expenditures or in the size, scope, or frequency of capital or operating expenditures, as well as any increase in local tariffs could materially and adversely affect our operations or financial condition.</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9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manufacture our microfluidics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w:t>
      </w:r>
    </w:p>
    <w:p>
      <w:pPr>
        <w:sectPr>
          <w:pgSz w:w="11900" w:h="16838" w:orient="portrait"/>
          <w:cols w:equalWidth="0" w:num="1">
            <w:col w:w="11220"/>
          </w:cols>
          <w:pgMar w:left="320" w:top="12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type w:val="continuous"/>
        </w:sectPr>
      </w:pPr>
    </w:p>
    <w:bookmarkStart w:id="49" w:name="page50"/>
    <w:bookmarkEnd w:id="49"/>
    <w:p>
      <w:pPr>
        <w:ind w:right="20"/>
        <w:spacing w:after="0" w:line="255" w:lineRule="auto"/>
        <w:rPr>
          <w:sz w:val="20"/>
          <w:szCs w:val="20"/>
          <w:color w:val="auto"/>
        </w:rPr>
      </w:pPr>
      <w:r>
        <w:rPr>
          <w:rFonts w:ascii="Times New Roman" w:cs="Times New Roman" w:eastAsia="Times New Roman" w:hAnsi="Times New Roman"/>
          <w:sz w:val="18"/>
          <w:szCs w:val="18"/>
          <w:color w:val="auto"/>
        </w:rPr>
        <w:t>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8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9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public health crises (including the ongoing COVID-19 pandemic),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12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limited number of third-party suppliers for some of the components and materials used in our products, and the loss of any of these suppliers, or delays or problems in the supply of components and materials could harm our business.</w:t>
      </w:r>
    </w:p>
    <w:p>
      <w:pPr>
        <w:spacing w:after="0" w:line="9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rely on a limited number of third-party suppliers for certain components and materials used in our products, including single and sole source suppliers. Additionally, several of our instruments are assembled at the facilities of contract manufacturers in Singapore. We do not have long-term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99" w:lineRule="exact"/>
        <w:rPr>
          <w:sz w:val="20"/>
          <w:szCs w:val="20"/>
          <w:color w:val="auto"/>
        </w:rPr>
      </w:pPr>
    </w:p>
    <w:p>
      <w:pPr>
        <w:ind w:left="660" w:right="30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4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 multiplier detector included in the Hyperion/CyTOF systems and certain metal isotopes used with the Hyperion/CyTOF systems are purchased from sole source suppliers.</w:t>
      </w:r>
    </w:p>
    <w:p>
      <w:pPr>
        <w:spacing w:after="0" w:line="1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raw materials for our Delta Gene and SNP Type assays and Access Array target-specific primers are available from a limited number of sources.</w:t>
      </w:r>
    </w:p>
    <w:p>
      <w:pPr>
        <w:spacing w:after="0" w:line="94"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reliance on single and sole source suppliers and assembly service providers also subjects us to other risks that could harm our business, including the following:</w:t>
      </w:r>
    </w:p>
    <w:p>
      <w:pPr>
        <w:spacing w:after="0" w:line="8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increased component or assembly costs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adequate supply or services in a timely manner or on commercially reasonable terms.</w:t>
      </w:r>
    </w:p>
    <w:p>
      <w:pPr>
        <w:spacing w:after="0" w:line="144"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global supply chain disruptions following the onset of the COVID-19 pandemic, we have experienced and are continuing to experience problems with some of our suppliers. In the third quarter of 2021, shortages of certain components caused a backlog and we were unable to fulfill all of the demand for our products during the quarter. We have in the past experienced supply issues, as well as quality control problems such as manufacturing errors, with some of our suppliers, and may again experience problems in the future. We may not be able to quickly establish additional or replacement suppliers, particularly for our single source components, or assembly service providers. Any continued or future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 which would harm our business. In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right="80"/>
        <w:spacing w:after="0" w:line="282" w:lineRule="auto"/>
        <w:rPr>
          <w:sz w:val="20"/>
          <w:szCs w:val="20"/>
          <w:color w:val="auto"/>
        </w:rPr>
      </w:pPr>
      <w:r>
        <w:rPr>
          <w:rFonts w:ascii="Times New Roman" w:cs="Times New Roman" w:eastAsia="Times New Roman" w:hAnsi="Times New Roman"/>
          <w:sz w:val="18"/>
          <w:szCs w:val="18"/>
          <w:color w:val="auto"/>
        </w:rPr>
        <w:t>response to rising COVID-19 infections, China has imposed lockdowns in certain parts of the country, which may negatively impact manufacturing and/or supply chains.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convert our orders in backlog into revenue.</w:t>
      </w:r>
    </w:p>
    <w:p>
      <w:pPr>
        <w:spacing w:after="0" w:line="16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Many events can cause an order to be delayed or not completed at all, some of which may be out of our control, including the potential impacts from the COVID-19 pandemic and our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Any disruption or delay in the shipping or off-loading of our products, whether domestically or internationally, may have an adverse effect on our financial condition and results of operations.</w:t>
      </w:r>
    </w:p>
    <w:p>
      <w:pPr>
        <w:spacing w:after="0" w:line="7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(including the ongoing COVID-19 pandemic),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7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10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success depends largely on the skills, experience, and performance of our management team and scientific and technical support personnel. The loss of the services of certain members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and staffing shortages could also negatively impact our ability to expand and scale functions that are needed to support the development of our products and the growth of our business. Our research and product development efforts could also be delayed or curtailed if we are unable to attract, train, and retain highly skilled employees, particularly, senior scientists and engineers. Competition for qualified senior management and key employees in our industry is intense. This competition has become exacerbated by the increase in employee resignations currently taking place throughout the United States as a result of the COVID-19 pandemic. The loss of qualified employees, or an inability to attract, retain, and motivate employees could prevent us from pursuing collaborations and materially and adversely affect our support of existing products, product development and introductions, business growth prospects, results of operations and financial condition. We have experienced increased turnover at all levels since the start of the COVID-19 pandemic and general labor shortages in various areas of our business, all of which could have a material adverse impact on our business. We may need to increase employee wages and benefits in order to attract and retain the personnel necessary to achieve our goals, and our business, operations, and financial results may suffer if we are unable to do so. We do not maintain significant key person life insurance with any of our employees and all our employees, including our management team, may terminate employment without notice and without cause or good reason.</w:t>
      </w:r>
    </w:p>
    <w:p>
      <w:pPr>
        <w:spacing w:after="0" w:line="13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Additionally, to expand our research and product development efforts, we need to retain and recruit scientists skilled in areas such as molecular and cellular biology, assay development, engineering physics,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expand our direct sales, field support, and marketing forces or distribution capabilities to adequately address our customers’ needs, our business will be adversely affected.</w:t>
      </w:r>
    </w:p>
    <w:p>
      <w:pPr>
        <w:spacing w:after="0" w:line="9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increase the scope of our marketing efforts and develop and substantially expand our direct sales force and field application specialist and service engineer teams.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w:t>
      </w:r>
    </w:p>
    <w:p>
      <w:pPr>
        <w:spacing w:after="0" w:line="1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past year, we have experienced significant changes and increased turnover in our sales and marketing organizations, and we face considerable challenges in recruiting and training qualified replacements. Our future success will depend largely on our ability to recruit, retain, and motivate the skilled sales and marketing force necessary to support our business activities, and any failure to maintain competitive levels of compensation will negatively impact our ability to so. 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12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use our products—our Biomark, EP1, CyTOF, and Hyperion systems in particular—customers typically need to purchase specialized reagents.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interruption in the availability of these reagents for use in our products could limit our ability to market our products.</w:t>
      </w:r>
    </w:p>
    <w:p>
      <w:pPr>
        <w:spacing w:after="0" w:line="13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Our products, our Biomark, EP1, CyTOF,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0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9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2" w:name="page53"/>
    <w:bookmarkEnd w:id="52"/>
    <w:p>
      <w:pPr>
        <w:spacing w:after="0" w:line="253" w:lineRule="auto"/>
        <w:rPr>
          <w:sz w:val="20"/>
          <w:szCs w:val="20"/>
          <w:color w:val="auto"/>
        </w:rPr>
      </w:pPr>
      <w:r>
        <w:rPr>
          <w:rFonts w:ascii="Times New Roman" w:cs="Times New Roman" w:eastAsia="Times New Roman" w:hAnsi="Times New Roman"/>
          <w:sz w:val="18"/>
          <w:szCs w:val="18"/>
          <w:color w:val="auto"/>
        </w:rPr>
        <w:t>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13" w:lineRule="exact"/>
        <w:rPr>
          <w:sz w:val="20"/>
          <w:szCs w:val="20"/>
          <w:color w:val="auto"/>
        </w:rPr>
      </w:pPr>
    </w:p>
    <w:p>
      <w:pPr>
        <w:jc w:val="both"/>
        <w:ind w:right="500" w:firstLine="324"/>
        <w:spacing w:after="0" w:line="257" w:lineRule="auto"/>
        <w:rPr>
          <w:sz w:val="20"/>
          <w:szCs w:val="20"/>
          <w:color w:val="auto"/>
        </w:rPr>
      </w:pPr>
      <w:r>
        <w:rPr>
          <w:rFonts w:ascii="Times New Roman" w:cs="Times New Roman" w:eastAsia="Times New Roman" w:hAnsi="Times New Roman"/>
          <w:sz w:val="18"/>
          <w:szCs w:val="18"/>
          <w:color w:val="auto"/>
        </w:rPr>
        <w:t>We have implemented security controls to protect our information technology infrastructure but, due to the ever-evolving nature of information security threats, we are not fully insulated from technology disruptions that could adversely impact us. For example, in early 2019, we experienced a ransomware attack that infiltrated and encrypted certain of our information technology systems, including systems containing critical business data.</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Immediately following the attack, actions were taken to recover the compromised systems and we were able to restore their operation without significant loss of business data within weeks. Based on the nature of the attack and its impact on our systems, we believe no confidential data was lost or disclosed. If, however, confidential data were determined to have been released in the course of any future event, it is possible that we could be the subject of actions by governmental authorities or claims from persons alleging they suffered damages from such a release. We believe our mitigation measures and expanded information security program have reduced, but cannot eliminate, the risk of a similar attack, and we anticipate additional work and expense in the future as we continuously improve our security processes and initiatives in response to ever-changing information security challenges.</w:t>
      </w:r>
    </w:p>
    <w:p>
      <w:pPr>
        <w:spacing w:after="0" w:line="122"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11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Due to the COVID-19 pandemic, we have an increased number of employees working remotely. As a result, we may have increased cyber security and data security risks, due to increased use of home wi-fi networks and virtual private networks, as well as increased disbursement of physical machines. While we have implemented security controls, updated our policies, and augmented our information security training program to reduce the risk of cyberattacks and security breaches, there is no guarantee that these measures will be adequate to safeguard all systems with the increased number of employees working remotely.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QUALITY AND THE REGULATORY ENVIRONMENT</w:t>
      </w:r>
    </w:p>
    <w:p>
      <w:pPr>
        <w:spacing w:after="0" w:line="22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9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0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products contain defects, we may experience:</w:t>
      </w:r>
    </w:p>
    <w:p>
      <w:pPr>
        <w:spacing w:after="0" w:line="15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or expansion of our product sales;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into our service department;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w:t>
      </w:r>
    </w:p>
    <w:p>
      <w:pPr>
        <w:spacing w:after="0" w:line="158" w:lineRule="exact"/>
        <w:rPr>
          <w:sz w:val="20"/>
          <w:szCs w:val="20"/>
          <w:color w:val="auto"/>
        </w:rPr>
      </w:pPr>
    </w:p>
    <w:p>
      <w:pPr>
        <w:ind w:right="520" w:firstLine="324"/>
        <w:spacing w:after="0" w:line="261" w:lineRule="auto"/>
        <w:rPr>
          <w:sz w:val="20"/>
          <w:szCs w:val="20"/>
          <w:color w:val="auto"/>
        </w:rPr>
      </w:pPr>
      <w:r>
        <w:rPr>
          <w:rFonts w:ascii="Times New Roman" w:cs="Times New Roman" w:eastAsia="Times New Roman" w:hAnsi="Times New Roman"/>
          <w:sz w:val="18"/>
          <w:szCs w:val="18"/>
          <w:color w:val="auto"/>
        </w:rPr>
        <w:t>In addition, certain of our products are marketed for use with products sold by third parties. For example, certain of our systems are marketed as compatible with major NGS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occurrence of any one or more of the foregoing could negatively affect our business, financial condition, and results of operations.</w:t>
      </w:r>
    </w:p>
    <w:p>
      <w:pPr>
        <w:spacing w:after="0" w:line="22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Although the FDA granted Emergency Use Authorization (EUA) for our Advanta Dx SARS-CoV-2 RT-PCR Assay in August 2020 (which was updated for use with the AZOVA COVID-19 Test Collection Kit in February 2021, among other updates) and our Advanta Dx COVID-19 EASE Assay in February 2022, these authorizations are only valid during the COVID-19 public health emergency, and when the federally declared public health emergency ends, we will be required to stop commercial distribution of our assay and the collection kit immediately in the United States unless we comply with FDA requirements, which may include obtaining FDA clearance or approval for our assay under a traditional regulatory pathway for in vitro diagnostics, which is lengthy and expensive.</w:t>
      </w:r>
    </w:p>
    <w:p>
      <w:pPr>
        <w:spacing w:after="0" w:line="11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section 564 of the Federal Food, Drug, and Cosmetic Act (FD&amp;C Act), the FDA has authority to allow certain unapproved medical products or unapproved uses of approved medical products to be used during a public health emergency under an EUA. In issuing an EUA, the FDA will consider the totality of scientific evidence available to the FDA regarding safety, efficacy and known and potential risks of such products and availability of alternatives to the emergency use products, among others. EUAs issued by the FDA will specify the scope of authorization and conditions of authorization, including limitations on distribution and conditions related to product advertising and promotion. Once granted, an EUA is effective until the declaration that circumstances exist justifying the authorization of the emergency use is terminated under Section 564(b)(2) of the FD&amp;C Act or the EUA is revoked under Section 564(g) of the FD&amp;C Act, after which the product must be cleared or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54" w:name="page55"/>
    <w:bookmarkEnd w:id="54"/>
    <w:p>
      <w:pPr>
        <w:ind w:right="120"/>
        <w:spacing w:after="0" w:line="282" w:lineRule="auto"/>
        <w:rPr>
          <w:sz w:val="20"/>
          <w:szCs w:val="20"/>
          <w:color w:val="auto"/>
        </w:rPr>
      </w:pPr>
      <w:r>
        <w:rPr>
          <w:rFonts w:ascii="Times New Roman" w:cs="Times New Roman" w:eastAsia="Times New Roman" w:hAnsi="Times New Roman"/>
          <w:sz w:val="18"/>
          <w:szCs w:val="18"/>
          <w:color w:val="auto"/>
        </w:rPr>
        <w:t>approved by the FDA under a traditional pathway as defined by the FDA and we must comply with the FDA quality system regulations in order to remain on the market or to continue commercialization of the product.</w:t>
      </w:r>
    </w:p>
    <w:p>
      <w:pPr>
        <w:spacing w:after="0" w:line="8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August 2020, the FDA granted EUA for our Advanta Dx SARS-CoV-2 RT-PCR Assay for qualitative detection of nucleic acid from SARS-CoV-2 in saliva specimens from individuals suspected by their healthcare providers of having COVID-19, with the use of the assay limited to CLIA high complexity laboratories. Four supplements have been submitted and authorized as follows: S001 for addition of the FDA Reference Panel Results, S002 for software updates and labeling changes, S003 for addition of alternative source of targets and labeling updates, and S004 for addition of AZOVA home collection kit. In February 2021, the FDA updated that EUA for our Advanta Dx SARS-CoV-2 RT-PCR Assay for use with the AZOVA COVID-19 Test Collection Kit, which is authorized for self-collection of saliva specimens at home. In February 2022, we were granted EUA for our the Advanta Dx COVID-19 EASE Assay, which is authorized for the qualitative detection of nucleic acid from SARS-CoV-2 in nasopharyngeal swab, oropharyngeal swab, mid-turbinate nasal swab, and anterior nasal swab specimens from individuals suspected of COVID-19 by their healthcare provider. As set forth in each EUA, we are required to comply with the conditions of authorization, including certain requirements pertaining to FDA notification, distribution, printed materials, advertising and promotion. If we, our distributors, or authorized laboratories do not comply with the EUA requirements, our business, financial condition and results of operations may be adversely impacted, and we may be subject to regulatory or enforcement actions, including recall of our products and the issuance of an untitled letter, a warning letter, penalties, or fines, among other adverse actions.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the FDA’s policies and guidance change unexpectedly and/or materially or if we misinterpret them, potential sales of Advanta Dx SARS-CoV-2 RT-PCR and the AZOVA COVID-19 Test Collection Kit could be adversely impacted. In addition, the FDA will revoke an EUA where it is determined that the underlying public health emergency no longer exists or warrants such authorization, or if new evidence becomes available that indicates the test does not meet the conditions of authorization or perform as provided in the EUA application. We cannot predict how long this EUA will remain effective. The termination or revocation of the EUA and changing policies and regulatory requirements could adversely impact our business, financial condition and results of operations. The demand for our product and our profitability may decline or be adversely impacted by the federal government’s implementation of a national COVID-19 testing strategy. Given the uncertain nature of the COVID-19 pandemic and future legislation and regulation in this space, we can provide no assurance with respect to our ability to achieve or sustain profitability on a quarterly or annual basis.</w:t>
      </w:r>
    </w:p>
    <w:p>
      <w:pPr>
        <w:spacing w:after="0" w:line="18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The healthcare industry is highly regulated and if we fail to comply with applicable healthcare laws and regulations, we could suffer fines and penalties or be required to make significant changes to our operations which could have a significant adverse effect on the results of our business operations.</w:t>
      </w:r>
    </w:p>
    <w:p>
      <w:pPr>
        <w:spacing w:after="0" w:line="10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compete in markets in which we or our customers must comply with federal, state, local and foreign regulations, such as healthcare fraud and abuse, data privacy and medical product laws and regulations. The healthcare industry is subject to extensive and frequently changing international and United States federal, state and local laws and regulations. In addition, federal and state enforcement agencies have substantial powers and remedies to pursue suspected violations under broad laws and regulations relating to healthcare fraud and abuse, interactions and financial arrangements with healthcare professionals or entities, data privacy and misconduct involving government programs or contracts. If we, our employees, collaborators or contractors fail to comply with applicable laws and regulations, we could suffer civil and criminal damages, fines and penalties, exclusion from participation in governmental healthcare programs, and the loss of various licenses and authorizations necessary to operate our business, as well as incur liabilities from third-party claims, all of which could have a significant adverse effect on our business.</w:t>
      </w:r>
    </w:p>
    <w:p>
      <w:pPr>
        <w:spacing w:after="0" w:line="18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Our contract with the National Institutes of Health (NIH) could expose us to unique risks and costs as an entity contracting with the federal government.</w:t>
      </w:r>
    </w:p>
    <w:p>
      <w:pPr>
        <w:spacing w:after="0" w:line="64" w:lineRule="exact"/>
        <w:rPr>
          <w:sz w:val="20"/>
          <w:szCs w:val="20"/>
          <w:color w:val="auto"/>
        </w:rPr>
      </w:pPr>
    </w:p>
    <w:p>
      <w:pPr>
        <w:ind w:right="100" w:firstLine="324"/>
        <w:spacing w:after="0" w:line="238" w:lineRule="auto"/>
        <w:rPr>
          <w:sz w:val="20"/>
          <w:szCs w:val="20"/>
          <w:color w:val="auto"/>
        </w:rPr>
      </w:pPr>
      <w:r>
        <w:rPr>
          <w:rFonts w:ascii="Times New Roman" w:cs="Times New Roman" w:eastAsia="Times New Roman" w:hAnsi="Times New Roman"/>
          <w:sz w:val="18"/>
          <w:szCs w:val="18"/>
          <w:color w:val="auto"/>
        </w:rPr>
        <w:t>The NIH launched the Rapid Acceleration of Diagnostics (RADx) program to expedite development, commercialization, and implementation of technologies for COVID-19 testing to help increase testing in the United States. In July 2020, we entered into a letter contract with the NIH for a project under the RADx program. The letter contract provided access to approximately $12.2 million of the total proposed funding for the project prior to execution of a further definitive contract for the project. In September 2020, we executed a definitive contract with the NIH as an amendment to the letter contract (collectively, the NIH Contract) to expand production capacity and throughput capabilities for COVID-19 testing with our microfluidics technology. Pursuant to the terms of the NIH Contract, the funding for the project was increased by approximately $22.0 million, for a total contract value of up to approximately $34.0 million. Release of funding under the NIH Contract is based on the achievement of milestones, including expansion of our manufacturing facilities, addition of production lines, and achieving full production capacity. As of December 31, 2021, all milestones have been achieved and accepted by NIH.</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must prioritize among many different opportunities, and we may expend our limited resources on programs that do not yield a successful or profitable product candidate and may forego other more profitable opportunities. Further, the Bayh-Dole Act applies to all NIH research and development funding granted to for-profit organizations, which requires the government to be provided a nonexclusive, nontransferable, irrevocable, paid-up license to practice or have practiced for or on behalf of the United States any subject invention throughout the world.</w:t>
      </w:r>
    </w:p>
    <w:p>
      <w:pPr>
        <w:spacing w:after="0" w:line="9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NIH Contract includes certain provisions from the Federal Acquisition Regulations, some of which are customary or legally required, that give the U.S. government substantial rights and remedies, many of which are not typically found in commercial contracts. For example, the NIH Contract contains provisions permitting unilateral termination or modification, in whole or in part, at the convenience of the U.S. government.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In addition, government contracts normally contain additional requirements that may increase our costs of doing business, reduce our profits, and expose us to liability for failure to comply with these terms and conditions. These requirements include, for example, mandatory internal control systems and policies, mandatory socioeconomic compliance requirements, including labor standards, non-discrimination and affirmative action programs and environmental compliance requirements and public disclosures of certain contract information, which may enable competitors to gain insights into our research program. If we fail to maintain compliance with these requirements, we may be subject to potential contract or False Claims Act liability and to termination of our NIH Contract.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examples of rights and remedies under the NIH Contract include provisions that allow NIH to:</w:t>
      </w:r>
    </w:p>
    <w:p>
      <w:pPr>
        <w:spacing w:after="0" w:line="15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NIH Contract, in whole or in part, for any reason or no reason;</w:t>
      </w:r>
    </w:p>
    <w:p>
      <w:pPr>
        <w:spacing w:after="0" w:line="76"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unilaterally reduce or modify the U.S. government’s obligations under the NIH Contract, without our consent, including by imposing price adjustments;</w:t>
      </w:r>
    </w:p>
    <w:p>
      <w:pPr>
        <w:spacing w:after="0" w:line="13"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including intellectual property rights, in or to (i) products, (ii) data, and (iii) facilities, in each case developed under the NIH Contract;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circumstances involving public health and safety, license inventions made under such agreements to third parties;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us from receiving new contracts pending resolution of alleged violations of procurement laws or regulations;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U.S. manufacturing requirements for products that embody inventions conceived or first reduced to practice under the NIH Contract;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debar us from doing future business with the government;</w:t>
      </w:r>
    </w:p>
    <w:p>
      <w:pPr>
        <w:spacing w:after="0" w:line="7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course of a development program in a manner that differs from the NIH Contract’s original terms or from our desired development plan, including decisions regarding our partners in the program;</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civil or criminal remedies under the False Claims Act and False Statements Act;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or prohibit the export of products.</w:t>
      </w:r>
    </w:p>
    <w:p>
      <w:pPr>
        <w:spacing w:after="0" w:line="14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Furthermore, we may be required to enter into agreements and subcontracts with third parties, including suppliers, consultants and other third-party contractors in order to satisfy our contractual obligations pursuant to our agreements with the U.S. government. Negotiating and entering into such arrangements can be time-consuming and we may not be able to reach agreement with such third parties. Any such agreement must also be compliant with the terms of the NIH Contract. Any delay or inability to enter into such arrangements or entering into such arrangements in a manner that is non-compliant with the terms of our contract, may result in violations of our contract.</w:t>
      </w:r>
    </w:p>
    <w:p>
      <w:pPr>
        <w:spacing w:after="0" w:line="11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U.S. government agencies routinely audit and investigate government contractors and recipients of federal grants and contracts, even after performance has been completed. These agencies review a contractor’s performance under its contracts, cost structure and compliance with applicable laws, regulations and standards. The audit may also include review of the adequacy of, and a contractor’s compliance with, its internal control systems and policies, including the contractor’s accounting, purchasing, property, estimating, compensation and management information systems. If an audit uncovers improper or illegal activities, we may be subject to civil and criminal penalties and administrative sanctions. In addition, we could suffer serious reputational harm if allegations of impropriety were made against us, which could cause our stock price to decrease.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To the extent we elect to label and promote any of our non-EUA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11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Except for the Advanta Dx SARS-CoV-2 RT-PCR Assay and the AZOVA COVID-19 Test Collection Kit authorized by the FDA under an EUA granted in August 2020 and updated in February 2021, among other updates, and our Advanta Dx COVID-19 EASE Assay authorized by the FDA under an EUA granted in February 2022, our other products are currently labeled, promoted and sold to academic research institutions, translational research and medicine centers, cancer centers, clinical research laboratories, contract research organizations, and biopharmaceutical, biotechnology, and plant and animal research companies as “research use only” (RUO), and are not designed, or intended to be used, for clinical diagnostic tests or as medical devices as currently marketed.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11"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We are currently registered with the FDA as a medical device manufacturer, with the reagents for the Advanta Dx SARS-CoV-2 RT-PCR Assay listed as our sole medical device product. As noted in the issued EUA for the Advanta Dx SARS-CoV-2 RT-PCR Assay (including the EUA update for use with the AZOVA COVID-19 Test Collection Kit, among other updates) and the issued EUA for the Advanta Dx COVID-19 EASE Assay, the FDA has waived certain quality system requirements under 21 CFR Part 820 for the duration of each EUA. We may in the future list some of our other products with the FDA pursuant to an FDA Class I listing for general purpose laboratory equipment if we pursue clinical applications for such equipment. While this regulatory classification is generally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If we do not comply with all the requirements of the EUA or the normal regulatory requirements for any of our medical device products, including additional regulatory requirements that would apply to the Advanta Dx SARS-CoV-2 RT-PCR Assay and the AZOVA COVID-19 Test Collection Kit after the expiration or termination of the EUA, we may be subject to regulatory or enforcement actions, including the issuance of an untitled letter, a warning letter, penalties, or fines, among other adverse actions, any of which may adversely impact our business, financial condition and results of operations. Compliance with additional or changing regulatory requirements can be time-consuming and costly.</w:t>
      </w:r>
    </w:p>
    <w:p>
      <w:pPr>
        <w:spacing w:after="0" w:line="13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2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11"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extent we decide to seek regulatory marketing authorization for certain of our products in countries outside of the United States, we or our partners, or collaborators, will need to obtain regulatory marketing authorization for our products for the intended use in the jurisdiction where such products will be marketed. Regulatory clearance or approval in one jurisdiction does not mean that we will be successful in obtaining regulatory marketing authorization in other jurisdictions where we conduct business. Sales of such products outside the United States will likely be subject to foreign regulatory requirements, which can vary greatly from country to country. As a result, the time required to obtain clearances or approvals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57" w:name="page58"/>
    <w:bookmarkEnd w:id="57"/>
    <w:p>
      <w:pPr>
        <w:ind w:right="80"/>
        <w:spacing w:after="0" w:line="256" w:lineRule="auto"/>
        <w:rPr>
          <w:sz w:val="20"/>
          <w:szCs w:val="20"/>
          <w:color w:val="auto"/>
        </w:rPr>
      </w:pPr>
      <w:r>
        <w:rPr>
          <w:rFonts w:ascii="Times New Roman" w:cs="Times New Roman" w:eastAsia="Times New Roman" w:hAnsi="Times New Roman"/>
          <w:sz w:val="18"/>
          <w:szCs w:val="18"/>
          <w:color w:val="auto"/>
        </w:rPr>
        <w:t>outside the United States may differ from that required to obtain FDA clearance or approval and we may not be able to obtain foreign regulatory approvals on a timely basis or at all. In Europe, we need to comply with the In Vitro Diagnostic Directive 98/79/EC and transition to the In Vitro Diagnostic Regulation 2017/746, which became effective May 26, 2017, with an application date of May 26, 2022.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06" w:lineRule="exact"/>
        <w:rPr>
          <w:sz w:val="20"/>
          <w:szCs w:val="20"/>
          <w:color w:val="auto"/>
        </w:rPr>
      </w:pPr>
    </w:p>
    <w:p>
      <w:pPr>
        <w:ind w:right="120" w:firstLine="324"/>
        <w:spacing w:after="0" w:line="290" w:lineRule="auto"/>
        <w:rPr>
          <w:sz w:val="20"/>
          <w:szCs w:val="20"/>
          <w:color w:val="auto"/>
        </w:rPr>
      </w:pPr>
      <w:r>
        <w:rPr>
          <w:rFonts w:ascii="Times New Roman" w:cs="Times New Roman" w:eastAsia="Times New Roman" w:hAnsi="Times New Roman"/>
          <w:sz w:val="17"/>
          <w:szCs w:val="17"/>
          <w:color w:val="auto"/>
        </w:rPr>
        <w:t>In February 2021, we announced a supply and distribution agreement to market our CyTOF technology, panels, and reagents to clinical labs in China. As part of the agreement, we are working to seek National Medical Products Administration (NMPA) approval for our CyTOF instrument for diagnostic</w:t>
      </w:r>
    </w:p>
    <w:p>
      <w:pPr>
        <w:ind w:right="340"/>
        <w:spacing w:after="0" w:line="297" w:lineRule="auto"/>
        <w:rPr>
          <w:sz w:val="20"/>
          <w:szCs w:val="20"/>
          <w:color w:val="auto"/>
        </w:rPr>
      </w:pPr>
      <w:r>
        <w:rPr>
          <w:rFonts w:ascii="Times New Roman" w:cs="Times New Roman" w:eastAsia="Times New Roman" w:hAnsi="Times New Roman"/>
          <w:sz w:val="18"/>
          <w:szCs w:val="18"/>
          <w:color w:val="auto"/>
        </w:rPr>
        <w:t>use in China. As we increase our operations outside of the United States, our compliance and operational costs will increase, and we will be exposed to greater liability under additional laws and regulations.</w:t>
      </w:r>
    </w:p>
    <w:p>
      <w:pPr>
        <w:spacing w:after="0" w:line="14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products could become subject to regulation as medical devices by the FDA or other regulatory agencies even if we do not elect to seek regulatory clearance or approval to market our products for diagnostic purposes, which would adversely impact our ability to market and sell our products and harm our business.</w:t>
      </w:r>
    </w:p>
    <w:p>
      <w:pPr>
        <w:spacing w:after="0" w:line="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products that are currently labeled, promoted and intended as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manufacturers develop more complex genetic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0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August 2020, as part of the U.S. government’s efforts to combat COVID-19 and consistent with the direction in Executive Orders 13771 and 13924, the Department of Health and Human Services (HHS) announced rescission of guidances and other informal issuances of the FDA regarding premarket review of LDTs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However, laboratories opting to use LDTs without FDA premarket review or authorization would not be eligible for liability protection under the Public Readiness and Emergency Preparedness Act, or the PREP Act. In November 2021, HHS under the Biden administration issued a statement that withdrew the August 2020 policy announcement, stating that HHS does not have a policy on LDTs that is separate from FDA’s longstanding approach. The FDA also issued a revised version of its COVID-19 test policy that states the FDA expects newly offered COVID-19 tests, including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right="20"/>
        <w:spacing w:after="0" w:line="256" w:lineRule="auto"/>
        <w:rPr>
          <w:sz w:val="20"/>
          <w:szCs w:val="20"/>
          <w:color w:val="auto"/>
        </w:rPr>
      </w:pPr>
      <w:r>
        <w:rPr>
          <w:rFonts w:ascii="Times New Roman" w:cs="Times New Roman" w:eastAsia="Times New Roman" w:hAnsi="Times New Roman"/>
          <w:sz w:val="18"/>
          <w:szCs w:val="18"/>
          <w:color w:val="auto"/>
        </w:rPr>
        <w:t>LDTs, to have an EUA, or traditional marketing authorization such as a granted De Novo or cleared 510(k), prior to clinical use. Further, in June 2021, Congress introduced an updated legislation called the Verifying Accurate, Leading-edge IVCT Development Act (VALID Act), which, if enacted, will establish a new risk-based regulatory framework for in vitro clinical tests (IVCTs), which include IVDs, LDTs, collection devices, and instruments used with such tests, and a technology certification program, among other proposals. The adoption of new restrictions on IVDs, LDTs, or RUOs, whether by the FDA or Congress, could adversely affect our ability to commercialize our products and the demand for our specialized reagents and instruments. Further, we could be required to obtain premarket clearance or approval from the FDA before we can sell our products to certain customers.</w:t>
      </w:r>
    </w:p>
    <w:p>
      <w:pPr>
        <w:spacing w:after="0" w:line="106"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1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Registration, Evaluation, Authorization and Restriction of Chemicals (REACH) regulation (EC) No. 1907/206 is the European Union’s regulation on chemicals and their safe use. The list of chemicals has been updated and some of the updates affect chemicals used in our products. We will request a research exception, but if not granted, we will need to reduce the concentration of some of the chemicals in our products, which will require significant research and development and operations efforts.</w:t>
      </w:r>
    </w:p>
    <w:p>
      <w:pPr>
        <w:spacing w:after="0" w:line="9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 AND OPERATING A GLOBAL BUSINESS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9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years 2021, 2020, and 2019, approximately 56%, 54%, and 63%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9" w:name="page60"/>
    <w:bookmarkEnd w:id="59"/>
    <w:p>
      <w:pPr>
        <w:ind w:left="660" w:right="4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 that are or may be applicable to our business in the future, such as the European Union’s General Data Protection Regulation, the California Consumer Privacy Act, and other data privacy requirements, labor and employment regulations, anticompetition regulations, the U.K. Bribery Act of 2010 and other anticorruption laws, and the RoHS and WEEE directives and REACH regulation, which regulate the use and importation of certain hazardous substances in, and require the collection, reuse, and recycling of waste from, products we manufacture;</w:t>
      </w:r>
    </w:p>
    <w:p>
      <w:pPr>
        <w:spacing w:after="0" w:line="7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Assets Control;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requirements and import or trade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9" w:lineRule="auto"/>
        <w:tabs>
          <w:tab w:leader="none" w:pos="6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 or the Russian invasion of Ukraine;</w:t>
      </w:r>
    </w:p>
    <w:p>
      <w:pPr>
        <w:spacing w:after="0" w:line="49" w:lineRule="exact"/>
        <w:rPr>
          <w:rFonts w:ascii="Times New Roman" w:cs="Times New Roman" w:eastAsia="Times New Roman" w:hAnsi="Times New Roman"/>
          <w:sz w:val="17"/>
          <w:szCs w:val="17"/>
          <w:color w:val="auto"/>
        </w:rPr>
      </w:pPr>
    </w:p>
    <w:p>
      <w:pPr>
        <w:ind w:left="660" w:right="7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and travel restrictions resulting from global sociopolitical events, including war and terrorism, public health crises (including the ongoing COVID-19 pandemic), and natural disasters including earthquakes, typhoons, floods and fires;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or procuring intellectual property rights.</w:t>
      </w:r>
    </w:p>
    <w:p>
      <w:pPr>
        <w:spacing w:after="0" w:line="15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Since the beginning of the COVID-19 pandemic, travel restrictions have caused significant slowdowns in China, Japan, and other parts of the Asia-Pacific region. These slowdowns, in addition to shipment delays in China due to delays in obtaining VAT and import tax exemptions for our products, have caused our financial results to suffer. If these situations continue, or if other risks occur, we could be forced to dedicate significant resources to their resolution, and if we are unsuccessful in finding a solution, our financial condition and results will suffer.</w:t>
      </w:r>
    </w:p>
    <w:p>
      <w:pPr>
        <w:spacing w:after="0" w:line="11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political instability, civil unrest, the deterioration of the political situation in a country in which we have significant sales or operations, or the breakdown of trade relations between the United States and a foreign country in which we have significant operations, could adversely affect our business, financial condition, and results of operations. For example, a change in trade status between the United States and a foreign country could result in a substantial increase in the import duty of products manufactured in that foreign country and imported into the United States. The United States has commenced certain trade actions, including imposing increased tariffs on certain goods imported into the United States from China, which has resulted in retaliatory tariffs by China. In addition, the United States has commenced certain trade actions as a result of the Russian invasion of Ukraine, which are widely expected to result in retaliatory measures or actions, including tariffs, by Russia. Any increased trade barriers or restrictions on global trade imposed by the United States, or further retaliatory trade measures taken by China, Russia, or other countries in response, could adversely affect our business, financial condition, and results of operations.</w:t>
      </w:r>
    </w:p>
    <w:p>
      <w:pPr>
        <w:spacing w:after="0" w:line="1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a variety of new U.S. and foreign export controls and economic sanctions regulations that were issued in response to Russia’s invasion of Ukraine; our failure to comply with these laws and regulations could harm our business.</w:t>
      </w:r>
    </w:p>
    <w:p>
      <w:pPr>
        <w:spacing w:after="0" w:line="7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Due to recent regulations, U.S. companies can no longer provide or receive services or conduct any business with, including selling, shipping, or otherwise transferring any U.S.-controlled products to, the Donetsk People’s Republic (DNR) and Luhansk People’s Republic (LNR) regions of Ukraine. Additionally, existing U.S. sanctions continue to extend these prohibitions to the Crimea region of Ukraine. Our business is also subject to the expansion of previously existing sanctions imposed by the Treasury Department’s Office of Foreign Assets Controls that now cover a significant number of individuals and entities located in Russia, Belarus, and surrounding regions as well as new U.S. export controls imposed by the U.S. Department of Commerce’s Export Administration Regulations on exports to Russia. These laws and regulations cover U.S. persons as well as U.S.-controlled products, software, and technologies wherever located. Failure to comply with U.S. and foreign export control and economic sanctions laws and regulations can result in criminal sanctions, civil fines, debarment from government contracting, the loss of export privileges, and, in some cases, imprisonment.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0" w:name="page61"/>
    <w:bookmarkEnd w:id="60"/>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currently implementing new measures to reduce our exposure to this liability. The implementation of these measures may require us to expend substantial resources or to discontinue certain products or services, which would negatively affect our business, financial condition, and operating results. In addition, the increased attention focused upon liability issues as a result of lawsuits, regulatory proceedings, and legislative proposals could damage our brand or otherwise impact the growth of our business. Finally, our ability to receive payment from these regions has been significantly impacted. Any costs incurred or loss of business that occurs as a result of compliance or other liabilities under these laws or regulations could harm our business and operating results.</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Adverse conditions in the global economy and disruption of financial markets may significantly harm our revenue, profitability, and results of operations.</w:t>
      </w:r>
    </w:p>
    <w:p>
      <w:pPr>
        <w:spacing w:after="0" w:line="64"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Adverse economic conditions in the U.S. and international markets, including the worldwide economic disruption related to the COVID-19 pandemic and related slowdowns in China, Japan, and elsewhere in the Asia-Pacific region, have negatively affected our revenues and operating results and may continue to do so. Even before the current public health crisis took hold, the global credit and financial markets had been experiencing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Geopolitical events including the COVID-19 pandemic, the Russian invasion of Ukraine, including any resulting adoption and expansion of trade restrictions by the United States, Russia, and/or China, and Brexit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fluctuations in the exchange rate of the U.S. dollar and foreign currencies.</w:t>
      </w:r>
    </w:p>
    <w:p>
      <w:pPr>
        <w:spacing w:after="0" w:line="16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TAX, AND ACCOUNTING RISKS</w:t>
      </w:r>
    </w:p>
    <w:p>
      <w:pPr>
        <w:spacing w:after="0" w:line="23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91"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We believe our existing cash, cash equivalents, and investments, along with funding available from the Private Placement Issuance and the Revolving Credit Facility, will be sufficient to meet our working capital and capital expenditure needs for at least the next 12 months. However, we have continued to experience losses and, if that trend continues, we may need to seek additional sources of financing. In addition, we may need to raise substantial additional capital for various purposes, including:</w:t>
      </w:r>
    </w:p>
    <w:p>
      <w:pPr>
        <w:spacing w:after="0" w:line="11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our operations;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commercialization of our products;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furthering our research and development;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other businesses or assets and licensing technologies.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ind w:left="34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w:t>
      </w:r>
    </w:p>
    <w:p>
      <w:pPr>
        <w:spacing w:after="0" w:line="14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any litigation including intellectual property, employment, contractual or other litigation;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clearances or approvals, if any;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additional sales, marketing, and distribution capabilities;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additional technical support capabilities;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cash demands (e.g., due to interest or principal payments or payouts under existing cash compensation plans);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sales and timing of related cash collections;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efficiency and cost-savings initiatives;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crises (including the COVID-19 pandemic);</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7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although we currently have no commitments or agreements relating to any of these types of transactions.</w:t>
      </w:r>
    </w:p>
    <w:p>
      <w:pPr>
        <w:spacing w:after="0" w:line="9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To the extent we draw on our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The ongoing COVID-19 pandemic has led to significant disruption and volatility in the global capital markets, increasing the cost of—and adversely impacting access to—capital. We entered into an Open Market Sale Agreement (Sale Agreement) with Jefferies LLC (Jefferies) to sell shares of our common stock having aggregate sales proceeds of up to $50 million, from time to time, through an at-the-market (ATM) equity offering program under which Jefferies acts as sales agent. During the third quarter of 2020, we sold approximately 2.5 million shares of our common stock pursuant to the Sale Agreement, for aggregate gross proceeds of $20.9 million. Our net proceeds were approximately $20.1 million, after deducting related expenses, including commissions of approximately $0.6 million and issuance costs of approximately $0.2 million. If we raise additional funds by issuing equity securities, either under the ATM program or otherwise, our stockholders will experience dilution. Debt financing in addition to the Credit Facility, if available, may involve covenants restricting our operations or our ability to incur additional debt. Any additional debt or equity financing that we raise may contain terms that are not favorable to us or our stockholders, and our ability to raise additional capital may be adversely impacted by the impact of the COVID-19 pandemic on the economy.</w:t>
      </w:r>
    </w:p>
    <w:p>
      <w:pPr>
        <w:spacing w:after="0" w:line="12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78"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1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ind w:right="340"/>
        <w:spacing w:after="0" w:line="282" w:lineRule="auto"/>
        <w:rPr>
          <w:sz w:val="20"/>
          <w:szCs w:val="20"/>
          <w:color w:val="auto"/>
        </w:rPr>
      </w:pPr>
      <w:r>
        <w:rPr>
          <w:rFonts w:ascii="Times New Roman" w:cs="Times New Roman" w:eastAsia="Times New Roman" w:hAnsi="Times New Roman"/>
          <w:sz w:val="18"/>
          <w:szCs w:val="18"/>
          <w:color w:val="auto"/>
        </w:rPr>
        <w:t>the market price of our stock could decline and we could be subject to sanctions or investigations by The Nasdaq Stock Market LLC, the SEC, or other regulatory authorities, which would require additional financial and management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realize the value of our goodwill or other intangible assets, which would be reflected in an impairment charge.</w:t>
      </w:r>
    </w:p>
    <w:p>
      <w:pPr>
        <w:spacing w:after="0" w:line="148"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business acquisitions typically result in goodwill and other intangible assets, which affect the amount of future period amortization expense and possible impairment expense. We make estimates and assumptions in valuing such intangible assets that affect our condensed consolidated financial statements. As of March 31, 2022, we had approximately $132.3 million of goodwill and net intangible assets, including approximately $106.3 million of goodwill and $26.0 million of net intangible assets. These assets represent a significant portion of the assets recorded on our condensed consolidated balance sheet and relate primarily to our acquisition of DVS Sciences, Inc. (DVS) in February 2014 and InstruNor in 2020. In addition, if in the future we acquire additional businesses, technologies, or other intangible assets, a substantial portion of the value of such assets may be recorded as goodwill or intangible assets.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assess the realizability of goodwill and indefinite-lived intangible assets annually as well as whenever events or changes in circumstances indicate that these assets may be impaired. We assess the realizability of definite-lived intangible assets whenever events or changes in circumstances indicate that these assets may be impaired. These events or circumstances would generally include operating losses or a significant decline in earnings associated with the acquired business or asset. Our ability to realize the value of the goodwill and intangible assets will depend on the future cash flows of these businesses. These cash flows in turn depend in part on how well we have integrated these businesses. If we are not able to realize the value of the goodwill and intangible assets, we may be required to incur material charges relating to the impairment of those assets.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the covenants and other obligations under our Credit Facility, the lenders may be able to accelerate amounts owed under the facilities and may foreclose upon the assets securing our obligations.</w:t>
      </w:r>
    </w:p>
    <w:p>
      <w:pPr>
        <w:spacing w:after="0" w:line="9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August 2021, we amended our Revolving Credit Facility, which provides for secured revolving loans in an aggregate amount of up to $15.0 million, to extend the maturity date to August 2, 2023 and to provide for a new $10.0 million term loan facility (the Term Loan Facility and, together with the Revolving Credit Facility, the Credit Facility). The Credit Facility is secured by substantially all of our assets, other than intellectual property. The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Additionally, we are required to maintain a minimum Adjusted Quick Ratio (as defined in the amendment) of at least 1.25 to 1.00. If we fail to comply with the covenants and our other obligations under the Credit Facility, the lenders would be able to accelerate the required repayment of amounts due under the Credit Facility and, if they are not repaid, could foreclose upon the assets securing our obligations under the Credit Facility.</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use net operating loss carryforwards to offset future taxable income for U.S. federal income tax purposes and other tax benefits may be limited.</w:t>
      </w:r>
    </w:p>
    <w:p>
      <w:pPr>
        <w:spacing w:after="0" w:line="78"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97" w:lineRule="exact"/>
        <w:rPr>
          <w:sz w:val="20"/>
          <w:szCs w:val="20"/>
          <w:color w:val="auto"/>
        </w:rPr>
      </w:pPr>
    </w:p>
    <w:p>
      <w:pPr>
        <w:jc w:val="both"/>
        <w:ind w:right="80" w:firstLine="324"/>
        <w:spacing w:after="0" w:line="289" w:lineRule="auto"/>
        <w:rPr>
          <w:sz w:val="20"/>
          <w:szCs w:val="20"/>
          <w:color w:val="auto"/>
        </w:rPr>
      </w:pPr>
      <w:r>
        <w:rPr>
          <w:rFonts w:ascii="Times New Roman" w:cs="Times New Roman" w:eastAsia="Times New Roman" w:hAnsi="Times New Roman"/>
          <w:sz w:val="17"/>
          <w:szCs w:val="17"/>
          <w:color w:val="auto"/>
        </w:rPr>
        <w:t>Future changes in our stock ownership, some of which are outside our control, could result in an ownership change under Section 382 of the Code. If we experience an ownership change, our ability to use our NOLs or other tax benefits could be substantially limited, which could significantly impair their value. There is no assurance that we will be able to fully utilize our NOLs or other tax benefits, which could adversely impact our results of operations.</w:t>
      </w:r>
    </w:p>
    <w:p>
      <w:pPr>
        <w:spacing w:after="0" w:line="9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these tax benefits are a valuable asset for us and we monitor our stock ownership to determine whether our NOLs are at material risk of limitation based on an ownership change pursuant to Section 382. If our board of directors determines a potential risk exists that our NOLs could be limited, it could elect to adopt a tax benefit preservation plan in an effort to protect our tax benefits. Adoption of a tax benefit preservation plan could make it more difficult for a third party to acquire, or could discourage a third party from acquiring, us or a large block of our common stock.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3" w:name="page64"/>
    <w:bookmarkEnd w:id="63"/>
    <w:p>
      <w:pPr>
        <w:jc w:val="both"/>
        <w:spacing w:after="0" w:line="317" w:lineRule="auto"/>
        <w:rPr>
          <w:sz w:val="20"/>
          <w:szCs w:val="20"/>
          <w:color w:val="auto"/>
        </w:rPr>
      </w:pPr>
      <w:r>
        <w:rPr>
          <w:rFonts w:ascii="Times New Roman" w:cs="Times New Roman" w:eastAsia="Times New Roman" w:hAnsi="Times New Roman"/>
          <w:sz w:val="17"/>
          <w:szCs w:val="17"/>
          <w:b w:val="1"/>
          <w:bCs w:val="1"/>
          <w:color w:val="auto"/>
        </w:rPr>
        <w:t>We are subject to risks related to taxation in multiple jurisdictions and our effective income tax rate could be adversely affected and we could have additional tax liability if existing tax laws or regulations change or if taxing authorities disagree with our interpretations of tax laws or regulations.</w:t>
      </w:r>
    </w:p>
    <w:p>
      <w:pPr>
        <w:spacing w:after="0" w:line="6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accounting principles, or interpretations thereof, could have a significant impact on our financial position and results of operations.</w:t>
      </w:r>
    </w:p>
    <w:p>
      <w:pPr>
        <w:spacing w:after="0" w:line="148" w:lineRule="exact"/>
        <w:rPr>
          <w:sz w:val="20"/>
          <w:szCs w:val="20"/>
          <w:color w:val="auto"/>
        </w:rPr>
      </w:pPr>
    </w:p>
    <w:p>
      <w:pPr>
        <w:jc w:val="both"/>
        <w:ind w:right="240" w:firstLine="324"/>
        <w:spacing w:after="0" w:line="272"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accounting principles generally accepted in the United States of America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adoption of new or revised accounting principles may require that we make significant changes to our systems, processes and controls.</w:t>
      </w:r>
    </w:p>
    <w:p>
      <w:pPr>
        <w:spacing w:after="0" w:line="13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9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have significant outstanding convertible debt. As of March 31, 2022, we had outstanding $0.6 million aggregate principal amount of our 2.75% Senior Convertible Notes due 2034 (2014 Notes) and $55.0 million aggregate principal amount of our 5.25% convertible senior notes due 2024 (2019 Notes). The 2014 Notes will mature on February 1, 2034, unless earlier converted, redeemed, or repurchased in accordance with the terms of the 2014 Notes. Pursuant to the terms of the indenture governing the 2014 Notes (2014 Notes Indenture), holders of the 2014 Notes may require us to repurchase all or a portion of the 2014 Notes at a repurchase price in cash equal to 100% of the principal amount of such 2014 Notes plus accrued and unpaid interest thereon, on each of February 6, 2024 and February 6, 2029. The 2019 Notes will mature on December 1, 2024, unless earlier converted, or repurchased in accordance with the terms of the 2019 Notes.</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we undergo a fundamental change (as defined in the 2014 Notes Indenture or the indenture governing the 2019 Notes, as applicable (collectively, the Convertible Notes)), holders of the applicable series of Convertible Notes may require us to repurchase such Convertible Notes in whole or in part for cash at a repurchase price equal to 100% of the principal amount of the applicable series of Convertible Notes plus accrued and unpaid interest. If we refinance all or any portion of the Convertible Notes, we may issue additional convertible notes or other debt, which could include additional company obligations and represent more dilution to existing stockholders and noteholders.</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significant amount of debt has important risks to us and our investors, including:</w:t>
      </w:r>
    </w:p>
    <w:p>
      <w:pPr>
        <w:spacing w:after="0" w:line="15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portion of our cash flow from operations to make interest payments on this debt;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our business;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as needed or take advantage of business opportunities as they arise.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4" w:name="page65"/>
    <w:bookmarkEnd w:id="64"/>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protect our intellectual property and proprietary technology through patents and other means is uncertain.</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0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products and technologies or duplicate any of our products and technologies.</w:t>
      </w:r>
    </w:p>
    <w:p>
      <w:pPr>
        <w:spacing w:after="0" w:line="15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58"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spacing w:after="0" w:line="9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which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5" w:name="page66"/>
    <w:bookmarkEnd w:id="65"/>
    <w:p>
      <w:pPr>
        <w:ind w:right="20"/>
        <w:spacing w:after="0" w:line="256" w:lineRule="auto"/>
        <w:rPr>
          <w:sz w:val="20"/>
          <w:szCs w:val="20"/>
          <w:color w:val="auto"/>
        </w:rPr>
      </w:pPr>
      <w:r>
        <w:rPr>
          <w:rFonts w:ascii="Times New Roman" w:cs="Times New Roman" w:eastAsia="Times New Roman" w:hAnsi="Times New Roman"/>
          <w:sz w:val="18"/>
          <w:szCs w:val="18"/>
          <w:color w:val="auto"/>
        </w:rPr>
        <w:t>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0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which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damages resulting from claims that we or our employees have wrongfully used or disclosed alleged trade secrets of our employees’ former employers or other institutions or third parties with which such employees may have been previously affiliated.</w:t>
      </w:r>
    </w:p>
    <w:p>
      <w:pPr>
        <w:spacing w:after="0" w:line="9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which our employees may have been previously affiliated. Litigation may be necessary to defend against these claims. A resulting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such claims, litigation could result in substantial costs and be a distraction to management.</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9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(Fluidigm Canada), an Ontario corporation and wholly 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In-licensed intellectual property rights that are fundamental to our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0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spacing w:after="0" w:line="254" w:lineRule="auto"/>
        <w:rPr>
          <w:sz w:val="20"/>
          <w:szCs w:val="20"/>
          <w:color w:val="auto"/>
        </w:rPr>
      </w:pPr>
      <w:r>
        <w:rPr>
          <w:rFonts w:ascii="Times New Roman" w:cs="Times New Roman" w:eastAsia="Times New Roman" w:hAnsi="Times New Roman"/>
          <w:sz w:val="18"/>
          <w:szCs w:val="18"/>
          <w:color w:val="auto"/>
        </w:rPr>
        <w:t>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certain manufacturing restrictions related to licensed technologies that were developed with the financial assistance of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grants.</w:t>
      </w:r>
    </w:p>
    <w:p>
      <w:pPr>
        <w:spacing w:after="0" w:line="12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certain obligations and restrictions relating to technologies developed in cooperation with Canadian government agencies.</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20"/>
        <w:spacing w:after="0" w:line="261" w:lineRule="auto"/>
        <w:rPr>
          <w:sz w:val="20"/>
          <w:szCs w:val="20"/>
          <w:color w:val="auto"/>
        </w:rPr>
      </w:pPr>
      <w:r>
        <w:rPr>
          <w:rFonts w:ascii="Times New Roman" w:cs="Times New Roman" w:eastAsia="Times New Roman" w:hAnsi="Times New Roman"/>
          <w:sz w:val="18"/>
          <w:szCs w:val="18"/>
          <w:color w:val="auto"/>
        </w:rPr>
        <w:t>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is volatile.</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stock is currently traded on the Nasdaq Global Select Market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2021, we had 76,919,287 shares of common stock outstanding, and stockholders holding at least 5% of our stock, individually or with affiliated persons or entities, collectively beneficially owned or controlled approximately 51%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51% held by our top seven stockholders as of December 31, 2021) means that a relatively small number of stockholders have significant control over the outcomes of stockholder voting.</w:t>
      </w:r>
    </w:p>
    <w:p>
      <w:pPr>
        <w:spacing w:after="0" w:line="14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are beyond our control. These factors include:</w:t>
      </w:r>
    </w:p>
    <w:p>
      <w:pPr>
        <w:spacing w:after="0" w:line="9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the COVID-19 pandemic, on global financial markets;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quarterly variation in our results of operations or the results of our competitors;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performance consistent with our financial guidance and/or market expectations;</w:t>
      </w:r>
    </w:p>
    <w:p>
      <w:pPr>
        <w:spacing w:after="0" w:line="76"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 for our stock;</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life science, plant and animal research, and contract research organization sectors;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significant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disruptions that could occur if we are unable to successfully expand our production in our current or an alternative facility;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sales of our common stock or other securities in connection with raising additional capital or otherwise;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to the composition of our board of directors or management;</w:t>
      </w:r>
    </w:p>
    <w:p>
      <w:pPr>
        <w:spacing w:after="0" w:line="76"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 including deteriorating market conditions due to investor concerns regarding inflation and hostilities between Russia and Ukraine; and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158" w:lineRule="exact"/>
        <w:rPr>
          <w:sz w:val="20"/>
          <w:szCs w:val="20"/>
          <w:color w:val="auto"/>
        </w:rPr>
      </w:pPr>
    </w:p>
    <w:p>
      <w:pPr>
        <w:ind w:right="640" w:firstLine="324"/>
        <w:spacing w:after="0" w:line="266" w:lineRule="auto"/>
        <w:rPr>
          <w:sz w:val="20"/>
          <w:szCs w:val="20"/>
          <w:color w:val="auto"/>
        </w:rPr>
      </w:pPr>
      <w:r>
        <w:rPr>
          <w:rFonts w:ascii="Times New Roman" w:cs="Times New Roman" w:eastAsia="Times New Roman" w:hAnsi="Times New Roman"/>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w:t>
      </w:r>
    </w:p>
    <w:p>
      <w:pPr>
        <w:spacing w:after="0" w:line="10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 several recent situations where the market price of a stock has been volatile, holders of that stock have instituted securities class action litigation against the company that issued the stock. As discussed in the Legal Proceedings section of this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20"/>
        <w:spacing w:after="0" w:line="266" w:lineRule="auto"/>
        <w:rPr>
          <w:sz w:val="20"/>
          <w:szCs w:val="20"/>
          <w:color w:val="auto"/>
        </w:rPr>
      </w:pPr>
      <w:r>
        <w:rPr>
          <w:rFonts w:ascii="Times New Roman" w:cs="Times New Roman" w:eastAsia="Times New Roman" w:hAnsi="Times New Roman"/>
          <w:sz w:val="18"/>
          <w:szCs w:val="18"/>
          <w:color w:val="auto"/>
        </w:rPr>
        <w:t>quarterly report on Form 10-Q, a class action securities lawsuit against us is currently pending. While we are continuing to defend such action vigorously, the defense of this action and any additional actions can be costly, divert the time and attention of our management, and harm our operating results, and any judgment against us or any future stockholder litigation could result in substantial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sales of our common stock in the public market could cause our stock price to fall.</w:t>
      </w:r>
    </w:p>
    <w:p>
      <w:pPr>
        <w:spacing w:after="0" w:line="14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0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Any such future issuance, including any issuances pursuant to our ATM equity offering program under our Sale Agreement with Jefferies, could result in substantial dilution to our existing stockholders and could cause our stock price to decline.</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will have broad discretion over the use of the proceeds to us from our ATM equity offering program and may apply the proceeds to uses that do not improve our operating results or the value of your securities.</w:t>
      </w:r>
    </w:p>
    <w:p>
      <w:pPr>
        <w:spacing w:after="0" w:line="9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will have broad discretion to use the net proceeds to us from our ATM equity offering program, and investors will be relying solely on the judgment of our board of directors and management regarding the application of these proceeds. Investors will not have the opportunity, as part of their investment decision, to assess whether the proceeds are being used appropriately. Our use of the proceeds may not improve our operating results or increase the value of the securities offered pursuant to the ATM equity offering program.</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publish unfavorable research about us or cease to cover our business, our stock price and/or trading volume could decline.</w:t>
      </w:r>
    </w:p>
    <w:p>
      <w:pPr>
        <w:spacing w:after="0" w:line="7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07"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 including provisions that:</w:t>
      </w:r>
    </w:p>
    <w:p>
      <w:pPr>
        <w:spacing w:after="0" w:line="9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10,000,000 shares of undesignated preferred stock;</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76"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the board, the chief executive officer or the president;</w:t>
      </w:r>
    </w:p>
    <w:p>
      <w:pPr>
        <w:spacing w:after="0" w:line="2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three-year terms;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(DGCL), which limits the ability of stockholders owning in excess of 15% of our outstanding voting stock to merge or combine with us.</w:t>
      </w:r>
    </w:p>
    <w:p>
      <w:pPr>
        <w:spacing w:after="0" w:line="17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The forum selection provision in our bylaws could limit the ability of our stockholders to bring a claim in a judicial forum viewed by the stockholders as more favorable for disputes with us or our directors, officers or other employees.</w:t>
      </w:r>
    </w:p>
    <w:p>
      <w:pPr>
        <w:spacing w:after="0" w:line="7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1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certificate of incorporation or our bylaws;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5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or any other claim for which the U.S. federal courts have exclusive jurisdiction.</w:t>
      </w:r>
    </w:p>
    <w:p>
      <w:pPr>
        <w:spacing w:after="0" w:line="8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Our bylaws further provide that the federal district courts of the United States of America will be the exclusive forum for resolving any complaint asserting a cause of action arising under the Securities Act.</w:t>
      </w:r>
    </w:p>
    <w:p>
      <w:pPr>
        <w:spacing w:after="0" w:line="9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11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Any conversions of the 2014 Notes or 2019 Notes will dilute the ownership interest of our existing stockholders and may otherwise depress the price of our common stock.</w:t>
      </w:r>
    </w:p>
    <w:p>
      <w:pPr>
        <w:spacing w:after="0" w:line="7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Any conversion of some or all of the 2014 Notes or 2019 Notes will dilute the ownership interests of our existing stockholders. Any sales in the public market of our common stock issuable upon such conversion could also adversely affect prevailing market prices of our common stock. In addition, holders of the 2014 Notes or 2019 Notes may hedge their position in such Convertible Notes by entering into short positions with respect to the underlying common stock. As a result, any anticipated conversion of the 2014 Notes or 2019 Notes could depress the market price of our common stock and impair our ability to raise capital through the sale of additional equity securities.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jc w:val="both"/>
        <w:ind w:right="40"/>
        <w:spacing w:after="0" w:line="317" w:lineRule="auto"/>
        <w:rPr>
          <w:sz w:val="20"/>
          <w:szCs w:val="20"/>
          <w:color w:val="auto"/>
        </w:rPr>
      </w:pPr>
      <w:r>
        <w:rPr>
          <w:rFonts w:ascii="Times New Roman" w:cs="Times New Roman" w:eastAsia="Times New Roman" w:hAnsi="Times New Roman"/>
          <w:sz w:val="17"/>
          <w:szCs w:val="17"/>
          <w:b w:val="1"/>
          <w:bCs w:val="1"/>
          <w:color w:val="auto"/>
        </w:rPr>
        <w:t>As a result of the Private Placement Issuance, the Purchasers own a significant portion of our total outstanding voting securities and may prevent other stockholders from influencing material corporate decisions, and the Purchasers’ interests may conflict with those of our other stockholders.</w:t>
      </w:r>
    </w:p>
    <w:p>
      <w:pPr>
        <w:spacing w:after="0" w:line="6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Series B Preferred Stock is initially convertible into up to approximately 75,164,397 shares of our common stock (without giving effect to limitations associated with any conversion cap). On an as-converted basis, this collectively represents approximately 49.4% of our issued and outstanding common stock (equating to approximately 24.7% per Purchaser) based on the number of shares of common stock outstanding as of April 30, 2022, but assuming full conversion of all Series B Preferred Stock (without giving effect to limitations associated with any conversion cap). As a result, the Purchasers are our largest stockholders. This concentration of ownership, together with the voting rights, director designation rights and consent rights granted to the Purchasers as part of the Private Placement Issuance, may be perceived negatively by other investors and, as a</w:t>
      </w:r>
    </w:p>
    <w:p>
      <w:pPr>
        <w:sectPr>
          <w:pgSz w:w="11900" w:h="16838" w:orient="portrait"/>
          <w:cols w:equalWidth="0" w:num="1">
            <w:col w:w="11180"/>
          </w:cols>
          <w:pgMar w:left="320" w:top="120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type w:val="continuous"/>
        </w:sectPr>
      </w:pPr>
    </w:p>
    <w:bookmarkStart w:id="70" w:name="page71"/>
    <w:bookmarkEnd w:id="70"/>
    <w:p>
      <w:pPr>
        <w:spacing w:after="0" w:line="266" w:lineRule="auto"/>
        <w:rPr>
          <w:sz w:val="20"/>
          <w:szCs w:val="20"/>
          <w:color w:val="auto"/>
        </w:rPr>
      </w:pPr>
      <w:r>
        <w:rPr>
          <w:rFonts w:ascii="Times New Roman" w:cs="Times New Roman" w:eastAsia="Times New Roman" w:hAnsi="Times New Roman"/>
          <w:sz w:val="18"/>
          <w:szCs w:val="18"/>
          <w:color w:val="auto"/>
        </w:rPr>
        <w:t>result, may adversely affect the market price of our common stock. The Purchasers, if they acted together, could significantly influence all matters requiring approval by our stockholders, including the election of directors and the approval of mergers or other business combination transactions. The interests of the Purchasers may not always coincide with our interests or the interests of other stockholders.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 market value of our common stock could decline if the Purchasers sell their Series B Preferred Stock or common stock after certain transfer restrictions expire or if our current stockholders sell large amounts of common stock.</w:t>
      </w:r>
    </w:p>
    <w:p>
      <w:pPr>
        <w:spacing w:after="0" w:line="7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that we entered into on January 23, 2022 with the Purchasers, we agreed to certain customary registration rights with respect to shares issuable under the Bridge Loan Agreements and the Purchase Agreements, including (i) any shares of common stock acquired by any Purchaser pursuant to the conversion of the Series B Preferred Stock in accordance with the Series B Certificates of Designations, and (ii) any shares of common stock acquired by any Purchaser pursuant to preemptive rights under the Purchase Agreements, which means that such shares would become eligible for resale in the public markets following the expiration of any applicable transfer restrictions. Any sale of such shares, or the anticipation of the possibility of such sales, could create downward pressure on the market price of our common stock. Furthermore, our current stockholders may decide to reduce their investment in us due to the changes to our investment profile as a result of the Private Placement Issuance, and may sell large amounts of common stock. Such sales of our common stock could have the effect of depressing the market price of our common stock.</w:t>
      </w:r>
    </w:p>
    <w:p>
      <w:pPr>
        <w:spacing w:after="0" w:line="18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Our Series B Preferred Stock has rights, preferences and privileges that are not held by, and are preferential to, the rights of our common stockholders, which could adversely affect our liquidity and financial condition, result in the interests of holders of our Series B Preferred Stock differing from those of our common stockholders and make an acquisition of us more difficult.</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our Series B preferred stock have (i) a liquidation preference (ii) rights to dividends, which are senior to all of our other equity securities,</w:t>
      </w:r>
    </w:p>
    <w:p>
      <w:pPr>
        <w:spacing w:after="0" w:line="27" w:lineRule="exact"/>
        <w:rPr>
          <w:sz w:val="20"/>
          <w:szCs w:val="20"/>
          <w:color w:val="auto"/>
        </w:rPr>
      </w:pPr>
    </w:p>
    <w:p>
      <w:pPr>
        <w:ind w:firstLine="8"/>
        <w:spacing w:after="0" w:line="253" w:lineRule="auto"/>
        <w:tabs>
          <w:tab w:leader="none" w:pos="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require us to repurchase any or all of their Series B Preferred Stock in connection with certain change of control events, and (iv) conversion price adjustments upon the occurrence of certain events, each subject to the terms, conditions and exceptions contained in the Certificate of Designations for the Series B-1 and Series B-2 Preferred Stock. These dividend and other rights and obligations could impact our liquidity and reduce the amount of cash flows available for working capital, capital expenditures, growth opportunities, acquisitions, and other general corporate purposes.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terms of our Series B Preferred Stock could also limit our ability to obtain additional financing or increase our borrowing costs, which could have an adverse effect on our financial condition. The preferential rights could also result in divergent interests between the Purchasers and holders of our common stock. Furthermore, a sale of our Company, as a change of control event, may require us to repurchase Series B Preferred Stock, which could have the effect of making an acquisition of our Company more expensive and potentially deterring proposed transactions that may otherwise be beneficial to our stockholders.</w:t>
      </w:r>
    </w:p>
    <w:p>
      <w:pPr>
        <w:spacing w:after="0" w:line="1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 holders of Series B Preferred Stock are entitled to vote with the holders of common stock with voting power measured in a manner related to the conversion ratio of the shares of Series B Preferred Stock and the holders of Series B Preferred Stock have rights to approve certain actions. The holders of Series B Preferred Stock may exercise influence over us, including through the ability of each of the holders of the Series B-1 Preferred Stock and the holders of the Series B-2 Preferred Stock to designate a member of our board of directors.</w:t>
      </w:r>
    </w:p>
    <w:p>
      <w:pPr>
        <w:spacing w:after="0" w:line="9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holders of Series B Preferred Stock are generally entitled to vote with the holders of the shares of common stock on all matters submitted for a vote of holders of shares of common stock (voting together with the holders of shares of common stock as one class) with voting power measured in a manner related to the conversion ratio of the shares of Series B Preferred Stock, subject to certain voting limitations as described in the Series B Certificates of Designations. Additionally, the consent of the holders of at least 60% of the shares of Series B Preferred Stock is required for, among other things, (i) amendments to our Certificate of Incorporation or Bylaws that have an adverse effect on the rights, preferences, privileges or voting powers of the Series B Preferred Stock and (ii) issuances by us of securities that are senior to, or equal in priority with, the Series B Preferred Stock.</w:t>
      </w:r>
    </w:p>
    <w:p>
      <w:pPr>
        <w:spacing w:after="0" w:line="12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Additionally, pursuant to the Series B Certificates of Designations, the Purchasers each have the right to nominate and elect one member to our board of directors at each annual meeting of the stockholders of the Company or at any special meeting called for the purpose of electing directors, for so long as the Casdin Preferred Percentage or Viking Preferred Percentage, as applicable, is equal to or greater than 7.5%. The director designated by each of the Purchasers is entitled to serve on committees of our board of directors, subject to applicable law and Nasdaq rules. Notwithstanding the fact that all directors will be subject to fiduciary duties to us and to applicable law, the interests of the directors designated by the Purchasers may differ from the interests of our security holders as a whole or of our other directors.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firstLine="324"/>
        <w:spacing w:after="0" w:line="253" w:lineRule="auto"/>
        <w:rPr>
          <w:sz w:val="20"/>
          <w:szCs w:val="20"/>
          <w:color w:val="auto"/>
        </w:rPr>
      </w:pPr>
      <w:r>
        <w:rPr>
          <w:rFonts w:ascii="Times New Roman" w:cs="Times New Roman" w:eastAsia="Times New Roman" w:hAnsi="Times New Roman"/>
          <w:sz w:val="18"/>
          <w:szCs w:val="18"/>
          <w:color w:val="auto"/>
        </w:rPr>
        <w:t>These significant stockholders may be able to determine or significantly influence matters requiring stockholder approval. The interests of significant stockholders may not always coincide with our interests or the interests of other stockholders. The Series B-1 Director and the Series B-2 Director are not subject to the classified board of directors provisions of our Charter. The director designated by the holders of the Series B -1 Preferred Stock and Series B-2 Preferred Stock will also be entitled to serve on committees of our board of directors, subject to applicable law and stock exchange rules. In addition, the Series B Certificates of Designations also provide that for so long as the Casdin Ownership Percentage and the Viking Ownership Percentage (each as defined in the applicable Certificate of Designations) continue to be met or exceeded for such series of Series B Preferred Stock, the Series B-1 Director and Series B-2 Director will have certain consent rights over, among other things: (i) any increase in the number of directors on the Board beyond seven;</w:t>
      </w:r>
    </w:p>
    <w:p>
      <w:pPr>
        <w:spacing w:after="0" w:line="3" w:lineRule="exact"/>
        <w:rPr>
          <w:sz w:val="20"/>
          <w:szCs w:val="20"/>
          <w:color w:val="auto"/>
        </w:rPr>
      </w:pPr>
    </w:p>
    <w:p>
      <w:pPr>
        <w:ind w:right="120" w:firstLine="8"/>
        <w:spacing w:after="0" w:line="250" w:lineRule="auto"/>
        <w:tabs>
          <w:tab w:leader="none" w:pos="2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promotion, demotion, or termination of the Company’s Chief Executive Officer; (iii) entering into or modifying (including by waiver) any transaction, agreement or arrangement with any Related Person (as such term is defined in the Series B Certificates of Designations), subject to certain exceptions; (iv) any voluntary petition under any applicable federal or state bankruptcy or insolvency law effected by the Company; (v) any change in the principal business of the Company or entry by the Company into any material new line of business; and (vi) for a period of three years after the Closing,</w:t>
      </w:r>
    </w:p>
    <w:p>
      <w:pPr>
        <w:spacing w:after="0" w:line="1"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 of inventory or equipment in the ordinary course of business consistent with past practice, for consideration in excess of $50,000,000 in the aggregate in any six month period.</w:t>
      </w:r>
    </w:p>
    <w:p>
      <w:pPr>
        <w:spacing w:after="0" w:line="108" w:lineRule="exact"/>
        <w:rPr>
          <w:sz w:val="20"/>
          <w:szCs w:val="20"/>
          <w:color w:val="auto"/>
        </w:rPr>
      </w:pPr>
    </w:p>
    <w:p>
      <w:pPr>
        <w:jc w:val="both"/>
        <w:ind w:right="740" w:firstLine="324"/>
        <w:spacing w:after="0" w:line="266" w:lineRule="auto"/>
        <w:rPr>
          <w:sz w:val="20"/>
          <w:szCs w:val="20"/>
          <w:color w:val="auto"/>
        </w:rPr>
      </w:pPr>
      <w:r>
        <w:rPr>
          <w:rFonts w:ascii="Times New Roman" w:cs="Times New Roman" w:eastAsia="Times New Roman" w:hAnsi="Times New Roman"/>
          <w:sz w:val="18"/>
          <w:szCs w:val="18"/>
          <w:color w:val="auto"/>
        </w:rPr>
        <w:t>As a result, the holders of Series B Preferred Stock have the ability to influence the outcome of certain matters affecting our governance and capitalization. Our obligations to the holders of Series B Preferred Stock could also limit our ability to obtain additional financing or increase our borrowing costs, which could have an adverse effect on our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On April 1, 2022, at the Special Meeting, the stockholders of the Company approved the issuance of the Series B Preferred Stock pursuant to the Purchase Agreements and the Bridge Loan Agreements. Accordingly, on April 4, 2022, the Company issued an aggregate of 127,780 shares of Series B-1 Preferred Stock to Casdin and an aggregate of 127,779 shares of Series B-2 Preferred Stock to Viking pursuant to the terms of the Purchase Agreements and Bridge Loan Agreements.</w:t>
      </w:r>
    </w:p>
    <w:p>
      <w:pPr>
        <w:spacing w:after="0" w:line="11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securities of the Company that were issued as part of the Private Placement Issuance were not registered under the Securities Act of 1933, as amended (Securities Act), in reliance on the exemption from registration provided by Section 4(a)(2) of the Securities Act. The investors represented to the Company in the Purchase Agreements and the Loan Agreements that they are “accredited investors” within the meaning of Regulation D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720" w:type="dxa"/>
            <w:vAlign w:val="bottom"/>
            <w:gridSpan w:val="3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From Exhibit</w:t>
            </w: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20" w:type="dxa"/>
            <w:vAlign w:val="bottom"/>
            <w:gridSpan w:val="32"/>
            <w:vMerge w:val="continue"/>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From Form</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8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940" w:type="dxa"/>
            <w:vAlign w:val="bottom"/>
            <w:tcBorders>
              <w:top w:val="single" w:sz="8" w:color="auto"/>
            </w:tcBorders>
            <w:gridSpan w:val="40"/>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Eighth Amended and Restated Certificate of Incorporation filed on February 15,</w:t>
              </w:r>
            </w:hyperlink>
          </w:p>
        </w:tc>
        <w:tc>
          <w:tcPr>
            <w:tcW w:w="10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3/28/2011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88"/>
              </w:rPr>
            </w:pPr>
            <w:hyperlink r:id="rId87">
              <w:r>
                <w:rPr>
                  <w:rFonts w:ascii="Times New Roman" w:cs="Times New Roman" w:eastAsia="Times New Roman" w:hAnsi="Times New Roman"/>
                  <w:sz w:val="18"/>
                  <w:szCs w:val="18"/>
                  <w:color w:val="0000FF"/>
                  <w:w w:val="88"/>
                </w:rPr>
                <w:t>2011.</w:t>
              </w:r>
            </w:hyperlink>
          </w:p>
        </w:tc>
        <w:tc>
          <w:tcPr>
            <w:tcW w:w="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Amended and Restated Bylaws of Standard BioTools Inc.</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Certificate of Amendment to the Eighth Amended and Restated Certificate of</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Incorporation.</w:t>
              </w:r>
            </w:hyperlink>
          </w:p>
        </w:tc>
        <w:tc>
          <w:tcPr>
            <w:tcW w:w="454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Certificate of Designation of Rights, Preferences and Privileges of Series A</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11/22/2016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Participating Preferred Stock.</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Certificate of Elimination of Series A Participating Preferred Stock.</w:t>
              </w:r>
            </w:hyperlink>
          </w:p>
        </w:tc>
        <w:tc>
          <w:tcPr>
            <w:tcW w:w="1160" w:type="dxa"/>
            <w:vAlign w:val="bottom"/>
            <w:gridSpan w:val="22"/>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Certificate of Designations of Rights, Preferences and Privileges of Series B-1</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Convertible Preferred Stock.</w:t>
              </w:r>
            </w:hyperlink>
          </w:p>
        </w:tc>
        <w:tc>
          <w:tcPr>
            <w:tcW w:w="3580" w:type="dxa"/>
            <w:vAlign w:val="bottom"/>
            <w:tcBorders>
              <w:top w:val="single" w:sz="8" w:color="0000FF"/>
            </w:tcBorders>
            <w:gridSpan w:val="29"/>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Certificate of Designations of Rights, Preferences and Privileges of Series B-2</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Convertible Preferred Stock.</w:t>
              </w:r>
            </w:hyperlink>
          </w:p>
        </w:tc>
        <w:tc>
          <w:tcPr>
            <w:tcW w:w="3580" w:type="dxa"/>
            <w:vAlign w:val="bottom"/>
            <w:tcBorders>
              <w:top w:val="single" w:sz="8" w:color="0000FF"/>
            </w:tcBorders>
            <w:gridSpan w:val="29"/>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Series B-1 Loan Agreement, dated as of January 23, 2022, by and among</w:t>
              </w:r>
            </w:hyperlink>
          </w:p>
        </w:tc>
        <w:tc>
          <w:tcPr>
            <w:tcW w:w="780" w:type="dxa"/>
            <w:vAlign w:val="bottom"/>
            <w:gridSpan w:val="19"/>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40" w:type="dxa"/>
            <w:vAlign w:val="bottom"/>
            <w:gridSpan w:val="41"/>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Fluidigm Corporation, Casdin Partners Master Fund, L.P., and Casdin Private</w:t>
              </w:r>
            </w:hyperlink>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Growth Equity Fund II, L.P.</w:t>
              </w:r>
            </w:hyperlink>
          </w:p>
        </w:tc>
        <w:tc>
          <w:tcPr>
            <w:tcW w:w="356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Series B-2 Loan Agreement, dated as of January 23, 2022, by and among</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Fluidigm Corporation, Viking Global Opportunities Illiquid Investments</w:t>
              </w:r>
            </w:hyperlink>
          </w:p>
        </w:tc>
        <w:tc>
          <w:tcPr>
            <w:tcW w:w="780" w:type="dxa"/>
            <w:vAlign w:val="bottom"/>
            <w:gridSpan w:val="19"/>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Sub-</w:t>
              </w:r>
            </w:hyperlink>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Master LP, and Viking Global Opportunities Drawdown (Aggregator) LP.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Series B-1 Convertible Preferred Stock Purchase Agreement, dated as of January</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DEF 14A</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Anx. B</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23, 2022, by and among Fluidigm Corporation, Casdin Private Growth Equity</w:t>
              </w:r>
            </w:hyperlink>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96">
              <w:r>
                <w:rPr>
                  <w:rFonts w:ascii="Times New Roman" w:cs="Times New Roman" w:eastAsia="Times New Roman" w:hAnsi="Times New Roman"/>
                  <w:sz w:val="18"/>
                  <w:szCs w:val="18"/>
                  <w:color w:val="0000FF"/>
                  <w:w w:val="98"/>
                </w:rPr>
                <w:t>Fund II, L.P., and Casdin Partners Master Fund, L.P.</w:t>
              </w:r>
            </w:hyperlink>
          </w:p>
        </w:tc>
        <w:tc>
          <w:tcPr>
            <w:tcW w:w="18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Series B-2 Convertible Preferred Stock Purchase Agreement, dated as of January</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DEF 14A</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Anx. C</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23, 2022, by and among Fluidigm Corporation, Viking Global Opportunities</w:t>
              </w:r>
            </w:hyperlink>
          </w:p>
        </w:tc>
        <w:tc>
          <w:tcPr>
            <w:tcW w:w="3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40" w:type="dxa"/>
            <w:vAlign w:val="bottom"/>
            <w:gridSpan w:val="41"/>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Illiquid Investments Sub-Master LP, and Viking Global Opportunities Drawdown</w:t>
              </w:r>
            </w:hyperlink>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Borders>
              <w:top w:val="single" w:sz="8" w:color="0000FF"/>
            </w:tcBorders>
            <w:gridSpan w:val="39"/>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(Aggregator) LP.</w:t>
              </w:r>
            </w:hyperlink>
          </w:p>
        </w:tc>
        <w:tc>
          <w:tcPr>
            <w:tcW w:w="20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Registration Rights Agreement, dated as of January 23, 2022, by and between</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Fluidigm Corporation, Casdin Private Growth Equity Fund II, L.P., Casdin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4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5"/>
              </w:rPr>
            </w:pPr>
            <w:hyperlink r:id="rId97">
              <w:r>
                <w:rPr>
                  <w:rFonts w:ascii="Times New Roman" w:cs="Times New Roman" w:eastAsia="Times New Roman" w:hAnsi="Times New Roman"/>
                  <w:sz w:val="18"/>
                  <w:szCs w:val="18"/>
                  <w:color w:val="0000FF"/>
                  <w:w w:val="95"/>
                </w:rPr>
                <w:t>Partners Master Fund, L.P., Viking Global Opportunities Illiquid Investments</w:t>
              </w:r>
            </w:hyperlink>
          </w:p>
        </w:tc>
        <w:tc>
          <w:tcPr>
            <w:tcW w:w="180" w:type="dxa"/>
            <w:vAlign w:val="bottom"/>
            <w:tcBorders>
              <w:bottom w:val="single" w:sz="8" w:color="0000FF"/>
            </w:tcBorders>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4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Sub-Master LP, and Viking Global Opportunities Drawdown (Aggregator) LP.</w:t>
              </w:r>
            </w:hyperlink>
          </w:p>
        </w:tc>
        <w:tc>
          <w:tcPr>
            <w:tcW w:w="360" w:type="dxa"/>
            <w:vAlign w:val="bottom"/>
            <w:gridSpan w:val="7"/>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Stephen Christopher Linthwaite Transition Agreement and Release.</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Michael Egholm Offer Letter.</w:t>
              </w:r>
            </w:hyperlink>
          </w:p>
        </w:tc>
        <w:tc>
          <w:tcPr>
            <w:tcW w:w="1180" w:type="dxa"/>
            <w:vAlign w:val="bottom"/>
            <w:gridSpan w:val="23"/>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Indemnification Agreement, dated January 23, 2022, by and between the</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Company and Michael Egholm.</w:t>
              </w:r>
            </w:hyperlink>
          </w:p>
        </w:tc>
        <w:tc>
          <w:tcPr>
            <w:tcW w:w="20" w:type="dxa"/>
            <w:vAlign w:val="bottom"/>
          </w:tcPr>
          <w:p>
            <w:pPr>
              <w:spacing w:after="0"/>
              <w:rPr>
                <w:sz w:val="13"/>
                <w:szCs w:val="13"/>
                <w:color w:val="auto"/>
              </w:rPr>
            </w:pPr>
          </w:p>
        </w:tc>
        <w:tc>
          <w:tcPr>
            <w:tcW w:w="420" w:type="dxa"/>
            <w:vAlign w:val="bottom"/>
            <w:gridSpan w:val="12"/>
          </w:tcPr>
          <w:p>
            <w:pPr>
              <w:spacing w:after="0"/>
              <w:rPr>
                <w:sz w:val="13"/>
                <w:szCs w:val="13"/>
                <w:color w:val="auto"/>
              </w:rPr>
            </w:pPr>
          </w:p>
        </w:tc>
        <w:tc>
          <w:tcPr>
            <w:tcW w:w="140" w:type="dxa"/>
            <w:vAlign w:val="bottom"/>
            <w:gridSpan w:val="4"/>
          </w:tcPr>
          <w:p>
            <w:pPr>
              <w:spacing w:after="0"/>
              <w:rPr>
                <w:sz w:val="13"/>
                <w:szCs w:val="13"/>
                <w:color w:val="auto"/>
              </w:rPr>
            </w:pPr>
          </w:p>
        </w:tc>
        <w:tc>
          <w:tcPr>
            <w:tcW w:w="24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Hanjoon Alex Kim Offer Letter.</w:t>
              </w:r>
            </w:hyperlink>
          </w:p>
        </w:tc>
        <w:tc>
          <w:tcPr>
            <w:tcW w:w="3720" w:type="dxa"/>
            <w:vAlign w:val="bottom"/>
            <w:gridSpan w:val="32"/>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Standard BioTools 2022 Inducement Equity Incentive Plan.</w:t>
              </w:r>
            </w:hyperlink>
          </w:p>
        </w:tc>
        <w:tc>
          <w:tcPr>
            <w:tcW w:w="1760" w:type="dxa"/>
            <w:vAlign w:val="bottom"/>
            <w:gridSpan w:val="25"/>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Notice of Stock Option Grant and Stock Option Agreement under the</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2022 Inducement Equity Incentive Plan.</w:t>
              </w:r>
            </w:hyperlink>
          </w:p>
        </w:tc>
        <w:tc>
          <w:tcPr>
            <w:tcW w:w="2760" w:type="dxa"/>
            <w:vAlign w:val="bottom"/>
            <w:tcBorders>
              <w:top w:val="single" w:sz="8" w:color="0000FF"/>
            </w:tcBorders>
            <w:gridSpan w:val="23"/>
          </w:tcPr>
          <w:p>
            <w:pPr>
              <w:spacing w:after="0"/>
              <w:rPr>
                <w:sz w:val="13"/>
                <w:szCs w:val="13"/>
                <w:color w:val="auto"/>
              </w:rPr>
            </w:pPr>
          </w:p>
        </w:tc>
        <w:tc>
          <w:tcPr>
            <w:tcW w:w="140" w:type="dxa"/>
            <w:vAlign w:val="bottom"/>
            <w:gridSpan w:val="4"/>
          </w:tcPr>
          <w:p>
            <w:pPr>
              <w:spacing w:after="0"/>
              <w:rPr>
                <w:sz w:val="13"/>
                <w:szCs w:val="13"/>
                <w:color w:val="auto"/>
              </w:rPr>
            </w:pPr>
          </w:p>
        </w:tc>
        <w:tc>
          <w:tcPr>
            <w:tcW w:w="24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Notice of Restricted Stock Unit Grant and Restricted Stock Unit</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Agreement under the 2022 Inducement Equity Incentive Plan.</w:t>
              </w:r>
            </w:hyperlink>
          </w:p>
        </w:tc>
        <w:tc>
          <w:tcPr>
            <w:tcW w:w="780" w:type="dxa"/>
            <w:vAlign w:val="bottom"/>
            <w:tcBorders>
              <w:top w:val="single" w:sz="8" w:color="0000FF"/>
            </w:tcBorders>
            <w:gridSpan w:val="4"/>
          </w:tcPr>
          <w:p>
            <w:pPr>
              <w:spacing w:after="0"/>
              <w:rPr>
                <w:sz w:val="13"/>
                <w:szCs w:val="13"/>
                <w:color w:val="auto"/>
              </w:rPr>
            </w:pPr>
          </w:p>
        </w:tc>
        <w:tc>
          <w:tcPr>
            <w:tcW w:w="560" w:type="dxa"/>
            <w:vAlign w:val="bottom"/>
            <w:gridSpan w:val="16"/>
          </w:tcPr>
          <w:p>
            <w:pPr>
              <w:spacing w:after="0"/>
              <w:rPr>
                <w:sz w:val="13"/>
                <w:szCs w:val="13"/>
                <w:color w:val="auto"/>
              </w:rPr>
            </w:pPr>
          </w:p>
        </w:tc>
        <w:tc>
          <w:tcPr>
            <w:tcW w:w="24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Retention Letter.</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920" w:type="dxa"/>
            <w:vAlign w:val="bottom"/>
            <w:gridSpan w:val="2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Default Waiver and Consent to Loan and Security Agreement, dated March 4,</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10.19F</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2022, between the Company and Silicon Valley Bank.</w:t>
              </w:r>
            </w:hyperlink>
          </w:p>
        </w:tc>
        <w:tc>
          <w:tcPr>
            <w:tcW w:w="180" w:type="dxa"/>
            <w:vAlign w:val="bottom"/>
            <w:gridSpan w:val="6"/>
          </w:tcPr>
          <w:p>
            <w:pPr>
              <w:spacing w:after="0"/>
              <w:rPr>
                <w:sz w:val="13"/>
                <w:szCs w:val="13"/>
                <w:color w:val="auto"/>
              </w:rPr>
            </w:pPr>
          </w:p>
        </w:tc>
        <w:tc>
          <w:tcPr>
            <w:tcW w:w="24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Letter Agreement dated March 25, 2022.</w:t>
              </w:r>
            </w:hyperlink>
          </w:p>
        </w:tc>
        <w:tc>
          <w:tcPr>
            <w:tcW w:w="940" w:type="dxa"/>
            <w:vAlign w:val="bottom"/>
            <w:tcBorders>
              <w:top w:val="single" w:sz="8" w:color="0000FF"/>
            </w:tcBorders>
            <w:gridSpan w:val="3"/>
          </w:tcPr>
          <w:p>
            <w:pPr>
              <w:spacing w:after="0"/>
              <w:rPr>
                <w:sz w:val="19"/>
                <w:szCs w:val="19"/>
                <w:color w:val="auto"/>
              </w:rPr>
            </w:pPr>
          </w:p>
        </w:tc>
        <w:tc>
          <w:tcPr>
            <w:tcW w:w="2160" w:type="dxa"/>
            <w:vAlign w:val="bottom"/>
            <w:gridSpan w:val="27"/>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3/28/2022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41"/>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Support Agreement, dated March 29, 2022, by and among Fluidigm Corporation</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and Caligan Partners LP and certain of its affiliates.</w:t>
              </w:r>
            </w:hyperlink>
          </w:p>
        </w:tc>
        <w:tc>
          <w:tcPr>
            <w:tcW w:w="24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3"/>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top w:val="single" w:sz="8" w:color="0000FF"/>
            </w:tcBorders>
            <w:gridSpan w:val="12"/>
          </w:tcPr>
          <w:p>
            <w:pPr>
              <w:spacing w:after="0"/>
              <w:rPr>
                <w:sz w:val="24"/>
                <w:szCs w:val="24"/>
                <w:color w:val="auto"/>
              </w:rPr>
            </w:pP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vMerge w:val="restart"/>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0" w:type="dxa"/>
            <w:vAlign w:val="bottom"/>
            <w:gridSpan w:val="4"/>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60" w:type="dxa"/>
            <w:vAlign w:val="bottom"/>
          </w:tcPr>
          <w:p>
            <w:pPr>
              <w:jc w:val="center"/>
              <w:ind w:left="74"/>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From Exhibit</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9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5800" w:type="dxa"/>
            <w:vAlign w:val="bottom"/>
            <w:gridSpan w:val="4"/>
            <w:vMerge w:val="continue"/>
          </w:tcPr>
          <w:p>
            <w:pPr>
              <w:spacing w:after="0"/>
              <w:rPr>
                <w:sz w:val="16"/>
                <w:szCs w:val="16"/>
                <w:color w:val="auto"/>
              </w:rPr>
            </w:pPr>
          </w:p>
        </w:tc>
        <w:tc>
          <w:tcPr>
            <w:tcW w:w="1560" w:type="dxa"/>
            <w:vAlign w:val="bottom"/>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From Form</w:t>
            </w: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580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w:t>
            </w:r>
          </w:p>
        </w:tc>
        <w:tc>
          <w:tcPr>
            <w:tcW w:w="1560" w:type="dxa"/>
            <w:vAlign w:val="bottom"/>
          </w:tcPr>
          <w:p>
            <w:pPr>
              <w:jc w:val="center"/>
              <w:ind w:left="74"/>
              <w:spacing w:after="0" w:line="201" w:lineRule="exact"/>
              <w:rPr>
                <w:sz w:val="20"/>
                <w:szCs w:val="20"/>
                <w:color w:val="auto"/>
              </w:rPr>
            </w:pPr>
            <w:r>
              <w:rPr>
                <w:rFonts w:ascii="Times New Roman" w:cs="Times New Roman" w:eastAsia="Times New Roman" w:hAnsi="Times New Roman"/>
                <w:sz w:val="18"/>
                <w:szCs w:val="18"/>
                <w:color w:val="auto"/>
                <w:w w:val="99"/>
              </w:rPr>
              <w:t>Filed herewith</w:t>
            </w: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6"/>
              </w:rPr>
              <w:t>Section 302 of the Sarbanes-Oxley Act of 2002 of Chief Executive Officer.</w:t>
            </w:r>
          </w:p>
        </w:tc>
        <w:tc>
          <w:tcPr>
            <w:tcW w:w="10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w:t>
            </w:r>
          </w:p>
        </w:tc>
        <w:tc>
          <w:tcPr>
            <w:tcW w:w="15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Filed herewith</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Section 302 of the Sarbanes-Oxley Act of 2002 of Chief Financial Officer.</w:t>
            </w:r>
          </w:p>
        </w:tc>
        <w:tc>
          <w:tcPr>
            <w:tcW w:w="100" w:type="dxa"/>
            <w:vAlign w:val="bottom"/>
            <w:tcBorders>
              <w:bottom w:val="single" w:sz="8" w:color="0000FF"/>
            </w:tcBorders>
          </w:tcPr>
          <w:p>
            <w:pPr>
              <w:spacing w:after="0"/>
              <w:rPr>
                <w:sz w:val="13"/>
                <w:szCs w:val="13"/>
                <w:color w:val="auto"/>
              </w:rPr>
            </w:pPr>
          </w:p>
        </w:tc>
        <w:tc>
          <w:tcPr>
            <w:tcW w:w="420" w:type="dxa"/>
            <w:vAlign w:val="bottom"/>
            <w:gridSpan w:val="2"/>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w:t>
            </w:r>
          </w:p>
        </w:tc>
        <w:tc>
          <w:tcPr>
            <w:tcW w:w="15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Filed herewith</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6"/>
              </w:rPr>
              <w:t>Section 906 of the Sarbanes-Oxley Act of 2002 of Chief Executive Officer.</w:t>
            </w:r>
          </w:p>
        </w:tc>
        <w:tc>
          <w:tcPr>
            <w:tcW w:w="140" w:type="dxa"/>
            <w:vAlign w:val="bottom"/>
            <w:tcBorders>
              <w:bottom w:val="single" w:sz="8" w:color="0000FF"/>
            </w:tcBorders>
            <w:gridSpan w:val="2"/>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w:t>
            </w:r>
          </w:p>
        </w:tc>
        <w:tc>
          <w:tcPr>
            <w:tcW w:w="15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Filed herewith</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Section 906 of the Sarbanes-Oxley Act of 2002 of Chief Financial Officer.</w:t>
            </w:r>
          </w:p>
        </w:tc>
        <w:tc>
          <w:tcPr>
            <w:tcW w:w="100" w:type="dxa"/>
            <w:vAlign w:val="bottom"/>
            <w:tcBorders>
              <w:bottom w:val="single" w:sz="8" w:color="0000FF"/>
            </w:tcBorders>
          </w:tcPr>
          <w:p>
            <w:pPr>
              <w:spacing w:after="0"/>
              <w:rPr>
                <w:sz w:val="13"/>
                <w:szCs w:val="13"/>
                <w:color w:val="auto"/>
              </w:rPr>
            </w:pPr>
          </w:p>
        </w:tc>
        <w:tc>
          <w:tcPr>
            <w:tcW w:w="420" w:type="dxa"/>
            <w:vAlign w:val="bottom"/>
            <w:gridSpan w:val="2"/>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w:t>
            </w:r>
          </w:p>
        </w:tc>
        <w:tc>
          <w:tcPr>
            <w:tcW w:w="15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Filed herewith</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1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5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Filed herewith</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5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Filed herewith</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5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Filed herewith</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Document</w:t>
            </w:r>
          </w:p>
        </w:tc>
        <w:tc>
          <w:tcPr>
            <w:tcW w:w="15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Filed herewith</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0"/>
                <w:szCs w:val="20"/>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Document</w:t>
            </w:r>
          </w:p>
        </w:tc>
        <w:tc>
          <w:tcPr>
            <w:tcW w:w="15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Filed herewith</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480" w:firstLine="8"/>
        <w:spacing w:after="0" w:line="304" w:lineRule="auto"/>
        <w:tabs>
          <w:tab w:leader="none" w:pos="24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Portions of this exhibit have been redacted in compliance with Regulation S-K Item 601(b)(10)(iv). + </w:t>
      </w:r>
      <w:r>
        <w:rPr>
          <w:rFonts w:ascii="Times New Roman" w:cs="Times New Roman" w:eastAsia="Times New Roman" w:hAnsi="Times New Roman"/>
          <w:sz w:val="17"/>
          <w:szCs w:val="17"/>
          <w:color w:val="auto"/>
        </w:rPr>
        <w:t>Indicates management contract or compensatory plan, contract, or arrangement.</w:t>
      </w:r>
    </w:p>
    <w:p>
      <w:pPr>
        <w:spacing w:after="0" w:line="32" w:lineRule="exact"/>
        <w:rPr>
          <w:sz w:val="20"/>
          <w:szCs w:val="20"/>
          <w:color w:val="auto"/>
        </w:rPr>
      </w:pPr>
    </w:p>
    <w:p>
      <w:pPr>
        <w:ind w:left="260" w:hanging="252"/>
        <w:spacing w:after="0" w:line="252" w:lineRule="auto"/>
        <w:tabs>
          <w:tab w:leader="none" w:pos="2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5" w:right="399" w:bottom="1440" w:gutter="0" w:footer="0" w:header="0"/>
        </w:sectPr>
      </w:pPr>
    </w:p>
    <w:bookmarkStart w:id="74" w:name="page75"/>
    <w:bookmarkEnd w:id="74"/>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5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STANDARD BIOTOOLS INC.</w:t>
            </w:r>
          </w:p>
        </w:tc>
      </w:tr>
      <w:tr>
        <w:trPr>
          <w:trHeight w:val="44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Dated: May 9, 2022</w:t>
            </w:r>
          </w:p>
        </w:tc>
        <w:tc>
          <w:tcPr>
            <w:tcW w:w="25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Egholm</w:t>
            </w:r>
          </w:p>
        </w:tc>
      </w:tr>
      <w:tr>
        <w:trPr>
          <w:trHeight w:val="218"/>
        </w:trPr>
        <w:tc>
          <w:tcPr>
            <w:tcW w:w="3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Egholm</w:t>
            </w:r>
          </w:p>
        </w:tc>
      </w:tr>
      <w:tr>
        <w:trPr>
          <w:trHeight w:val="234"/>
        </w:trPr>
        <w:tc>
          <w:tcPr>
            <w:tcW w:w="3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661"/>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Dated: May 9, 2022</w:t>
            </w:r>
          </w:p>
        </w:tc>
        <w:tc>
          <w:tcPr>
            <w:tcW w:w="25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Vikram Jog</w:t>
            </w:r>
          </w:p>
        </w:tc>
      </w:tr>
      <w:tr>
        <w:trPr>
          <w:trHeight w:val="218"/>
        </w:trPr>
        <w:tc>
          <w:tcPr>
            <w:tcW w:w="3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Vikram Jog</w:t>
            </w:r>
          </w:p>
        </w:tc>
      </w:tr>
      <w:tr>
        <w:trPr>
          <w:trHeight w:val="234"/>
        </w:trPr>
        <w:tc>
          <w:tcPr>
            <w:tcW w:w="3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880"/>
          </w:cols>
          <w:pgMar w:left="320" w:top="1413" w:right="69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Egholm, certify that:</w:t>
      </w:r>
    </w:p>
    <w:p>
      <w:pPr>
        <w:spacing w:after="0" w:line="171"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Standard BioTools Inc.;</w:t>
      </w:r>
    </w:p>
    <w:p>
      <w:pPr>
        <w:spacing w:after="0" w:line="171"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61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62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960" w:right="200" w:hanging="656"/>
        <w:spacing w:after="0" w:line="266" w:lineRule="auto"/>
        <w:tabs>
          <w:tab w:leader="none" w:pos="161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960" w:right="140" w:hanging="656"/>
        <w:spacing w:after="0" w:line="266" w:lineRule="auto"/>
        <w:tabs>
          <w:tab w:leader="none" w:pos="162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1300" w:right="60" w:hanging="644"/>
        <w:spacing w:after="0" w:line="312" w:lineRule="auto"/>
        <w:tabs>
          <w:tab w:leader="none" w:pos="96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auto"/>
        </w:rPr>
      </w:pPr>
    </w:p>
    <w:p>
      <w:pPr>
        <w:jc w:val="right"/>
        <w:ind w:left="1960" w:right="160" w:hanging="656"/>
        <w:spacing w:after="0" w:line="312" w:lineRule="auto"/>
        <w:tabs>
          <w:tab w:leader="none" w:pos="160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Times New Roman" w:cs="Times New Roman" w:eastAsia="Times New Roman" w:hAnsi="Times New Roman"/>
          <w:sz w:val="17"/>
          <w:szCs w:val="17"/>
          <w:color w:val="auto"/>
        </w:rPr>
      </w:pPr>
    </w:p>
    <w:p>
      <w:pPr>
        <w:ind w:left="1960" w:right="440" w:hanging="656"/>
        <w:spacing w:after="0" w:line="282" w:lineRule="auto"/>
        <w:tabs>
          <w:tab w:leader="none" w:pos="161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700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Michael Egholm</w:t>
            </w:r>
          </w:p>
        </w:tc>
      </w:tr>
      <w:tr>
        <w:trPr>
          <w:trHeight w:val="218"/>
        </w:trPr>
        <w:tc>
          <w:tcPr>
            <w:tcW w:w="3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Egholm</w:t>
            </w:r>
          </w:p>
        </w:tc>
      </w:tr>
      <w:tr>
        <w:trPr>
          <w:trHeight w:val="180"/>
        </w:trPr>
        <w:tc>
          <w:tcPr>
            <w:tcW w:w="39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 (Principal</w:t>
            </w:r>
          </w:p>
        </w:tc>
      </w:tr>
      <w:tr>
        <w:trPr>
          <w:trHeight w:val="234"/>
        </w:trPr>
        <w:tc>
          <w:tcPr>
            <w:tcW w:w="39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bl>
    <w:p>
      <w:pPr>
        <w:sectPr>
          <w:pgSz w:w="11900" w:h="16838" w:orient="portrait"/>
          <w:cols w:equalWidth="0" w:num="1">
            <w:col w:w="11240"/>
          </w:cols>
          <w:pgMar w:left="320" w:top="1049"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Vikram Jog, certify that:</w:t>
      </w:r>
    </w:p>
    <w:p>
      <w:pPr>
        <w:spacing w:after="0" w:line="171"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Standard BioTools Inc.;</w:t>
      </w:r>
    </w:p>
    <w:p>
      <w:pPr>
        <w:spacing w:after="0" w:line="171"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700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Vikram Jog</w:t>
            </w:r>
          </w:p>
        </w:tc>
      </w:tr>
      <w:tr>
        <w:trPr>
          <w:trHeight w:val="218"/>
        </w:trPr>
        <w:tc>
          <w:tcPr>
            <w:tcW w:w="3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Vikram Jog</w:t>
            </w:r>
          </w:p>
        </w:tc>
      </w:tr>
      <w:tr>
        <w:trPr>
          <w:trHeight w:val="230"/>
        </w:trPr>
        <w:tc>
          <w:tcPr>
            <w:tcW w:w="39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I, Michael Egholm, the chief executive officer of Standard BioTools Inc. (the “Company”), certify for the purposes of 18 U.S.C. Section 1350, as adopted pursuant to Section 906 of the Sarbanes-Oxley Act of 2002, that, to the best of my knowledge,</w:t>
      </w:r>
    </w:p>
    <w:p>
      <w:pPr>
        <w:spacing w:after="0" w:line="108" w:lineRule="exact"/>
        <w:rPr>
          <w:sz w:val="20"/>
          <w:szCs w:val="20"/>
          <w:color w:val="auto"/>
        </w:rPr>
      </w:pPr>
    </w:p>
    <w:p>
      <w:pPr>
        <w:ind w:left="420" w:right="400" w:hanging="7"/>
        <w:spacing w:after="0" w:line="282" w:lineRule="auto"/>
        <w:tabs>
          <w:tab w:leader="none" w:pos="6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2022 (the “Report”), fully complies with the requirements of Section 13(a) or 15(d)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64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  /s/ Michael Egholm</w:t>
            </w:r>
          </w:p>
        </w:tc>
      </w:tr>
      <w:tr>
        <w:trPr>
          <w:trHeight w:val="218"/>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Egholm</w:t>
            </w:r>
          </w:p>
        </w:tc>
      </w:tr>
      <w:tr>
        <w:trPr>
          <w:trHeight w:val="234"/>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I, Vikram Jog, the chief financial officer of Standard BioTools Inc. (the “Company”), certify for the purposes of 18 U.S.C. Section 1350, as adopted pursuant to Section 906 of the Sarbanes-Oxley Act of 2002, that, to the best of my knowledge,</w:t>
      </w:r>
    </w:p>
    <w:p>
      <w:pPr>
        <w:spacing w:after="0" w:line="108" w:lineRule="exact"/>
        <w:rPr>
          <w:sz w:val="20"/>
          <w:szCs w:val="20"/>
          <w:color w:val="auto"/>
        </w:rPr>
      </w:pPr>
    </w:p>
    <w:p>
      <w:pPr>
        <w:ind w:left="420" w:right="400" w:hanging="7"/>
        <w:spacing w:after="0" w:line="282" w:lineRule="auto"/>
        <w:tabs>
          <w:tab w:leader="none" w:pos="6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2022 (the “Report”), fully complies with the requirements of Section 13(a) or 15(d)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64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  /s/ Vikram Jog</w:t>
            </w:r>
          </w:p>
        </w:tc>
      </w:tr>
      <w:tr>
        <w:trPr>
          <w:trHeight w:val="218"/>
        </w:trPr>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Vikram Jog</w:t>
            </w:r>
          </w:p>
        </w:tc>
      </w:tr>
      <w:tr>
        <w:trPr>
          <w:trHeight w:val="234"/>
        </w:trPr>
        <w:tc>
          <w:tcPr>
            <w:tcW w:w="36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3"/>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Roman"/>
      <w:start w:val="3"/>
    </w:lvl>
  </w:abstractNum>
  <w:abstractNum w:abstractNumId="33">
    <w:nsid w:val="77465F01"/>
    <w:multiLevelType w:val="hybridMultilevel"/>
    <w:lvl w:ilvl="0">
      <w:lvlJc w:val="left"/>
      <w:lvlText w:val="(%1)"/>
      <w:numFmt w:val="lowerRoman"/>
      <w:start w:val="2"/>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87" Type="http://schemas.openxmlformats.org/officeDocument/2006/relationships/hyperlink" Target="http://www.sec.gov/Archives/edgar/data/1162194/000119312511078412/dex31.htm" TargetMode="External"/><Relationship Id="rId88" Type="http://schemas.openxmlformats.org/officeDocument/2006/relationships/hyperlink" Target="http://www.sec.gov/Archives/edgar/data/1162194/000119312522093794/d300506dex48.htm" TargetMode="External"/><Relationship Id="rId89" Type="http://schemas.openxmlformats.org/officeDocument/2006/relationships/hyperlink" Target="http://www.sec.gov/Archives/edgar/data/1162194/000119312522093794/d300506dex43.htm" TargetMode="External"/><Relationship Id="rId90" Type="http://schemas.openxmlformats.org/officeDocument/2006/relationships/hyperlink" Target="http://www.sec.gov/Archives/edgar/data/1162194/000119312516774501/d294669dex31.htm" TargetMode="External"/><Relationship Id="rId91" Type="http://schemas.openxmlformats.org/officeDocument/2006/relationships/hyperlink" Target="http://www.sec.gov/Archives/edgar/data/1162194/000114420417039703/v471897_ex3-1.htm" TargetMode="External"/><Relationship Id="rId92" Type="http://schemas.openxmlformats.org/officeDocument/2006/relationships/hyperlink" Target="http://www.sec.gov/Archives/edgar/data/1162194/000119312522096290/d314141dex36.htm" TargetMode="External"/><Relationship Id="rId93" Type="http://schemas.openxmlformats.org/officeDocument/2006/relationships/hyperlink" Target="http://www.sec.gov/Archives/edgar/data/1162194/000119312522096290/d314141dex37.htm" TargetMode="External"/><Relationship Id="rId94" Type="http://schemas.openxmlformats.org/officeDocument/2006/relationships/hyperlink" Target="http://www.sec.gov/Archives/edgar/data/1162194/000119312522036985/d307863dex101.htm" TargetMode="External"/><Relationship Id="rId95" Type="http://schemas.openxmlformats.org/officeDocument/2006/relationships/hyperlink" Target="http://www.sec.gov/Archives/edgar/data/1162194/000119312522016151/d243622dex102.htm" TargetMode="External"/><Relationship Id="rId96" Type="http://schemas.openxmlformats.org/officeDocument/2006/relationships/hyperlink" Target="http://www.sec.gov/Archives/edgar/data/1162194/000119312522052230/d263023ddef14a.htm" TargetMode="External"/><Relationship Id="rId97" Type="http://schemas.openxmlformats.org/officeDocument/2006/relationships/hyperlink" Target="http://www.sec.gov/Archives/edgar/data/1162194/000119312522016151/d243622dex105.htm" TargetMode="External"/><Relationship Id="rId98" Type="http://schemas.openxmlformats.org/officeDocument/2006/relationships/hyperlink" Target="http://www.sec.gov/Archives/edgar/data/1162194/000119312522016151/d243622dex106.htm" TargetMode="External"/><Relationship Id="rId99" Type="http://schemas.openxmlformats.org/officeDocument/2006/relationships/hyperlink" Target="http://www.sec.gov/Archives/edgar/data/1162194/000119312522016151/d243622dex107.htm" TargetMode="External"/><Relationship Id="rId100" Type="http://schemas.openxmlformats.org/officeDocument/2006/relationships/hyperlink" Target="http://www.sec.gov/Archives/edgar/data/1162194/000119312522016151/d243622dex108.htm" TargetMode="External"/><Relationship Id="rId101" Type="http://schemas.openxmlformats.org/officeDocument/2006/relationships/hyperlink" Target="http://www.sec.gov/Archives/edgar/data/1162194/000119312522016151/d243622dex109.htm" TargetMode="External"/><Relationship Id="rId102" Type="http://schemas.openxmlformats.org/officeDocument/2006/relationships/hyperlink" Target="http://www.sec.gov/Archives/edgar/data/1162194/000119312522093794/d300506dex49.htm" TargetMode="External"/><Relationship Id="rId103" Type="http://schemas.openxmlformats.org/officeDocument/2006/relationships/hyperlink" Target="http://www.sec.gov/Archives/edgar/data/1162194/000119312522093794/d300506dex991.htm" TargetMode="External"/><Relationship Id="rId104" Type="http://schemas.openxmlformats.org/officeDocument/2006/relationships/hyperlink" Target="http://www.sec.gov/Archives/edgar/data/1162194/000119312522093794/d300506dex992.htm" TargetMode="External"/><Relationship Id="rId105" Type="http://schemas.openxmlformats.org/officeDocument/2006/relationships/hyperlink" Target="http://www.sec.gov/Archives/edgar/data/1162194/000119312522016151/d243622dex1010.htm" TargetMode="External"/><Relationship Id="rId106" Type="http://schemas.openxmlformats.org/officeDocument/2006/relationships/hyperlink" Target="http://www.sec.gov/Archives/edgar/data/1162194/000116219422000021/exhibit1019fdefaultwaivera.htm" TargetMode="External"/><Relationship Id="rId107" Type="http://schemas.openxmlformats.org/officeDocument/2006/relationships/hyperlink" Target="http://www.sec.gov/Archives/edgar/data/1162194/000119312522085854/d302500dex101.htm" TargetMode="External"/><Relationship Id="rId108" Type="http://schemas.openxmlformats.org/officeDocument/2006/relationships/hyperlink" Target="http://www.sec.gov/Archives/edgar/data/1162194/000119312522087550/d32509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2022-05-09T13:26:15Z</dcterms:created>
  <dcterms:modified xsi:type="dcterms:W3CDTF">2022-05-09T13:26:15Z</dcterms:modified>
</cp:coreProperties>
</file>