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314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314565"/>
                    </a:xfrm>
                    <a:prstGeom prst="rect">
                      <a:avLst/>
                    </a:prstGeom>
                    <a:noFill/>
                  </pic:spPr>
                </pic:pic>
              </a:graphicData>
            </a:graphic>
          </wp:anchor>
        </w:drawing>
      </w:r>
    </w:p>
    <w:p>
      <w:pPr>
        <w:spacing w:after="0" w:line="96" w:lineRule="exact"/>
        <w:rPr>
          <w:sz w:val="24"/>
          <w:szCs w:val="24"/>
          <w:color w:val="auto"/>
        </w:rPr>
      </w:pPr>
    </w:p>
    <w:p>
      <w:pPr>
        <w:sectPr>
          <w:pgSz w:w="11900" w:h="16900"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McPhail Steven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558" w:lineRule="exact"/>
        <w:rPr>
          <w:sz w:val="24"/>
          <w:szCs w:val="24"/>
          <w:color w:val="auto"/>
        </w:rPr>
      </w:pPr>
    </w:p>
    <w:p>
      <w:pPr>
        <w:sectPr>
          <w:pgSz w:w="11900" w:h="16900"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900"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7"/>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08/20/2018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0"/>
              <w:spacing w:after="0"/>
              <w:rPr>
                <w:sz w:val="20"/>
                <w:szCs w:val="20"/>
                <w:color w:val="auto"/>
              </w:rPr>
            </w:pPr>
            <w:r>
              <w:rPr>
                <w:rFonts w:ascii="Arial" w:cs="Arial" w:eastAsia="Arial" w:hAnsi="Arial"/>
                <w:sz w:val="18"/>
                <w:szCs w:val="18"/>
                <w:color w:val="0000FF"/>
                <w:w w:val="86"/>
              </w:rPr>
              <w:t>775</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35,055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08/20/2018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0"/>
              <w:spacing w:after="0"/>
              <w:rPr>
                <w:sz w:val="20"/>
                <w:szCs w:val="20"/>
                <w:color w:val="auto"/>
              </w:rPr>
            </w:pPr>
            <w:r>
              <w:rPr>
                <w:rFonts w:ascii="Arial" w:cs="Arial" w:eastAsia="Arial" w:hAnsi="Arial"/>
                <w:sz w:val="18"/>
                <w:szCs w:val="18"/>
                <w:color w:val="0000FF"/>
                <w:w w:val="86"/>
              </w:rPr>
              <w:t>338</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35,393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08/20/2018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0"/>
              <w:spacing w:after="0"/>
              <w:rPr>
                <w:sz w:val="20"/>
                <w:szCs w:val="20"/>
                <w:color w:val="auto"/>
              </w:rPr>
            </w:pPr>
            <w:r>
              <w:rPr>
                <w:rFonts w:ascii="Arial" w:cs="Arial" w:eastAsia="Arial" w:hAnsi="Arial"/>
                <w:sz w:val="18"/>
                <w:szCs w:val="18"/>
                <w:color w:val="0000FF"/>
                <w:w w:val="84"/>
              </w:rPr>
              <w:t>1,285</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36,678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08/20/2018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0"/>
              <w:spacing w:after="0"/>
              <w:rPr>
                <w:sz w:val="20"/>
                <w:szCs w:val="20"/>
                <w:color w:val="auto"/>
              </w:rPr>
            </w:pPr>
            <w:r>
              <w:rPr>
                <w:rFonts w:ascii="Arial" w:cs="Arial" w:eastAsia="Arial" w:hAnsi="Arial"/>
                <w:sz w:val="18"/>
                <w:szCs w:val="18"/>
                <w:color w:val="0000FF"/>
                <w:w w:val="84"/>
              </w:rPr>
              <w:t>1,324</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38,002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08/20/2018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6"/>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jc w:val="center"/>
              <w:ind w:left="110"/>
              <w:spacing w:after="0"/>
              <w:rPr>
                <w:sz w:val="20"/>
                <w:szCs w:val="20"/>
                <w:color w:val="auto"/>
              </w:rPr>
            </w:pPr>
            <w:r>
              <w:rPr>
                <w:rFonts w:ascii="Arial" w:cs="Arial" w:eastAsia="Arial" w:hAnsi="Arial"/>
                <w:sz w:val="18"/>
                <w:szCs w:val="18"/>
                <w:color w:val="0000FF"/>
                <w:w w:val="84"/>
              </w:rPr>
              <w:t>1,117</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6.74</w:t>
            </w: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36,885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6"/>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9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99"/>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6"/>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jc w:val="center"/>
              <w:ind w:right="3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jc w:val="center"/>
              <w:ind w:right="23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775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775</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7"/>
              <w:spacing w:after="0" w:line="149" w:lineRule="exact"/>
              <w:rPr>
                <w:sz w:val="20"/>
                <w:szCs w:val="20"/>
                <w:color w:val="auto"/>
              </w:rPr>
            </w:pPr>
            <w:r>
              <w:rPr>
                <w:rFonts w:ascii="Arial" w:cs="Arial" w:eastAsia="Arial" w:hAnsi="Arial"/>
                <w:sz w:val="14"/>
                <w:szCs w:val="14"/>
                <w:color w:val="0000FF"/>
                <w:w w:val="85"/>
              </w:rPr>
              <w:t>2,325</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vMerge w:val="restart"/>
          </w:tcPr>
          <w:p>
            <w:pPr>
              <w:jc w:val="center"/>
              <w:ind w:right="23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338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338</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7"/>
              <w:spacing w:after="0" w:line="149" w:lineRule="exact"/>
              <w:rPr>
                <w:sz w:val="20"/>
                <w:szCs w:val="20"/>
                <w:color w:val="auto"/>
              </w:rPr>
            </w:pPr>
            <w:r>
              <w:rPr>
                <w:rFonts w:ascii="Arial" w:cs="Arial" w:eastAsia="Arial" w:hAnsi="Arial"/>
                <w:sz w:val="14"/>
                <w:szCs w:val="14"/>
                <w:color w:val="0000FF"/>
                <w:w w:val="85"/>
              </w:rPr>
              <w:t>1,913</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jc w:val="center"/>
              <w:ind w:right="23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1,285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1,285</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7"/>
              <w:spacing w:after="0" w:line="149" w:lineRule="exact"/>
              <w:rPr>
                <w:sz w:val="20"/>
                <w:szCs w:val="20"/>
                <w:color w:val="auto"/>
              </w:rPr>
            </w:pPr>
            <w:r>
              <w:rPr>
                <w:rFonts w:ascii="Arial" w:cs="Arial" w:eastAsia="Arial" w:hAnsi="Arial"/>
                <w:sz w:val="14"/>
                <w:szCs w:val="14"/>
                <w:color w:val="0000FF"/>
                <w:w w:val="88"/>
              </w:rPr>
              <w:t>12,416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560" w:type="dxa"/>
            <w:vAlign w:val="bottom"/>
            <w:vMerge w:val="restart"/>
          </w:tcPr>
          <w:p>
            <w:pPr>
              <w:jc w:val="center"/>
              <w:ind w:right="230"/>
              <w:spacing w:after="0"/>
              <w:rPr>
                <w:sz w:val="20"/>
                <w:szCs w:val="20"/>
                <w:color w:val="auto"/>
              </w:rPr>
            </w:pPr>
            <w:r>
              <w:rPr>
                <w:rFonts w:ascii="Arial" w:cs="Arial" w:eastAsia="Arial" w:hAnsi="Arial"/>
                <w:sz w:val="11"/>
                <w:szCs w:val="11"/>
                <w:color w:val="008000"/>
              </w:rPr>
              <w:t>(5)</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1,324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1,324</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7"/>
              <w:spacing w:after="0" w:line="149" w:lineRule="exact"/>
              <w:rPr>
                <w:sz w:val="20"/>
                <w:szCs w:val="20"/>
                <w:color w:val="auto"/>
              </w:rPr>
            </w:pPr>
            <w:r>
              <w:rPr>
                <w:rFonts w:ascii="Arial" w:cs="Arial" w:eastAsia="Arial" w:hAnsi="Arial"/>
                <w:sz w:val="14"/>
                <w:szCs w:val="14"/>
                <w:color w:val="0000FF"/>
                <w:w w:val="88"/>
              </w:rPr>
              <w:t>19,862</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21, 2015, the Reporting Person was granted 12,400 Restricted Stock Units of which 12/48th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20,550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11, 2018, the Reporting Person was granted 21,186 Restricted Stock Units of which 3/48th of the total number of shares underlying the Restricted Stock Units granted vested on August 20, 2018, and 3/48th of the total number of shares underlying the Restricted Stock Units granted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Steven McPhail by Nicholas 08/22/2018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84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ectPr>
          <w:pgSz w:w="11900" w:h="16900" w:orient="portrait"/>
          <w:cols w:equalWidth="0" w:num="1">
            <w:col w:w="11520"/>
          </w:cols>
          <w:pgMar w:left="240" w:top="226"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93"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418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2019-12-23T22:13:38Z</dcterms:created>
  <dcterms:modified xsi:type="dcterms:W3CDTF">2019-12-23T22:13:38Z</dcterms:modified>
</cp:coreProperties>
</file>