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60"/>
        <w:spacing w:after="0"/>
        <w:rPr>
          <w:sz w:val="20"/>
          <w:szCs w:val="20"/>
          <w:color w:val="auto"/>
        </w:rPr>
      </w:pPr>
      <w:r>
        <w:rPr>
          <w:rFonts w:ascii="Arial" w:cs="Arial" w:eastAsia="Arial" w:hAnsi="Arial"/>
          <w:sz w:val="20"/>
          <w:szCs w:val="20"/>
          <w:b w:val="1"/>
          <w:bCs w:val="1"/>
          <w:color w:val="auto"/>
        </w:rPr>
        <w:t xml:space="preserve">WASHINGTON, </w:t>
      </w:r>
      <w:r>
        <w:rPr>
          <w:rFonts w:ascii="Arial" w:cs="Arial" w:eastAsia="Arial" w:hAnsi="Arial"/>
          <w:sz w:val="17"/>
          <w:szCs w:val="17"/>
          <w:b w:val="1"/>
          <w:bCs w:val="1"/>
          <w:color w:val="auto"/>
        </w:rPr>
        <w:t>D.C.</w:t>
      </w:r>
      <w:r>
        <w:rPr>
          <w:rFonts w:ascii="Arial" w:cs="Arial" w:eastAsia="Arial" w:hAnsi="Arial"/>
          <w:sz w:val="20"/>
          <w:szCs w:val="20"/>
          <w:b w:val="1"/>
          <w:bCs w:val="1"/>
          <w:color w:val="auto"/>
        </w:rPr>
        <w:t xml:space="preserve">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Pursuant to Section 13 or 15(d) of the</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Securities Exchange Act of 1934</w:t>
      </w:r>
    </w:p>
    <w:p>
      <w:pPr>
        <w:spacing w:after="0" w:line="10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Date of report (Date of earliest event reported)</w:t>
      </w:r>
    </w:p>
    <w:p>
      <w:pPr>
        <w:spacing w:after="0" w:line="239"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March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Fluidigm Corporation</w:t>
      </w:r>
    </w:p>
    <w:p>
      <w:pPr>
        <w:spacing w:after="0" w:line="73"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tbl>
      <w:tblPr>
        <w:tblLayout w:type="fixed"/>
        <w:tblInd w:w="1040" w:type="dxa"/>
        <w:tblCellMar>
          <w:top w:w="0" w:type="dxa"/>
          <w:left w:w="0" w:type="dxa"/>
          <w:bottom w:w="0" w:type="dxa"/>
          <w:right w:w="0" w:type="dxa"/>
        </w:tblCellMar>
      </w:tblPr>
      <w:tr>
        <w:trPr>
          <w:trHeight w:val="234"/>
        </w:trPr>
        <w:tc>
          <w:tcPr>
            <w:tcW w:w="1820" w:type="dxa"/>
            <w:vAlign w:val="bottom"/>
          </w:tcPr>
          <w:p>
            <w:pPr>
              <w:jc w:val="center"/>
              <w:ind w:right="162"/>
              <w:spacing w:after="0"/>
              <w:rPr>
                <w:sz w:val="20"/>
                <w:szCs w:val="20"/>
                <w:color w:val="auto"/>
              </w:rPr>
            </w:pPr>
            <w:r>
              <w:rPr>
                <w:rFonts w:ascii="Arial" w:cs="Arial" w:eastAsia="Arial" w:hAnsi="Arial"/>
                <w:sz w:val="18"/>
                <w:szCs w:val="18"/>
                <w:b w:val="1"/>
                <w:bCs w:val="1"/>
                <w:color w:val="auto"/>
                <w:w w:val="93"/>
              </w:rPr>
              <w:t>Delaware</w:t>
            </w:r>
          </w:p>
        </w:tc>
        <w:tc>
          <w:tcPr>
            <w:tcW w:w="5640" w:type="dxa"/>
            <w:vAlign w:val="bottom"/>
          </w:tcPr>
          <w:p>
            <w:pPr>
              <w:jc w:val="center"/>
              <w:ind w:right="61"/>
              <w:spacing w:after="0"/>
              <w:rPr>
                <w:sz w:val="20"/>
                <w:szCs w:val="20"/>
                <w:color w:val="auto"/>
              </w:rPr>
            </w:pPr>
            <w:r>
              <w:rPr>
                <w:rFonts w:ascii="Arial" w:cs="Arial" w:eastAsia="Arial" w:hAnsi="Arial"/>
                <w:sz w:val="18"/>
                <w:szCs w:val="18"/>
                <w:b w:val="1"/>
                <w:bCs w:val="1"/>
                <w:color w:val="auto"/>
                <w:w w:val="90"/>
              </w:rPr>
              <w:t>001-34180</w:t>
            </w:r>
          </w:p>
        </w:tc>
        <w:tc>
          <w:tcPr>
            <w:tcW w:w="1440" w:type="dxa"/>
            <w:vAlign w:val="bottom"/>
          </w:tcPr>
          <w:p>
            <w:pPr>
              <w:jc w:val="center"/>
              <w:ind w:left="282"/>
              <w:spacing w:after="0"/>
              <w:rPr>
                <w:sz w:val="20"/>
                <w:szCs w:val="20"/>
                <w:color w:val="auto"/>
              </w:rPr>
            </w:pPr>
            <w:r>
              <w:rPr>
                <w:rFonts w:ascii="Arial" w:cs="Arial" w:eastAsia="Arial" w:hAnsi="Arial"/>
                <w:sz w:val="18"/>
                <w:szCs w:val="18"/>
                <w:b w:val="1"/>
                <w:bCs w:val="1"/>
                <w:color w:val="auto"/>
                <w:w w:val="91"/>
              </w:rPr>
              <w:t>77-0513190</w:t>
            </w:r>
          </w:p>
        </w:tc>
      </w:tr>
      <w:tr>
        <w:trPr>
          <w:trHeight w:val="197"/>
        </w:trPr>
        <w:tc>
          <w:tcPr>
            <w:tcW w:w="1820" w:type="dxa"/>
            <w:vAlign w:val="bottom"/>
          </w:tcPr>
          <w:p>
            <w:pPr>
              <w:jc w:val="center"/>
              <w:ind w:right="162"/>
              <w:spacing w:after="0"/>
              <w:rPr>
                <w:sz w:val="20"/>
                <w:szCs w:val="20"/>
                <w:color w:val="auto"/>
              </w:rPr>
            </w:pPr>
            <w:r>
              <w:rPr>
                <w:rFonts w:ascii="Arial" w:cs="Arial" w:eastAsia="Arial" w:hAnsi="Arial"/>
                <w:sz w:val="14"/>
                <w:szCs w:val="14"/>
                <w:color w:val="auto"/>
                <w:w w:val="94"/>
              </w:rPr>
              <w:t>(State or Other Jurisdiction</w:t>
            </w:r>
          </w:p>
        </w:tc>
        <w:tc>
          <w:tcPr>
            <w:tcW w:w="5640" w:type="dxa"/>
            <w:vAlign w:val="bottom"/>
          </w:tcPr>
          <w:p>
            <w:pPr>
              <w:jc w:val="center"/>
              <w:ind w:right="61"/>
              <w:spacing w:after="0"/>
              <w:rPr>
                <w:sz w:val="20"/>
                <w:szCs w:val="20"/>
                <w:color w:val="auto"/>
              </w:rPr>
            </w:pPr>
            <w:r>
              <w:rPr>
                <w:rFonts w:ascii="Arial" w:cs="Arial" w:eastAsia="Arial" w:hAnsi="Arial"/>
                <w:sz w:val="14"/>
                <w:szCs w:val="14"/>
                <w:color w:val="auto"/>
                <w:w w:val="95"/>
              </w:rPr>
              <w:t>(Commission</w:t>
            </w:r>
          </w:p>
        </w:tc>
        <w:tc>
          <w:tcPr>
            <w:tcW w:w="1440" w:type="dxa"/>
            <w:vAlign w:val="bottom"/>
          </w:tcPr>
          <w:p>
            <w:pPr>
              <w:jc w:val="center"/>
              <w:ind w:left="302"/>
              <w:spacing w:after="0"/>
              <w:rPr>
                <w:sz w:val="20"/>
                <w:szCs w:val="20"/>
                <w:color w:val="auto"/>
              </w:rPr>
            </w:pPr>
            <w:r>
              <w:rPr>
                <w:rFonts w:ascii="Arial" w:cs="Arial" w:eastAsia="Arial" w:hAnsi="Arial"/>
                <w:sz w:val="14"/>
                <w:szCs w:val="14"/>
                <w:color w:val="auto"/>
                <w:w w:val="95"/>
              </w:rPr>
              <w:t>(I.R.S. Employer</w:t>
            </w:r>
          </w:p>
        </w:tc>
      </w:tr>
      <w:tr>
        <w:trPr>
          <w:trHeight w:val="182"/>
        </w:trPr>
        <w:tc>
          <w:tcPr>
            <w:tcW w:w="1820" w:type="dxa"/>
            <w:vAlign w:val="bottom"/>
          </w:tcPr>
          <w:p>
            <w:pPr>
              <w:jc w:val="center"/>
              <w:ind w:right="162"/>
              <w:spacing w:after="0"/>
              <w:rPr>
                <w:sz w:val="20"/>
                <w:szCs w:val="20"/>
                <w:color w:val="auto"/>
              </w:rPr>
            </w:pPr>
            <w:r>
              <w:rPr>
                <w:rFonts w:ascii="Arial" w:cs="Arial" w:eastAsia="Arial" w:hAnsi="Arial"/>
                <w:sz w:val="14"/>
                <w:szCs w:val="14"/>
                <w:color w:val="auto"/>
                <w:w w:val="96"/>
              </w:rPr>
              <w:t>of Incorporation)</w:t>
            </w:r>
          </w:p>
        </w:tc>
        <w:tc>
          <w:tcPr>
            <w:tcW w:w="5640" w:type="dxa"/>
            <w:vAlign w:val="bottom"/>
          </w:tcPr>
          <w:p>
            <w:pPr>
              <w:jc w:val="center"/>
              <w:ind w:right="61"/>
              <w:spacing w:after="0"/>
              <w:rPr>
                <w:sz w:val="20"/>
                <w:szCs w:val="20"/>
                <w:color w:val="auto"/>
              </w:rPr>
            </w:pPr>
            <w:r>
              <w:rPr>
                <w:rFonts w:ascii="Arial" w:cs="Arial" w:eastAsia="Arial" w:hAnsi="Arial"/>
                <w:sz w:val="14"/>
                <w:szCs w:val="14"/>
                <w:color w:val="auto"/>
                <w:w w:val="96"/>
              </w:rPr>
              <w:t>File Number)</w:t>
            </w:r>
          </w:p>
        </w:tc>
        <w:tc>
          <w:tcPr>
            <w:tcW w:w="1440" w:type="dxa"/>
            <w:vAlign w:val="bottom"/>
          </w:tcPr>
          <w:p>
            <w:pPr>
              <w:jc w:val="center"/>
              <w:ind w:left="282"/>
              <w:spacing w:after="0"/>
              <w:rPr>
                <w:sz w:val="20"/>
                <w:szCs w:val="20"/>
                <w:color w:val="auto"/>
              </w:rPr>
            </w:pPr>
            <w:r>
              <w:rPr>
                <w:rFonts w:ascii="Arial" w:cs="Arial" w:eastAsia="Arial" w:hAnsi="Arial"/>
                <w:sz w:val="14"/>
                <w:szCs w:val="14"/>
                <w:color w:val="auto"/>
                <w:w w:val="99"/>
              </w:rPr>
              <w:t>Identification No.)</w:t>
            </w:r>
          </w:p>
        </w:tc>
      </w:tr>
      <w:tr>
        <w:trPr>
          <w:trHeight w:val="601"/>
        </w:trPr>
        <w:tc>
          <w:tcPr>
            <w:tcW w:w="1820" w:type="dxa"/>
            <w:vAlign w:val="bottom"/>
          </w:tcPr>
          <w:p>
            <w:pPr>
              <w:spacing w:after="0"/>
              <w:rPr>
                <w:sz w:val="24"/>
                <w:szCs w:val="24"/>
                <w:color w:val="auto"/>
              </w:rPr>
            </w:pPr>
          </w:p>
        </w:tc>
        <w:tc>
          <w:tcPr>
            <w:tcW w:w="5640" w:type="dxa"/>
            <w:vAlign w:val="bottom"/>
          </w:tcPr>
          <w:p>
            <w:pPr>
              <w:jc w:val="center"/>
              <w:ind w:right="41"/>
              <w:spacing w:after="0"/>
              <w:rPr>
                <w:sz w:val="20"/>
                <w:szCs w:val="20"/>
                <w:color w:val="auto"/>
              </w:rPr>
            </w:pPr>
            <w:r>
              <w:rPr>
                <w:rFonts w:ascii="Arial" w:cs="Arial" w:eastAsia="Arial" w:hAnsi="Arial"/>
                <w:sz w:val="18"/>
                <w:szCs w:val="18"/>
                <w:b w:val="1"/>
                <w:bCs w:val="1"/>
                <w:color w:val="auto"/>
                <w:w w:val="89"/>
              </w:rPr>
              <w:t>2 Tower Place, Suite 2000, South San Francisco, California 94080</w:t>
            </w:r>
          </w:p>
        </w:tc>
        <w:tc>
          <w:tcPr>
            <w:tcW w:w="1440" w:type="dxa"/>
            <w:vAlign w:val="bottom"/>
          </w:tcPr>
          <w:p>
            <w:pPr>
              <w:spacing w:after="0"/>
              <w:rPr>
                <w:sz w:val="24"/>
                <w:szCs w:val="24"/>
                <w:color w:val="auto"/>
              </w:rPr>
            </w:pPr>
          </w:p>
        </w:tc>
      </w:tr>
      <w:tr>
        <w:trPr>
          <w:trHeight w:val="182"/>
        </w:trPr>
        <w:tc>
          <w:tcPr>
            <w:tcW w:w="1820" w:type="dxa"/>
            <w:vAlign w:val="bottom"/>
          </w:tcPr>
          <w:p>
            <w:pPr>
              <w:spacing w:after="0"/>
              <w:rPr>
                <w:sz w:val="15"/>
                <w:szCs w:val="15"/>
                <w:color w:val="auto"/>
              </w:rPr>
            </w:pPr>
          </w:p>
        </w:tc>
        <w:tc>
          <w:tcPr>
            <w:tcW w:w="5640" w:type="dxa"/>
            <w:vAlign w:val="bottom"/>
          </w:tcPr>
          <w:p>
            <w:pPr>
              <w:jc w:val="center"/>
              <w:ind w:right="21"/>
              <w:spacing w:after="0"/>
              <w:rPr>
                <w:sz w:val="20"/>
                <w:szCs w:val="20"/>
                <w:color w:val="auto"/>
              </w:rPr>
            </w:pPr>
            <w:r>
              <w:rPr>
                <w:rFonts w:ascii="Arial" w:cs="Arial" w:eastAsia="Arial" w:hAnsi="Arial"/>
                <w:sz w:val="14"/>
                <w:szCs w:val="14"/>
                <w:color w:val="auto"/>
                <w:w w:val="95"/>
              </w:rPr>
              <w:t>(Address of Principal Executive Offices) (Zip Code)</w:t>
            </w:r>
          </w:p>
        </w:tc>
        <w:tc>
          <w:tcPr>
            <w:tcW w:w="1440" w:type="dxa"/>
            <w:vAlign w:val="bottom"/>
          </w:tcPr>
          <w:p>
            <w:pPr>
              <w:spacing w:after="0"/>
              <w:rPr>
                <w:sz w:val="15"/>
                <w:szCs w:val="15"/>
                <w:color w:val="auto"/>
              </w:rPr>
            </w:pPr>
          </w:p>
        </w:tc>
      </w:tr>
      <w:tr>
        <w:trPr>
          <w:trHeight w:val="452"/>
        </w:trPr>
        <w:tc>
          <w:tcPr>
            <w:tcW w:w="1820" w:type="dxa"/>
            <w:vAlign w:val="bottom"/>
          </w:tcPr>
          <w:p>
            <w:pPr>
              <w:spacing w:after="0"/>
              <w:rPr>
                <w:sz w:val="24"/>
                <w:szCs w:val="24"/>
                <w:color w:val="auto"/>
              </w:rPr>
            </w:pPr>
          </w:p>
        </w:tc>
        <w:tc>
          <w:tcPr>
            <w:tcW w:w="5640" w:type="dxa"/>
            <w:vAlign w:val="bottom"/>
          </w:tcPr>
          <w:p>
            <w:pPr>
              <w:jc w:val="center"/>
              <w:ind w:right="41"/>
              <w:spacing w:after="0"/>
              <w:rPr>
                <w:sz w:val="20"/>
                <w:szCs w:val="20"/>
                <w:color w:val="auto"/>
              </w:rPr>
            </w:pPr>
            <w:r>
              <w:rPr>
                <w:rFonts w:ascii="Arial" w:cs="Arial" w:eastAsia="Arial" w:hAnsi="Arial"/>
                <w:sz w:val="18"/>
                <w:szCs w:val="18"/>
                <w:b w:val="1"/>
                <w:bCs w:val="1"/>
                <w:color w:val="auto"/>
                <w:w w:val="90"/>
              </w:rPr>
              <w:t>(650) 266-6000</w:t>
            </w:r>
          </w:p>
        </w:tc>
        <w:tc>
          <w:tcPr>
            <w:tcW w:w="1440" w:type="dxa"/>
            <w:vAlign w:val="bottom"/>
          </w:tcPr>
          <w:p>
            <w:pPr>
              <w:spacing w:after="0"/>
              <w:rPr>
                <w:sz w:val="24"/>
                <w:szCs w:val="24"/>
                <w:color w:val="auto"/>
              </w:rPr>
            </w:pPr>
          </w:p>
        </w:tc>
      </w:tr>
      <w:tr>
        <w:trPr>
          <w:trHeight w:val="182"/>
        </w:trPr>
        <w:tc>
          <w:tcPr>
            <w:tcW w:w="1820" w:type="dxa"/>
            <w:vAlign w:val="bottom"/>
          </w:tcPr>
          <w:p>
            <w:pPr>
              <w:spacing w:after="0"/>
              <w:rPr>
                <w:sz w:val="15"/>
                <w:szCs w:val="15"/>
                <w:color w:val="auto"/>
              </w:rPr>
            </w:pPr>
          </w:p>
        </w:tc>
        <w:tc>
          <w:tcPr>
            <w:tcW w:w="5640" w:type="dxa"/>
            <w:vAlign w:val="bottom"/>
          </w:tcPr>
          <w:p>
            <w:pPr>
              <w:jc w:val="center"/>
              <w:ind w:right="21"/>
              <w:spacing w:after="0"/>
              <w:rPr>
                <w:sz w:val="20"/>
                <w:szCs w:val="20"/>
                <w:color w:val="auto"/>
              </w:rPr>
            </w:pPr>
            <w:r>
              <w:rPr>
                <w:rFonts w:ascii="Arial" w:cs="Arial" w:eastAsia="Arial" w:hAnsi="Arial"/>
                <w:sz w:val="14"/>
                <w:szCs w:val="14"/>
                <w:color w:val="auto"/>
                <w:w w:val="93"/>
              </w:rPr>
              <w:t>Registrant’s Telephone Number, Including Area Code</w:t>
            </w:r>
          </w:p>
        </w:tc>
        <w:tc>
          <w:tcPr>
            <w:tcW w:w="1440" w:type="dxa"/>
            <w:vAlign w:val="bottom"/>
          </w:tcPr>
          <w:p>
            <w:pPr>
              <w:spacing w:after="0"/>
              <w:rPr>
                <w:sz w:val="15"/>
                <w:szCs w:val="15"/>
                <w:color w:val="auto"/>
              </w:rPr>
            </w:pPr>
          </w:p>
        </w:tc>
      </w:tr>
      <w:tr>
        <w:trPr>
          <w:trHeight w:val="486"/>
        </w:trPr>
        <w:tc>
          <w:tcPr>
            <w:tcW w:w="1820" w:type="dxa"/>
            <w:vAlign w:val="bottom"/>
          </w:tcPr>
          <w:p>
            <w:pPr>
              <w:spacing w:after="0"/>
              <w:rPr>
                <w:sz w:val="24"/>
                <w:szCs w:val="24"/>
                <w:color w:val="auto"/>
              </w:rPr>
            </w:pPr>
          </w:p>
        </w:tc>
        <w:tc>
          <w:tcPr>
            <w:tcW w:w="5640" w:type="dxa"/>
            <w:vAlign w:val="bottom"/>
          </w:tcPr>
          <w:p>
            <w:pPr>
              <w:jc w:val="center"/>
              <w:ind w:right="81"/>
              <w:spacing w:after="0"/>
              <w:rPr>
                <w:sz w:val="20"/>
                <w:szCs w:val="20"/>
                <w:color w:val="auto"/>
              </w:rPr>
            </w:pPr>
            <w:r>
              <w:rPr>
                <w:rFonts w:ascii="Arial" w:cs="Arial" w:eastAsia="Arial" w:hAnsi="Arial"/>
                <w:sz w:val="14"/>
                <w:szCs w:val="14"/>
                <w:color w:val="auto"/>
                <w:w w:val="93"/>
              </w:rPr>
              <w:t>(Former Name or Former Address, if Changed Since Last Report)</w:t>
            </w:r>
          </w:p>
        </w:tc>
        <w:tc>
          <w:tcPr>
            <w:tcW w:w="1440" w:type="dxa"/>
            <w:vAlign w:val="bottom"/>
          </w:tcPr>
          <w:p>
            <w:pPr>
              <w:spacing w:after="0"/>
              <w:rPr>
                <w:sz w:val="24"/>
                <w:szCs w:val="24"/>
                <w:color w:val="auto"/>
              </w:rPr>
            </w:pPr>
          </w:p>
        </w:tc>
      </w:tr>
    </w:tbl>
    <w:p>
      <w:pPr>
        <w:spacing w:after="0" w:line="245"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w:t>
      </w:r>
      <w:r>
        <w:rPr>
          <w:rFonts w:ascii="Arial" w:cs="Arial" w:eastAsia="Arial" w:hAnsi="Arial"/>
          <w:sz w:val="15"/>
          <w:szCs w:val="15"/>
          <w:i w:val="1"/>
          <w:iCs w:val="1"/>
          <w:color w:val="auto"/>
        </w:rPr>
        <w:t>see</w:t>
      </w:r>
    </w:p>
    <w:p>
      <w:pPr>
        <w:spacing w:after="0" w:line="31" w:lineRule="exact"/>
        <w:rPr>
          <w:sz w:val="24"/>
          <w:szCs w:val="24"/>
          <w:color w:val="auto"/>
        </w:rPr>
      </w:pPr>
    </w:p>
    <w:p>
      <w:pPr>
        <w:spacing w:after="0"/>
        <w:rPr>
          <w:sz w:val="20"/>
          <w:szCs w:val="20"/>
          <w:color w:val="auto"/>
        </w:rPr>
      </w:pPr>
      <w:r>
        <w:rPr>
          <w:rFonts w:ascii="Arial" w:cs="Arial" w:eastAsia="Arial" w:hAnsi="Arial"/>
          <w:sz w:val="16"/>
          <w:szCs w:val="16"/>
          <w:color w:val="auto"/>
        </w:rPr>
        <w:t>General Instruction A.2. below):</w:t>
      </w:r>
    </w:p>
    <w:p>
      <w:pPr>
        <w:spacing w:after="0" w:line="234" w:lineRule="exact"/>
        <w:rPr>
          <w:sz w:val="24"/>
          <w:szCs w:val="24"/>
          <w:color w:val="auto"/>
        </w:rPr>
      </w:pPr>
    </w:p>
    <w:p>
      <w:pPr>
        <w:ind w:left="860" w:hanging="416"/>
        <w:spacing w:after="0"/>
        <w:tabs>
          <w:tab w:leader="none" w:pos="8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 pursuant to Rule 425 under the Securities Act (17 CFR 230.425)</w:t>
      </w:r>
    </w:p>
    <w:p>
      <w:pPr>
        <w:spacing w:after="0" w:line="207" w:lineRule="exact"/>
        <w:rPr>
          <w:rFonts w:ascii="MS PGothic" w:cs="MS PGothic" w:eastAsia="MS PGothic" w:hAnsi="MS PGothic"/>
          <w:sz w:val="16"/>
          <w:szCs w:val="16"/>
          <w:color w:val="auto"/>
        </w:rPr>
      </w:pPr>
    </w:p>
    <w:p>
      <w:pPr>
        <w:ind w:left="860" w:hanging="416"/>
        <w:spacing w:after="0"/>
        <w:tabs>
          <w:tab w:leader="none" w:pos="8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07" w:lineRule="exact"/>
        <w:rPr>
          <w:rFonts w:ascii="MS PGothic" w:cs="MS PGothic" w:eastAsia="MS PGothic" w:hAnsi="MS PGothic"/>
          <w:sz w:val="16"/>
          <w:szCs w:val="16"/>
          <w:color w:val="auto"/>
        </w:rPr>
      </w:pPr>
    </w:p>
    <w:p>
      <w:pPr>
        <w:ind w:left="820" w:hanging="376"/>
        <w:spacing w:after="0"/>
        <w:tabs>
          <w:tab w:leader="none" w:pos="8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 pursuant to Rule 14d-2(b) under the Exchange Act (17 CFR 240.14d-2(b))</w:t>
      </w:r>
    </w:p>
    <w:p>
      <w:pPr>
        <w:spacing w:after="0" w:line="207" w:lineRule="exact"/>
        <w:rPr>
          <w:rFonts w:ascii="MS PGothic" w:cs="MS PGothic" w:eastAsia="MS PGothic" w:hAnsi="MS PGothic"/>
          <w:sz w:val="16"/>
          <w:szCs w:val="16"/>
          <w:color w:val="auto"/>
        </w:rPr>
      </w:pPr>
    </w:p>
    <w:p>
      <w:pPr>
        <w:ind w:left="820" w:hanging="376"/>
        <w:spacing w:after="0"/>
        <w:tabs>
          <w:tab w:leader="none" w:pos="8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 pursuant to Rule 13e-4(c) under the Exchange Act (17 CFR 240.13e-4(c))</w:t>
      </w:r>
    </w:p>
    <w:p>
      <w:pPr>
        <w:spacing w:after="0" w:line="383"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30" w:lineRule="exact"/>
        <w:rPr>
          <w:sz w:val="24"/>
          <w:szCs w:val="24"/>
          <w:color w:val="auto"/>
        </w:rPr>
      </w:pPr>
    </w:p>
    <w:tbl>
      <w:tblPr>
        <w:tblLayout w:type="fixed"/>
        <w:tblInd w:w="10" w:type="dxa"/>
        <w:tblCellMar>
          <w:top w:w="0" w:type="dxa"/>
          <w:left w:w="0" w:type="dxa"/>
          <w:bottom w:w="0" w:type="dxa"/>
          <w:right w:w="0" w:type="dxa"/>
        </w:tblCellMar>
      </w:tblPr>
      <w:tr>
        <w:trPr>
          <w:trHeight w:val="237"/>
        </w:trPr>
        <w:tc>
          <w:tcPr>
            <w:tcW w:w="41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2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4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3"/>
        </w:trPr>
        <w:tc>
          <w:tcPr>
            <w:tcW w:w="4180" w:type="dxa"/>
            <w:vAlign w:val="bottom"/>
            <w:tcBorders>
              <w:left w:val="single" w:sz="8" w:color="auto"/>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r>
      <w:tr>
        <w:trPr>
          <w:trHeight w:val="250"/>
        </w:trPr>
        <w:tc>
          <w:tcPr>
            <w:tcW w:w="4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FLDM</w:t>
            </w:r>
          </w:p>
        </w:tc>
        <w:tc>
          <w:tcPr>
            <w:tcW w:w="4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r>
      <w:tr>
        <w:trPr>
          <w:trHeight w:val="27"/>
        </w:trPr>
        <w:tc>
          <w:tcPr>
            <w:tcW w:w="4180" w:type="dxa"/>
            <w:vAlign w:val="bottom"/>
            <w:tcBorders>
              <w:left w:val="single" w:sz="8" w:color="auto"/>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r>
    </w:tbl>
    <w:p>
      <w:pPr>
        <w:spacing w:after="0" w:line="337"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82" w:right="319" w:bottom="1130" w:gutter="0" w:footer="0" w:header="0"/>
        </w:sectPr>
      </w:pPr>
    </w:p>
    <w:bookmarkStart w:id="1" w:name="page2"/>
    <w:bookmarkEnd w:id="1"/>
    <w:p>
      <w:pPr>
        <w:spacing w:after="0" w:line="297"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4" w:lineRule="exact"/>
        <w:rPr>
          <w:sz w:val="20"/>
          <w:szCs w:val="20"/>
          <w:color w:val="auto"/>
        </w:rPr>
      </w:pPr>
    </w:p>
    <w:p>
      <w:pPr>
        <w:ind w:right="400" w:firstLine="324"/>
        <w:spacing w:after="0" w:line="359" w:lineRule="auto"/>
        <w:rPr>
          <w:sz w:val="20"/>
          <w:szCs w:val="20"/>
          <w:color w:val="auto"/>
        </w:rPr>
      </w:pPr>
      <w:r>
        <w:rPr>
          <w:rFonts w:ascii="Arial" w:cs="Arial" w:eastAsia="Arial" w:hAnsi="Arial"/>
          <w:sz w:val="16"/>
          <w:szCs w:val="16"/>
          <w:color w:val="auto"/>
        </w:rPr>
        <w:t>On March 10, 2022, Colin McCracken, the Chief Commercial Officer of Fluidigm Corporation (the “Company”), notified the Company of his intention to resign, effective as of June 12, 2022, after assisting with the Company’s transition plan with respect to his role and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107" w:right="599" w:bottom="1440" w:gutter="0" w:footer="0" w:header="0"/>
        </w:sectPr>
      </w:pPr>
    </w:p>
    <w:bookmarkStart w:id="2" w:name="page3"/>
    <w:bookmarkEnd w:id="2"/>
    <w:p>
      <w:pPr>
        <w:jc w:val="center"/>
        <w:ind w:right="-639"/>
        <w:spacing w:after="0"/>
        <w:rPr>
          <w:sz w:val="20"/>
          <w:szCs w:val="20"/>
          <w:color w:val="auto"/>
        </w:rPr>
      </w:pPr>
      <w:r>
        <w:rPr>
          <w:rFonts w:ascii="Arial" w:cs="Arial" w:eastAsia="Arial" w:hAnsi="Arial"/>
          <w:sz w:val="18"/>
          <w:szCs w:val="18"/>
          <w:b w:val="1"/>
          <w:bCs w:val="1"/>
          <w:color w:val="auto"/>
        </w:rPr>
        <w:t>SIGNATURE</w:t>
      </w:r>
    </w:p>
    <w:p>
      <w:pPr>
        <w:spacing w:after="0" w:line="24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61"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FLUIDIGM CORPORATION</w:t>
      </w:r>
    </w:p>
    <w:p>
      <w:pPr>
        <w:spacing w:after="0" w:line="364" w:lineRule="exact"/>
        <w:rPr>
          <w:sz w:val="20"/>
          <w:szCs w:val="20"/>
          <w:color w:val="auto"/>
        </w:rPr>
      </w:pPr>
    </w:p>
    <w:p>
      <w:pPr>
        <w:ind w:left="20"/>
        <w:spacing w:after="0"/>
        <w:tabs>
          <w:tab w:leader="none" w:pos="4320" w:val="left"/>
          <w:tab w:leader="none" w:pos="5060" w:val="left"/>
        </w:tabs>
        <w:rPr>
          <w:sz w:val="20"/>
          <w:szCs w:val="20"/>
          <w:color w:val="auto"/>
        </w:rPr>
      </w:pPr>
      <w:r>
        <w:rPr>
          <w:rFonts w:ascii="Arial" w:cs="Arial" w:eastAsia="Arial" w:hAnsi="Arial"/>
          <w:sz w:val="18"/>
          <w:szCs w:val="18"/>
          <w:color w:val="auto"/>
        </w:rPr>
        <w:t>Date: March 16,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/s/Nicholas S. Khadder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31750</wp:posOffset>
            </wp:positionV>
            <wp:extent cx="3282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Nicholas S. Khadder</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Senior Vice President, General Counsel, and Secretary</w:t>
      </w:r>
    </w:p>
    <w:sectPr>
      <w:pgSz w:w="11900" w:h="16838" w:orient="portrait"/>
      <w:cols w:equalWidth="0" w:num="1">
        <w:col w:w="10600"/>
      </w:cols>
      <w:pgMar w:left="320" w:top="1093"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2022-03-16T15:14:55Z</dcterms:created>
  <dcterms:modified xsi:type="dcterms:W3CDTF">2022-03-16T15:14:55Z</dcterms:modified>
</cp:coreProperties>
</file>