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31107.htm"/>
      <w:bookmarkStart w:id="1" w:name="kslab20231107"/>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November 7, 2023</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2581"/>
        <w:gridCol w:w="2296"/>
        <w:gridCol w:w="339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sz w:val="20"/>
              </w:rPr>
            </w:pPr>
            <w:r>
              <w:rPr>
                <w:rFonts w:ascii="Times New Roman" w:hAnsi="Times New Roman"/>
                <w:b w:val="false"/>
                <w:color w:val="000000"/>
                <w:sz w:val="20"/>
              </w:rPr>
              <w:t>(State or other jurisdiction of</w:t>
            </w:r>
            <w:r>
              <w:rPr>
                <w:rFonts w:ascii="Times New Roman" w:hAnsi="Times New Roman"/>
                <w:color w:val="000000"/>
                <w:sz w:val="20"/>
              </w:rPr>
              <w:t xml:space="preserve"> </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incorporation or organization)</w:t>
            </w:r>
          </w:p>
        </w:tc>
        <w:tc>
          <w:tcPr>
            <w:tcW w:w="229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(Commission File Number)</w:t>
            </w:r>
          </w:p>
        </w:tc>
        <w:tc>
          <w:tcPr>
            <w:tcW w:w="339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(I.R.S. Employer Identification Number)</w:t>
            </w:r>
          </w:p>
        </w:tc>
      </w:tr>
      <w:tr>
        <w:trPr/>
        <w:tc>
          <w:tcPr>
            <w:tcW w:w="8268" w:type="dxa"/>
            <w:gridSpan w:val="3"/>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Tower Place, Suite 2000</w:t>
            </w:r>
          </w:p>
          <w:p>
            <w:pPr>
              <w:pStyle w:val="TableContents"/>
              <w:bidi w:val="0"/>
              <w:spacing w:before="0" w:after="283"/>
              <w:jc w:val="center"/>
              <w:rPr>
                <w:rFonts w:ascii="Times New Roman" w:hAnsi="Times New Roman"/>
                <w:sz w:val="20"/>
              </w:rPr>
            </w:pPr>
            <w:r>
              <w:rPr>
                <w:rFonts w:ascii="Times New Roman" w:hAnsi="Times New Roman"/>
                <w:b/>
                <w:color w:val="000000"/>
                <w:sz w:val="20"/>
              </w:rPr>
              <w:t>South San Francisco, California</w:t>
            </w:r>
            <w:r>
              <w:rPr>
                <w:rFonts w:ascii="Times New Roman" w:hAnsi="Times New Roman"/>
                <w:color w:val="000000"/>
                <w:sz w:val="20"/>
              </w:rPr>
              <w:t xml:space="preserve"> </w:t>
            </w:r>
            <w:r>
              <w:rPr>
                <w:rFonts w:ascii="Times New Roman" w:hAnsi="Times New Roman"/>
                <w:b/>
                <w:color w:val="000000"/>
                <w:sz w:val="20"/>
              </w:rPr>
              <w:t>94080</w:t>
            </w:r>
          </w:p>
        </w:tc>
      </w:tr>
      <w:tr>
        <w:trPr/>
        <w:tc>
          <w:tcPr>
            <w:tcW w:w="8268" w:type="dxa"/>
            <w:gridSpan w:val="3"/>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(Address of principal executive offices and zip code)</w:t>
            </w:r>
          </w:p>
        </w:tc>
      </w:tr>
      <w:tr>
        <w:trPr/>
        <w:tc>
          <w:tcPr>
            <w:tcW w:w="8268" w:type="dxa"/>
            <w:gridSpan w:val="3"/>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268" w:type="dxa"/>
            <w:gridSpan w:val="3"/>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vAlign w:val="center"/>
          </w:tcPr>
          <w:p>
            <w:pPr>
              <w:pStyle w:val="TableContents"/>
              <w:bidi w:val="0"/>
              <w:spacing w:before="0" w:after="283"/>
              <w:ind w:left="0" w:right="0" w:firstLine="18"/>
              <w:jc w:val="center"/>
              <w:rPr>
                <w:color w:val="000000"/>
              </w:rPr>
            </w:pPr>
            <w:r>
              <w:rPr>
                <w:color w:val="000000"/>
              </w:rPr>
              <w:t>☐</w:t>
            </w:r>
          </w:p>
        </w:tc>
        <w:tc>
          <w:tcPr>
            <w:tcW w:w="9181" w:type="dxa"/>
            <w:tcBorders/>
            <w:vAlign w:val="center"/>
          </w:tcPr>
          <w:p>
            <w:pPr>
              <w:pStyle w:val="TableContents"/>
              <w:bidi w:val="0"/>
              <w:spacing w:before="0" w:after="283"/>
              <w:ind w:left="18" w:right="38" w:firstLine="18"/>
              <w:jc w:val="left"/>
              <w:rPr>
                <w:rFonts w:ascii="Times New Roman" w:hAnsi="Times New Roman"/>
                <w:b w:val="false"/>
                <w:color w:val="000000"/>
                <w:sz w:val="20"/>
              </w:rPr>
            </w:pPr>
            <w:r>
              <w:rPr>
                <w:rFonts w:ascii="Times New Roman" w:hAnsi="Times New Roman"/>
                <w:b w:val="false"/>
                <w:color w:val="000000"/>
                <w:sz w:val="20"/>
              </w:rPr>
              <w:t>Written communications pursuant to Rule 425 under the Securities Act (17 CFR 230.425)</w:t>
            </w:r>
          </w:p>
        </w:tc>
      </w:tr>
      <w:tr>
        <w:trPr/>
        <w:tc>
          <w:tcPr>
            <w:tcW w:w="349" w:type="dxa"/>
            <w:tcBorders/>
            <w:vAlign w:val="center"/>
          </w:tcPr>
          <w:p>
            <w:pPr>
              <w:pStyle w:val="TableContents"/>
              <w:bidi w:val="0"/>
              <w:spacing w:before="200" w:after="283"/>
              <w:jc w:val="center"/>
              <w:rPr>
                <w:color w:val="000000"/>
              </w:rPr>
            </w:pPr>
            <w:r>
              <w:rPr>
                <w:color w:val="000000"/>
              </w:rPr>
              <w:t>☐</w:t>
            </w:r>
          </w:p>
        </w:tc>
        <w:tc>
          <w:tcPr>
            <w:tcW w:w="9181"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Soliciting material pursuant to Rule 14a-12 under the Exchange Act (17 CFR 240.14a-12)</w:t>
            </w:r>
          </w:p>
        </w:tc>
      </w:tr>
      <w:tr>
        <w:trPr/>
        <w:tc>
          <w:tcPr>
            <w:tcW w:w="349" w:type="dxa"/>
            <w:tcBorders/>
            <w:vAlign w:val="center"/>
          </w:tcPr>
          <w:p>
            <w:pPr>
              <w:pStyle w:val="TableContents"/>
              <w:bidi w:val="0"/>
              <w:spacing w:before="200" w:after="283"/>
              <w:jc w:val="center"/>
              <w:rPr>
                <w:color w:val="000000"/>
              </w:rPr>
            </w:pPr>
            <w:r>
              <w:rPr>
                <w:color w:val="000000"/>
              </w:rPr>
              <w:t>☐</w:t>
            </w:r>
          </w:p>
        </w:tc>
        <w:tc>
          <w:tcPr>
            <w:tcW w:w="9181"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14d-2(b) under the Exchange Act (17 CFR 240.14d-2(b))</w:t>
            </w:r>
          </w:p>
        </w:tc>
      </w:tr>
      <w:tr>
        <w:trPr/>
        <w:tc>
          <w:tcPr>
            <w:tcW w:w="349" w:type="dxa"/>
            <w:tcBorders/>
            <w:vAlign w:val="center"/>
          </w:tcPr>
          <w:p>
            <w:pPr>
              <w:pStyle w:val="TableContents"/>
              <w:bidi w:val="0"/>
              <w:spacing w:before="200" w:after="283"/>
              <w:jc w:val="center"/>
              <w:rPr>
                <w:color w:val="000000"/>
              </w:rPr>
            </w:pPr>
            <w:r>
              <w:rPr>
                <w:color w:val="000000"/>
              </w:rPr>
              <w:t>☐</w:t>
            </w:r>
          </w:p>
        </w:tc>
        <w:tc>
          <w:tcPr>
            <w:tcW w:w="9181"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$0.001 par value per share</w:t>
            </w:r>
          </w:p>
        </w:tc>
        <w:tc>
          <w:tcPr>
            <w:tcW w:w="146"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LAB</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Nasdaq Global Select Market</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an emerging growth company as defined in Rule 12b-2 of the Exchange Act.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November 7, 2023, Standard BioTools Inc. issued a press release which included information with respect to certain financial results for the three and nine months ended September 30, 2023. The press release is attached hereto as Exhibit 99.1.</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set forth in the press release, except for the information set forth under the heading “Outlook for 2023” and under the heading “About Standard BioTools Inc.,” together with the forward-looking statement disclaimer, is incorporated by reference into this Item 2.02 of this Current Report on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set forth under the heading “Outlook for 2023” and under the heading “About Standard BioTools Inc.,” together with the forward-looking statement disclaimer, is incorporated by reference into this Item 7.01 of this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Exhibits</w:t>
      </w:r>
    </w:p>
    <w:p>
      <w:pPr>
        <w:pStyle w:val="TextBody"/>
        <w:bidi w:val="0"/>
        <w:jc w:val="left"/>
        <w:rPr/>
      </w:pPr>
      <w:r>
        <w:rPr/>
        <w:t> </w:t>
      </w:r>
    </w:p>
    <w:tbl>
      <w:tblPr>
        <w:tblW w:w="7887" w:type="dxa"/>
        <w:jc w:val="left"/>
        <w:tblInd w:w="0" w:type="dxa"/>
        <w:tblLayout w:type="fixed"/>
        <w:tblCellMar>
          <w:top w:w="28" w:type="dxa"/>
          <w:left w:w="28" w:type="dxa"/>
          <w:bottom w:w="28" w:type="dxa"/>
          <w:right w:w="28" w:type="dxa"/>
        </w:tblCellMar>
      </w:tblPr>
      <w:tblGrid>
        <w:gridCol w:w="1066"/>
        <w:gridCol w:w="164"/>
        <w:gridCol w:w="6657"/>
      </w:tblGrid>
      <w:tr>
        <w:trPr/>
        <w:tc>
          <w:tcPr>
            <w:tcW w:w="10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57"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57"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val="false"/>
                <w:color w:val="000000"/>
                <w:sz w:val="20"/>
              </w:rPr>
            </w:pPr>
            <w:r>
              <w:rPr>
                <w:rFonts w:ascii="Times New Roman" w:hAnsi="Times New Roman"/>
                <w:b w:val="false"/>
                <w:color w:val="000000"/>
                <w:sz w:val="20"/>
              </w:rPr>
              <w:t>Description</w:t>
            </w:r>
          </w:p>
        </w:tc>
      </w:tr>
      <w:tr>
        <w:trPr/>
        <w:tc>
          <w:tcPr>
            <w:tcW w:w="1066" w:type="dxa"/>
            <w:tcBorders/>
            <w:vAlign w:val="center"/>
          </w:tcPr>
          <w:p>
            <w:pPr>
              <w:pStyle w:val="TableContents"/>
              <w:bidi w:val="0"/>
              <w:spacing w:before="0" w:after="283"/>
              <w:ind w:left="30" w:right="0" w:firstLine="30"/>
              <w:jc w:val="left"/>
              <w:rPr>
                <w:rFonts w:ascii="Times New Roman" w:hAnsi="Times New Roman"/>
                <w:b w:val="false"/>
                <w:color w:val="000000"/>
                <w:sz w:val="20"/>
              </w:rPr>
            </w:pPr>
            <w:r>
              <w:rPr>
                <w:rFonts w:ascii="Times New Roman" w:hAnsi="Times New Roman"/>
                <w:b w:val="false"/>
                <w:color w:val="000000"/>
                <w:sz w:val="20"/>
              </w:rPr>
              <w:t>99.1</w:t>
            </w:r>
          </w:p>
        </w:tc>
        <w:tc>
          <w:tcPr>
            <w:tcW w:w="164"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283"/>
              <w:ind w:left="0" w:right="0" w:firstLine="18"/>
              <w:jc w:val="left"/>
              <w:rPr/>
            </w:pPr>
            <w:hyperlink w:anchor="lab-ex99_1.htm">
              <w:r>
                <w:rPr>
                  <w:rStyle w:val="InternetLink"/>
                  <w:rFonts w:ascii="Times New Roman" w:hAnsi="Times New Roman"/>
                  <w:b w:val="false"/>
                  <w:color w:val="0000FF"/>
                  <w:sz w:val="20"/>
                  <w:u w:val="single"/>
                </w:rPr>
                <w:t>Press release issued by Standard BioTools Inc., dated November 7, 2023</w:t>
              </w:r>
            </w:hyperlink>
          </w:p>
        </w:tc>
      </w:tr>
      <w:tr>
        <w:trPr/>
        <w:tc>
          <w:tcPr>
            <w:tcW w:w="1066" w:type="dxa"/>
            <w:tcBorders/>
            <w:vAlign w:val="center"/>
          </w:tcPr>
          <w:p>
            <w:pPr>
              <w:pStyle w:val="TableContents"/>
              <w:bidi w:val="0"/>
              <w:spacing w:before="0" w:after="283"/>
              <w:ind w:left="18" w:right="37" w:firstLine="18"/>
              <w:jc w:val="left"/>
              <w:rPr>
                <w:rFonts w:ascii="Times New Roman" w:hAnsi="Times New Roman"/>
                <w:b w:val="false"/>
                <w:color w:val="000000"/>
                <w:sz w:val="20"/>
              </w:rPr>
            </w:pPr>
            <w:r>
              <w:rPr>
                <w:rFonts w:ascii="Times New Roman" w:hAnsi="Times New Roman"/>
                <w:b w:val="false"/>
                <w:color w:val="000000"/>
                <w:sz w:val="20"/>
              </w:rPr>
              <w:t>104</w:t>
            </w:r>
          </w:p>
        </w:tc>
        <w:tc>
          <w:tcPr>
            <w:tcW w:w="164" w:type="dxa"/>
            <w:tcBorders/>
            <w:vAlign w:val="center"/>
          </w:tcPr>
          <w:p>
            <w:pPr>
              <w:pStyle w:val="TableContents"/>
              <w:bidi w:val="0"/>
              <w:spacing w:before="0" w:after="283"/>
              <w:ind w:left="0" w:right="0" w:firstLine="18"/>
              <w:jc w:val="left"/>
              <w:rPr/>
            </w:pPr>
            <w:r>
              <w:rPr/>
              <w:t> </w:t>
            </w:r>
          </w:p>
        </w:tc>
        <w:tc>
          <w:tcPr>
            <w:tcW w:w="6657" w:type="dxa"/>
            <w:tcBorders/>
            <w:vAlign w:val="center"/>
          </w:tcPr>
          <w:p>
            <w:pPr>
              <w:pStyle w:val="TableContents"/>
              <w:bidi w:val="0"/>
              <w:spacing w:before="0" w:after="283"/>
              <w:ind w:left="18" w:right="38" w:firstLine="18"/>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in this Item 2.02,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3064" w:type="dxa"/>
        <w:jc w:val="left"/>
        <w:tblInd w:w="0" w:type="dxa"/>
        <w:tblLayout w:type="fixed"/>
        <w:tblCellMar>
          <w:top w:w="28" w:type="dxa"/>
          <w:left w:w="28" w:type="dxa"/>
          <w:bottom w:w="28" w:type="dxa"/>
          <w:right w:w="28" w:type="dxa"/>
        </w:tblCellMar>
      </w:tblPr>
      <w:tblGrid>
        <w:gridCol w:w="181"/>
        <w:gridCol w:w="686"/>
        <w:gridCol w:w="166"/>
        <w:gridCol w:w="2031"/>
      </w:tblGrid>
      <w:tr>
        <w:trPr/>
        <w:tc>
          <w:tcPr>
            <w:tcW w:w="1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ind w:left="0" w:right="35" w:hanging="0"/>
              <w:jc w:val="left"/>
              <w:rPr>
                <w:rFonts w:ascii="Times New Roman" w:hAnsi="Times New Roman"/>
                <w:b w:val="false"/>
                <w:color w:val="000000"/>
                <w:sz w:val="20"/>
              </w:rPr>
            </w:pPr>
            <w:r>
              <w:rPr>
                <w:rFonts w:ascii="Times New Roman" w:hAnsi="Times New Roman"/>
                <w:b w:val="false"/>
                <w:color w:val="000000"/>
                <w:sz w:val="20"/>
              </w:rPr>
              <w:t>Date: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20" w:right="0" w:firstLine="20"/>
              <w:jc w:val="left"/>
              <w:rPr>
                <w:rFonts w:ascii="Times New Roman" w:hAnsi="Times New Roman"/>
                <w:b w:val="false"/>
                <w:color w:val="000000"/>
                <w:sz w:val="20"/>
              </w:rPr>
            </w:pPr>
            <w:r>
              <w:rPr>
                <w:rFonts w:ascii="Times New Roman" w:hAnsi="Times New Roman"/>
                <w:b w:val="false"/>
                <w:color w:val="000000"/>
                <w:sz w:val="20"/>
              </w:rPr>
              <w:t>November 7, 2023</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83" w:type="dxa"/>
            <w:gridSpan w:val="3"/>
            <w:tcBorders/>
            <w:tcMar>
              <w:top w:w="0" w:type="dxa"/>
              <w:left w:w="0" w:type="dxa"/>
              <w:bottom w:w="0" w:type="dxa"/>
              <w:right w:w="0" w:type="dxa"/>
            </w:tcMar>
            <w:vAlign w:val="center"/>
          </w:tcPr>
          <w:p>
            <w:pPr>
              <w:pStyle w:val="TableContents"/>
              <w:bidi w:val="0"/>
              <w:spacing w:before="0" w:after="283"/>
              <w:ind w:left="2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ind w:left="20" w:right="35" w:firstLine="20"/>
              <w:jc w:val="left"/>
              <w:rPr>
                <w:rFonts w:ascii="Times New Roman" w:hAnsi="Times New Roman"/>
                <w:b w:val="false"/>
                <w:color w:val="000000"/>
                <w:sz w:val="20"/>
              </w:rPr>
            </w:pPr>
            <w:r>
              <w:rPr>
                <w:rFonts w:ascii="Times New Roman" w:hAnsi="Times New Roman"/>
                <w:b w:val="false"/>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20" w:right="0" w:firstLine="20"/>
              <w:jc w:val="left"/>
              <w:rPr>
                <w:rFonts w:ascii="Times New Roman" w:hAnsi="Times New Roman"/>
                <w:b w:val="false"/>
                <w:color w:val="000000"/>
                <w:sz w:val="20"/>
              </w:rPr>
            </w:pPr>
            <w:r>
              <w:rPr>
                <w:rFonts w:ascii="Times New Roman" w:hAnsi="Times New Roman"/>
                <w:b w:val="false"/>
                <w:color w:val="000000"/>
                <w:sz w:val="20"/>
              </w:rPr>
              <w:t>/s/ Jeff Black</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ind w:left="20" w:right="35" w:firstLine="20"/>
              <w:jc w:val="left"/>
              <w:rPr>
                <w:rFonts w:ascii="Times New Roman" w:hAnsi="Times New Roman"/>
                <w:b w:val="false"/>
                <w:color w:val="000000"/>
                <w:sz w:val="20"/>
              </w:rPr>
            </w:pPr>
            <w:r>
              <w:rPr>
                <w:rFonts w:ascii="Times New Roman" w:hAnsi="Times New Roman"/>
                <w:b w:val="false"/>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20" w:right="0" w:firstLine="20"/>
              <w:jc w:val="left"/>
              <w:rPr>
                <w:rFonts w:ascii="Times New Roman" w:hAnsi="Times New Roman"/>
                <w:b w:val="false"/>
                <w:color w:val="000000"/>
                <w:sz w:val="20"/>
              </w:rPr>
            </w:pPr>
            <w:r>
              <w:rPr>
                <w:rFonts w:ascii="Times New Roman" w:hAnsi="Times New Roman"/>
                <w:b w:val="false"/>
                <w:color w:val="000000"/>
                <w:sz w:val="20"/>
              </w:rPr>
              <w:t>Jeff Black</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ind w:left="20" w:right="35" w:firstLine="20"/>
              <w:jc w:val="left"/>
              <w:rPr>
                <w:rFonts w:ascii="Times New Roman" w:hAnsi="Times New Roman"/>
                <w:b w:val="false"/>
                <w:color w:val="000000"/>
                <w:sz w:val="20"/>
              </w:rPr>
            </w:pPr>
            <w:r>
              <w:rPr>
                <w:rFonts w:ascii="Times New Roman" w:hAnsi="Times New Roman"/>
                <w:b w:val="false"/>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20" w:right="0" w:firstLine="20"/>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ind w:left="20" w:right="35"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ind w:left="20" w:right="35"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bookmarkStart w:id="3" w:name="lab-ex99_1.htm"/>
      <w:bookmarkStart w:id="4" w:name="kslabex99_1"/>
      <w:bookmarkEnd w:id="3"/>
      <w:bookmarkEnd w:id="4"/>
      <w:r>
        <w:rPr/>
        <w:t> </w:t>
      </w:r>
      <w:r>
        <w:br w:type="page"/>
      </w:r>
    </w:p>
    <w:p>
      <w:pPr>
        <w:pStyle w:val="TextBody"/>
        <w:bidi w:val="0"/>
        <w:spacing w:before="0" w:after="240"/>
        <w:jc w:val="right"/>
        <w:rPr>
          <w:rFonts w:ascii="Calibri;sans-serif" w:hAnsi="Calibri;sans-serif"/>
          <w:b/>
          <w:color w:val="000000"/>
          <w:sz w:val="20"/>
        </w:rPr>
      </w:pPr>
      <w:r>
        <w:rPr>
          <w:rFonts w:ascii="Calibri;sans-serif" w:hAnsi="Calibri;sans-serif"/>
          <w:b/>
          <w:color w:val="000000"/>
          <w:sz w:val="20"/>
        </w:rPr>
        <w:t>Exhibit 99.1</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Reports Third Quarter and Year-to-Date 2023 Financial Results</w:t>
      </w:r>
    </w:p>
    <w:p>
      <w:pPr>
        <w:pStyle w:val="TextBody"/>
        <w:bidi w:val="0"/>
        <w:spacing w:before="120" w:after="283"/>
        <w:jc w:val="center"/>
        <w:rPr>
          <w:color w:val="000000"/>
        </w:rPr>
      </w:pPr>
      <w:r>
        <w:rPr>
          <w:color w:val="000000"/>
        </w:rPr>
        <w:t>•</w:t>
      </w:r>
    </w:p>
    <w:p>
      <w:pPr>
        <w:pStyle w:val="TextBody"/>
        <w:bidi w:val="0"/>
        <w:spacing w:before="120" w:after="283"/>
        <w:jc w:val="center"/>
        <w:rPr>
          <w:rFonts w:ascii="Times New Roman" w:hAnsi="Times New Roman"/>
          <w:b w:val="false"/>
          <w:i/>
          <w:color w:val="000000"/>
          <w:sz w:val="22"/>
        </w:rPr>
      </w:pPr>
      <w:r>
        <w:rPr>
          <w:rFonts w:ascii="Times New Roman" w:hAnsi="Times New Roman"/>
          <w:b w:val="false"/>
          <w:i/>
          <w:color w:val="000000"/>
          <w:sz w:val="22"/>
        </w:rPr>
        <w:t>Year-to-date revenue growth, gross margin expansion and operating expense reduction are testament to continued execution against financial objectives</w:t>
      </w:r>
    </w:p>
    <w:p>
      <w:pPr>
        <w:pStyle w:val="TextBody"/>
        <w:bidi w:val="0"/>
        <w:spacing w:before="120" w:after="283"/>
        <w:jc w:val="center"/>
        <w:rPr>
          <w:color w:val="000000"/>
        </w:rPr>
      </w:pPr>
      <w:r>
        <w:rPr>
          <w:color w:val="000000"/>
        </w:rPr>
        <w:t>•</w:t>
      </w:r>
    </w:p>
    <w:p>
      <w:pPr>
        <w:pStyle w:val="TextBody"/>
        <w:bidi w:val="0"/>
        <w:spacing w:before="120" w:after="283"/>
        <w:jc w:val="center"/>
        <w:rPr>
          <w:rFonts w:ascii="Times New Roman" w:hAnsi="Times New Roman"/>
          <w:b w:val="false"/>
          <w:i/>
          <w:color w:val="000000"/>
          <w:sz w:val="22"/>
        </w:rPr>
      </w:pPr>
      <w:r>
        <w:rPr>
          <w:rFonts w:ascii="Times New Roman" w:hAnsi="Times New Roman"/>
          <w:b w:val="false"/>
          <w:i/>
          <w:color w:val="000000"/>
          <w:sz w:val="22"/>
        </w:rPr>
        <w:t>Planned merger with SomaLogic activates strategic M&amp;A thesis</w:t>
      </w:r>
    </w:p>
    <w:p>
      <w:pPr>
        <w:pStyle w:val="TextBody"/>
        <w:bidi w:val="0"/>
        <w:jc w:val="center"/>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SOUTH SAN FRANCISCO, Calif., November 7, 2023 — Standard BioTools Inc. (“SBI” or the “Company”) (Nasdaq: LAB), driven by a bold purpose – Unleashing tools to accelerate breakthroughs in human health – today reported financial results for the third quarter ended September 30, 2023.</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2023 Selected Financial Results</w:t>
      </w:r>
    </w:p>
    <w:p>
      <w:pPr>
        <w:pStyle w:val="TextBody"/>
        <w:bidi w:val="0"/>
        <w:jc w:val="left"/>
        <w:rPr/>
      </w:pPr>
      <w:r>
        <w:rPr/>
        <w:t> </w:t>
      </w:r>
    </w:p>
    <w:tbl>
      <w:tblPr>
        <w:tblW w:w="7184" w:type="dxa"/>
        <w:jc w:val="left"/>
        <w:tblInd w:w="0" w:type="dxa"/>
        <w:tblLayout w:type="fixed"/>
        <w:tblCellMar>
          <w:top w:w="28" w:type="dxa"/>
          <w:left w:w="28" w:type="dxa"/>
          <w:bottom w:w="28" w:type="dxa"/>
          <w:right w:w="28" w:type="dxa"/>
        </w:tblCellMar>
      </w:tblPr>
      <w:tblGrid>
        <w:gridCol w:w="3451"/>
        <w:gridCol w:w="412"/>
        <w:gridCol w:w="1118"/>
        <w:gridCol w:w="241"/>
        <w:gridCol w:w="146"/>
        <w:gridCol w:w="438"/>
        <w:gridCol w:w="1092"/>
        <w:gridCol w:w="286"/>
      </w:tblGrid>
      <w:tr>
        <w:trPr/>
        <w:tc>
          <w:tcPr>
            <w:tcW w:w="34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530"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Quarter Ended</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Nine Months Ended</w:t>
            </w:r>
          </w:p>
        </w:tc>
        <w:tc>
          <w:tcPr>
            <w:tcW w:w="286"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rFonts w:ascii="Calibri;sans-serif" w:hAnsi="Calibri;sans-serif"/>
                <w:b/>
                <w:i/>
                <w:color w:val="000000"/>
                <w:sz w:val="16"/>
              </w:rPr>
            </w:pPr>
            <w:r>
              <w:rPr>
                <w:rFonts w:ascii="Calibri;sans-serif" w:hAnsi="Calibri;sans-serif"/>
                <w:b/>
                <w:i/>
                <w:color w:val="000000"/>
                <w:sz w:val="16"/>
              </w:rPr>
              <w:t>(Unaudited, in millions, except percentages)</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412"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1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78.2</w:t>
            </w:r>
          </w:p>
        </w:tc>
        <w:tc>
          <w:tcPr>
            <w:tcW w:w="286"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GAAP gross margin</w:t>
            </w:r>
          </w:p>
        </w:tc>
        <w:tc>
          <w:tcPr>
            <w:tcW w:w="41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44.0</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47.5</w:t>
            </w:r>
          </w:p>
        </w:tc>
        <w:tc>
          <w:tcPr>
            <w:tcW w:w="28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Non-GAAP gross margin</w:t>
            </w:r>
          </w:p>
        </w:tc>
        <w:tc>
          <w:tcPr>
            <w:tcW w:w="412"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57.0</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60.3</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5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Operating expenses</w:t>
            </w:r>
          </w:p>
        </w:tc>
        <w:tc>
          <w:tcPr>
            <w:tcW w:w="412"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1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92.3</w:t>
            </w:r>
          </w:p>
        </w:tc>
        <w:tc>
          <w:tcPr>
            <w:tcW w:w="286"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Non-GAAP operating expenses</w:t>
            </w:r>
          </w:p>
        </w:tc>
        <w:tc>
          <w:tcPr>
            <w:tcW w:w="412"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1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74.3</w:t>
            </w:r>
          </w:p>
        </w:tc>
        <w:tc>
          <w:tcPr>
            <w:tcW w:w="286"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412"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1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(21.2</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(55.2</w:t>
            </w:r>
          </w:p>
        </w:tc>
        <w:tc>
          <w:tcPr>
            <w:tcW w:w="28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412"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1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(21.0</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(54.9</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5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Non-GAAP adjusted EBITDA</w:t>
            </w:r>
          </w:p>
        </w:tc>
        <w:tc>
          <w:tcPr>
            <w:tcW w:w="412"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1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(27.1</w:t>
            </w:r>
          </w:p>
        </w:tc>
        <w:tc>
          <w:tcPr>
            <w:tcW w:w="28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restricted cash,</w:t>
              <w:br/>
              <w:t>   and short-term investments</w:t>
            </w:r>
          </w:p>
        </w:tc>
        <w:tc>
          <w:tcPr>
            <w:tcW w:w="412"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1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129.6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Financial Highlights Compared to 2022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Instrument sales grew 47% year-to-date and 14% in the third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Total revenue increased 10% year-to-date and declined 1% in the third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Non-GAAP gross margin expanded by 1,000 basis points year-to-date and 830 basis points in the third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Non-GAAP operating expenses declined over $19 million, or 21%, year-to-date and over $5 million, or 17%, in the third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Non-GAAP adjusted EBITDA loss improved over $30 million year-to-date and $7 million in the third quarter;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Operating cash use decreased 58% to $30 million year-to-date and decreased 53% to $12 million in the third quarter.</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b w:val="false"/>
          <w:color w:val="000000"/>
          <w:sz w:val="22"/>
        </w:rPr>
        <w:t>We are pleased with our third quarter results, which were in line with expectations, amid a challenging macroeconomic backdrop and legacy headwinds that we continue to navigate,” said Michael Egholm, PhD, President and Chief Executive Officer of Standard BioTools. “We are maintaining a disciplined approach to commercial and R&amp;D investment to fuel growth and a continued focus on operational excellence. The progress we have made against our strategic objectives has allowed us to raise our 2023 financial outlook, and we believe we are well on track to execute our long-term transformation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Egholm added, “That work is establishing a platform that will support our evolution into a diversified leader in life science tools. Our planned merger with SomaLogic not only activates and fuels our strategic objective to unlock value in a highly fragmented space, it also enhances revenue growth with new technological and commercial opportunities</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and creates synergies and scale that will accelerate our combined path to profitability. To truly unleash breakthroughs in human health, we believe that life science research needs a comprehensive platform of cutting-edge technology backed by a customer-focused organization with deep, large-enterprise expertise. SBI is positioning itself to best answer that call.”</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A reconciliation of non-GAAP gross margin, non-GAAP operating expenses, and non-GAAP adjusted EBITDA is provided in the financial schedules that are part of this press release. An explanation of these non-GAAP financial measures is also included below under the heading “Use of Non-GAAP Financial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Business Update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Proteomics (Mass Cytometry):</w:t>
      </w:r>
      <w:r>
        <w:rPr>
          <w:rFonts w:ascii="Times New Roman" w:hAnsi="Times New Roman"/>
          <w:color w:val="000000"/>
          <w:sz w:val="20"/>
        </w:rPr>
        <w:t xml:space="preserve"> </w:t>
      </w:r>
      <w:r>
        <w:rPr>
          <w:rFonts w:ascii="Times New Roman" w:hAnsi="Times New Roman"/>
          <w:b w:val="false"/>
          <w:color w:val="000000"/>
          <w:sz w:val="22"/>
        </w:rPr>
        <w:t>Revenue growth has continued with disciplined commercial execution behind the launch of the Hyperion XTi</w:t>
      </w:r>
      <w:r>
        <w:rPr>
          <w:rFonts w:ascii="Times New Roman" w:hAnsi="Times New Roman"/>
          <w:b w:val="false"/>
          <w:color w:val="000000"/>
          <w:sz w:val="15"/>
        </w:rPr>
        <w:t>TM</w:t>
      </w:r>
      <w:r>
        <w:rPr>
          <w:rFonts w:ascii="Times New Roman" w:hAnsi="Times New Roman"/>
          <w:color w:val="000000"/>
          <w:sz w:val="20"/>
        </w:rPr>
        <w:t xml:space="preserve"> </w:t>
      </w:r>
      <w:r>
        <w:rPr>
          <w:rFonts w:ascii="Times New Roman" w:hAnsi="Times New Roman"/>
          <w:b w:val="false"/>
          <w:color w:val="000000"/>
          <w:sz w:val="22"/>
        </w:rPr>
        <w:t>Imaging System in April 2023. The system’s market-leading data quality and throughput continue to be well received.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Genomics (Microfluidics): </w:t>
      </w:r>
      <w:r>
        <w:rPr>
          <w:rFonts w:ascii="Times New Roman" w:hAnsi="Times New Roman"/>
          <w:b w:val="false"/>
          <w:color w:val="000000"/>
          <w:sz w:val="22"/>
        </w:rPr>
        <w:t>Revenue has stabilized, leading to a breakeven operating contribution on a year-to-date basis. The improvement is primarily attributable to a strategic portfolio consolidation that prioritized the upgraded Biomark X9</w:t>
      </w:r>
      <w:r>
        <w:rPr>
          <w:rFonts w:ascii="Times New Roman" w:hAnsi="Times New Roman"/>
          <w:b w:val="false"/>
          <w:color w:val="000000"/>
          <w:sz w:val="15"/>
        </w:rPr>
        <w:t xml:space="preserve">TM </w:t>
      </w:r>
      <w:r>
        <w:rPr>
          <w:rFonts w:ascii="Times New Roman" w:hAnsi="Times New Roman"/>
          <w:b w:val="false"/>
          <w:color w:val="000000"/>
          <w:sz w:val="22"/>
        </w:rPr>
        <w:t>System for high-throughput genomics, as well as a new commercial approach focused on OEMs and high-volume accounts.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Corporate:</w:t>
      </w:r>
      <w:r>
        <w:rPr>
          <w:rFonts w:ascii="Times New Roman" w:hAnsi="Times New Roman"/>
          <w:color w:val="000000"/>
          <w:sz w:val="20"/>
        </w:rPr>
        <w:t xml:space="preserve"> </w:t>
      </w:r>
      <w:r>
        <w:rPr>
          <w:rFonts w:ascii="Times New Roman" w:hAnsi="Times New Roman"/>
          <w:b w:val="false"/>
          <w:color w:val="000000"/>
          <w:sz w:val="22"/>
        </w:rPr>
        <w:t>On October 4, 2023, the Company announced an all-stock merger with SomaLogic (Nasdaq: SLGC), which is expected to build a diversified leader in life sciences tools. The Company expects to close the merger in the first quarter of 2024, subject to approval by both companies’ stockholders, expiration of the waiting period under the Hart-Scott-Rodino Antitrust Improvements Act of 1976 and satisfaction of other customary closing conditions.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Outlook for 2023</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As previously announced on October 4, 2023, the Company expects total revenue of $100 million to $105 million for the full year 2023. The Company also expects GAAP gross margin of approximately 47% and non-GAAP gross margin of approximately 60% (which excludes the impact of technology amortization, depreciation and stock-based compensation) for the full year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A reconciliation of non-GAAP gross margin, non-GAAP operating expenses, and non-GAAP adjusted EBITDA is provided in the financial schedules that are part of this press release. An explanation of these non-GAAP financial measures is also included below under the heading “Use of Non-GAAP Financial Information.”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The Company continues to monitor the potential and uncertain impact of adverse economic conditions globally. Continued or sustained inflationary or recessionary pressures could impact the Company’s ability to achieve this financial outlook.</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Conference Call Information</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Standard BioTools will host a conference call and webcast today at 1:30 p.m. PT, 4:30 p.m. ET, to discuss third quarter 2023 financial results and operational progress as well as to provide additional color on its strategic actions.</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Individuals interested in listening to the conference call may do so by dialing: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US domestic callers: (888) 346-3970</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Outside US callers: (412) 902-4297</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Live audio of the webcast will be available online from the Investor Relations page of the Company’s website. The webcast will also be archived and available on the website.</w:t>
      </w:r>
    </w:p>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Our investor presentation, including an appendix with Supplemental Financial Information, has been posted on our website concurrent with this news release.</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Use of Non-GAAP Financial Information</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Standard BioTools has presented certain financial information in accordance with U.S. GAAP and also on a non-GAAP basis. The non-GAAP financial measures included in this press release are non-GAAP gross margin,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Use of 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This press release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financial outlook, including related to revenues, margin, and operating expenses; statements regarding future financial performance and expectations, operational and strategic plans, deployment of capital, cash runway and sufficiency of cash resources, potential M&amp;A activity, potential restructuring plans; and expectations with respect to the planned merger of Standard BioTools and SomaLogic, including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and uncertainties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Standard BioTools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Standard BioTools Inc. (Nasdaq: LAB), previously known as Fluidigm Corporation, is driven by a bold purpose –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Twitter®, Facebook®, LinkedIn, and YouTube</w:t>
      </w:r>
      <w:r>
        <w:rPr>
          <w:rFonts w:ascii="Times New Roman" w:hAnsi="Times New Roman"/>
          <w:b w:val="false"/>
          <w:color w:val="000000"/>
          <w:sz w:val="15"/>
        </w:rPr>
        <w:t>TM</w:t>
      </w:r>
      <w:r>
        <w:rPr>
          <w:rFonts w:ascii="Times New Roman" w:hAnsi="Times New Roman"/>
          <w:b w:val="false"/>
          <w:color w:val="000000"/>
          <w:sz w:val="22"/>
        </w:rPr>
        <w:t xml:space="preserv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w:t>
      </w:r>
      <w:r>
        <w:rPr>
          <w:rFonts w:ascii="Times New Roman" w:hAnsi="Times New Roman"/>
          <w:b/>
          <w:color w:val="000000"/>
          <w:sz w:val="22"/>
        </w:rPr>
        <w:t>Research Use Only</w:t>
      </w:r>
      <w:r>
        <w:rPr>
          <w:rFonts w:ascii="Times New Roman" w:hAnsi="Times New Roman"/>
          <w:b w:val="false"/>
          <w:color w:val="000000"/>
          <w:sz w:val="22"/>
        </w:rPr>
        <w:t>. Not for use in diagnostic procedures.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Available Information</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Standard BioTools uses its website (standardbio.com), investor site (investors.standardbio.com), corporate Twitter account (@Standard_BioT), Facebook page (facebook.com/StandardBioT), and LinkedIn page (linkedin.com/company/standard-biotools)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Additional Information and Where to Find It</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In connection with the proposed merger of Standard BioTools and SomaLogic and the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pStyle w:val="TextBody"/>
        <w:bidi w:val="0"/>
        <w:jc w:val="both"/>
        <w:rPr>
          <w:rFonts w:ascii="Times New Roman" w:hAnsi="Times New Roman"/>
          <w:b/>
          <w:color w:val="000000"/>
          <w:sz w:val="22"/>
        </w:rPr>
      </w:pPr>
      <w:r>
        <w:rPr>
          <w:rFonts w:ascii="Times New Roman" w:hAnsi="Times New Roman"/>
          <w:b/>
          <w:color w:val="000000"/>
          <w:sz w:val="22"/>
        </w:rPr>
        <w:t>Participants in the Solicitation</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June 9, 2023 and October 4,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July 28, 2023 and October 4,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pStyle w:val="TextBody"/>
        <w:bidi w:val="0"/>
        <w:jc w:val="both"/>
        <w:rPr>
          <w:rFonts w:ascii="Times New Roman" w:hAnsi="Times New Roman"/>
          <w:b/>
          <w:color w:val="000000"/>
          <w:sz w:val="22"/>
        </w:rPr>
      </w:pPr>
      <w:r>
        <w:rPr>
          <w:rFonts w:ascii="Times New Roman" w:hAnsi="Times New Roman"/>
          <w:b/>
          <w:color w:val="000000"/>
          <w:sz w:val="22"/>
        </w:rPr>
        <w:t>Investor Contacts</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Peter DeNardo</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415 389 6400</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ir@standardbio.com</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6"/>
        <w:gridCol w:w="146"/>
        <w:gridCol w:w="269"/>
        <w:gridCol w:w="942"/>
        <w:gridCol w:w="212"/>
        <w:gridCol w:w="186"/>
        <w:gridCol w:w="269"/>
        <w:gridCol w:w="942"/>
        <w:gridCol w:w="166"/>
        <w:gridCol w:w="146"/>
        <w:gridCol w:w="253"/>
        <w:gridCol w:w="884"/>
        <w:gridCol w:w="199"/>
        <w:gridCol w:w="175"/>
        <w:gridCol w:w="253"/>
        <w:gridCol w:w="1011"/>
        <w:gridCol w:w="47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264" w:type="dxa"/>
            <w:gridSpan w:val="2"/>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ind w:left="0" w:right="0" w:firstLine="280"/>
              <w:jc w:val="right"/>
              <w:rPr/>
            </w:pPr>
            <w:r>
              <w:rPr/>
              <w:t> </w:t>
            </w:r>
          </w:p>
        </w:tc>
      </w:tr>
      <w:tr>
        <w:trPr/>
        <w:tc>
          <w:tcPr>
            <w:tcW w:w="3676" w:type="dxa"/>
            <w:tcBorders/>
            <w:shd w:fill="FFFFFF"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18,711</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57,814</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51,535</w:t>
            </w:r>
          </w:p>
        </w:tc>
        <w:tc>
          <w:tcPr>
            <w:tcW w:w="476" w:type="dxa"/>
            <w:tcBorders/>
            <w:shd w:fill="FFFFFF" w:val="clear"/>
            <w:vAlign w:val="center"/>
          </w:tcPr>
          <w:p>
            <w:pPr>
              <w:pStyle w:val="TableContents"/>
              <w:bidi w:val="0"/>
              <w:spacing w:before="0" w:after="283"/>
              <w:ind w:left="0" w:right="0" w:firstLine="280"/>
              <w:jc w:val="left"/>
              <w:rPr/>
            </w:pPr>
            <w:r>
              <w:rPr/>
              <w:t> </w:t>
            </w:r>
          </w:p>
        </w:tc>
      </w:tr>
      <w:tr>
        <w:trPr/>
        <w:tc>
          <w:tcPr>
            <w:tcW w:w="3676" w:type="dxa"/>
            <w:tcBorders/>
            <w:shd w:fill="CFF0FC"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Service and other revenue</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20,338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19,392</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78,152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70,927</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264" w:type="dxa"/>
            <w:gridSpan w:val="2"/>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ind w:left="0" w:right="0" w:firstLine="280"/>
              <w:jc w:val="right"/>
              <w:rPr/>
            </w:pPr>
            <w:r>
              <w:rPr/>
              <w:t> </w:t>
            </w:r>
          </w:p>
        </w:tc>
      </w:tr>
      <w:tr>
        <w:trPr/>
        <w:tc>
          <w:tcPr>
            <w:tcW w:w="3676" w:type="dxa"/>
            <w:tcBorders/>
            <w:shd w:fill="FFFFFF"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11,403</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33,276</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39,168</w:t>
            </w:r>
          </w:p>
        </w:tc>
        <w:tc>
          <w:tcPr>
            <w:tcW w:w="476" w:type="dxa"/>
            <w:tcBorders/>
            <w:shd w:fill="FFFFFF" w:val="clear"/>
            <w:vAlign w:val="center"/>
          </w:tcPr>
          <w:p>
            <w:pPr>
              <w:pStyle w:val="TableContents"/>
              <w:bidi w:val="0"/>
              <w:spacing w:before="0" w:after="283"/>
              <w:ind w:left="0" w:right="0" w:firstLine="280"/>
              <w:jc w:val="left"/>
              <w:rPr/>
            </w:pPr>
            <w:r>
              <w:rPr/>
              <w:t> </w:t>
            </w:r>
          </w:p>
        </w:tc>
      </w:tr>
      <w:tr>
        <w:trPr/>
        <w:tc>
          <w:tcPr>
            <w:tcW w:w="3676" w:type="dxa"/>
            <w:tcBorders/>
            <w:shd w:fill="CFF0FC"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Cost of service and other revenue</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5,875</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14,213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41,059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45,043</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11,154</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37,093</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25,884</w:t>
            </w:r>
          </w:p>
        </w:tc>
        <w:tc>
          <w:tcPr>
            <w:tcW w:w="476"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2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264" w:type="dxa"/>
            <w:gridSpan w:val="2"/>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ind w:left="0" w:right="0" w:firstLine="280"/>
              <w:jc w:val="right"/>
              <w:rPr/>
            </w:pPr>
            <w:r>
              <w:rPr/>
              <w:t> </w:t>
            </w:r>
          </w:p>
        </w:tc>
      </w:tr>
      <w:tr>
        <w:trPr/>
        <w:tc>
          <w:tcPr>
            <w:tcW w:w="3676" w:type="dxa"/>
            <w:tcBorders/>
            <w:shd w:fill="CFF0FC"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6,370</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19,039</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29,957</w:t>
            </w:r>
          </w:p>
        </w:tc>
        <w:tc>
          <w:tcPr>
            <w:tcW w:w="476" w:type="dxa"/>
            <w:tcBorders/>
            <w:shd w:fill="CFF0FC" w:val="clear"/>
            <w:vAlign w:val="center"/>
          </w:tcPr>
          <w:p>
            <w:pPr>
              <w:pStyle w:val="TableContents"/>
              <w:bidi w:val="0"/>
              <w:spacing w:before="0" w:after="283"/>
              <w:ind w:left="0" w:right="0" w:firstLine="280"/>
              <w:jc w:val="left"/>
              <w:rPr/>
            </w:pPr>
            <w:r>
              <w:rPr/>
              <w:t> </w:t>
            </w:r>
          </w:p>
        </w:tc>
      </w:tr>
      <w:tr>
        <w:trPr/>
        <w:tc>
          <w:tcPr>
            <w:tcW w:w="3676" w:type="dxa"/>
            <w:tcBorders/>
            <w:shd w:fill="FFFFFF"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22,292</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66,187</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82,061</w:t>
            </w:r>
          </w:p>
        </w:tc>
        <w:tc>
          <w:tcPr>
            <w:tcW w:w="476" w:type="dxa"/>
            <w:tcBorders/>
            <w:shd w:fill="FFFFFF" w:val="clear"/>
            <w:vAlign w:val="center"/>
          </w:tcPr>
          <w:p>
            <w:pPr>
              <w:pStyle w:val="TableContents"/>
              <w:bidi w:val="0"/>
              <w:spacing w:before="0" w:after="283"/>
              <w:ind w:left="0" w:right="0" w:firstLine="280"/>
              <w:jc w:val="left"/>
              <w:rPr/>
            </w:pPr>
            <w:r>
              <w:rPr/>
              <w:t> </w:t>
            </w:r>
          </w:p>
        </w:tc>
      </w:tr>
      <w:tr>
        <w:trPr/>
        <w:tc>
          <w:tcPr>
            <w:tcW w:w="3676" w:type="dxa"/>
            <w:tcBorders/>
            <w:shd w:fill="CFF0FC"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Restructuring and related charges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1,998</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5,415</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5,102</w:t>
            </w:r>
          </w:p>
        </w:tc>
        <w:tc>
          <w:tcPr>
            <w:tcW w:w="476" w:type="dxa"/>
            <w:tcBorders/>
            <w:shd w:fill="CFF0FC" w:val="clear"/>
            <w:vAlign w:val="center"/>
          </w:tcPr>
          <w:p>
            <w:pPr>
              <w:pStyle w:val="TableContents"/>
              <w:bidi w:val="0"/>
              <w:spacing w:before="0" w:after="283"/>
              <w:ind w:left="0" w:right="0" w:firstLine="280"/>
              <w:jc w:val="left"/>
              <w:rPr/>
            </w:pPr>
            <w:r>
              <w:rPr/>
              <w:t> </w:t>
            </w:r>
          </w:p>
        </w:tc>
      </w:tr>
      <w:tr>
        <w:trPr/>
        <w:tc>
          <w:tcPr>
            <w:tcW w:w="3676" w:type="dxa"/>
            <w:tcBorders/>
            <w:shd w:fill="FFFFFF" w:val="clear"/>
            <w:vAlign w:val="center"/>
          </w:tcPr>
          <w:p>
            <w:pPr>
              <w:pStyle w:val="TableContents"/>
              <w:bidi w:val="0"/>
              <w:spacing w:before="0" w:after="283"/>
              <w:ind w:left="280" w:right="0" w:firstLine="280"/>
              <w:jc w:val="left"/>
              <w:rPr>
                <w:rFonts w:ascii="Times New Roman" w:hAnsi="Times New Roman"/>
                <w:b w:val="false"/>
                <w:color w:val="000000"/>
                <w:sz w:val="20"/>
              </w:rPr>
            </w:pPr>
            <w:r>
              <w:rPr>
                <w:rFonts w:ascii="Times New Roman" w:hAnsi="Times New Roman"/>
                <w:b w:val="false"/>
                <w:color w:val="000000"/>
                <w:sz w:val="20"/>
              </w:rPr>
              <w:t>Transaction-related expenses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3,857</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32,326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92,307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120,977</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(21,172</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(55,214</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(95,093</w:t>
            </w:r>
          </w:p>
        </w:tc>
        <w:tc>
          <w:tcPr>
            <w:tcW w:w="4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(1,223</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(3,469</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(3,141</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forward sale of Series B Preferred Stock</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(60,081</w:t>
            </w:r>
          </w:p>
        </w:tc>
        <w:tc>
          <w:tcPr>
            <w:tcW w:w="4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Bridge Loans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(13,719</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(20,947</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(54,266</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(172,153</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2,900</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(54,880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(169,253</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used in computing net loss per share, basic and</w:t>
              <w:br/>
              <w:t>   diluted</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79,152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78,967</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77,924</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00"/>
        <w:gridCol w:w="426"/>
        <w:gridCol w:w="254"/>
        <w:gridCol w:w="1019"/>
        <w:gridCol w:w="166"/>
        <w:gridCol w:w="146"/>
        <w:gridCol w:w="386"/>
        <w:gridCol w:w="1433"/>
        <w:gridCol w:w="475"/>
      </w:tblGrid>
      <w:tr>
        <w:trPr/>
        <w:tc>
          <w:tcPr>
            <w:tcW w:w="59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900" w:type="dxa"/>
            <w:tcBorders/>
            <w:shd w:fill="FFFFFF" w:val="clear"/>
            <w:vAlign w:val="center"/>
          </w:tcPr>
          <w:p>
            <w:pPr>
              <w:pStyle w:val="TableContents"/>
              <w:bidi w:val="0"/>
              <w:spacing w:before="0" w:after="283"/>
              <w:jc w:val="left"/>
              <w:rPr>
                <w:sz w:val="4"/>
                <w:szCs w:val="4"/>
              </w:rPr>
            </w:pPr>
            <w:r>
              <w:rPr>
                <w:sz w:val="4"/>
                <w:szCs w:val="4"/>
              </w:rPr>
            </w:r>
          </w:p>
        </w:tc>
        <w:tc>
          <w:tcPr>
            <w:tcW w:w="426" w:type="dxa"/>
            <w:tcBorders/>
            <w:shd w:fill="FFFFFF" w:val="cle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December 31, 2022 </w:t>
            </w:r>
            <w:r>
              <w:rPr>
                <w:rFonts w:ascii="Times New Roman" w:hAnsi="Times New Roman"/>
                <w:b/>
                <w:color w:val="000000"/>
                <w:sz w:val="13"/>
              </w:rPr>
              <w:t>(1)</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26" w:type="dxa"/>
            <w:tcBorders/>
            <w:shd w:fill="CFF0FC" w:val="clear"/>
            <w:vAlign w:val="center"/>
          </w:tcPr>
          <w:p>
            <w:pPr>
              <w:pStyle w:val="TableContents"/>
              <w:bidi w:val="0"/>
              <w:spacing w:before="0" w:after="283"/>
              <w:jc w:val="left"/>
              <w:rPr/>
            </w:pPr>
            <w:r>
              <w:rPr/>
              <w:t> </w:t>
            </w:r>
          </w:p>
        </w:tc>
        <w:tc>
          <w:tcPr>
            <w:tcW w:w="12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9" w:type="dxa"/>
            <w:gridSpan w:val="2"/>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426" w:type="dxa"/>
            <w:tcBorders/>
            <w:shd w:fill="FFFFFF" w:val="clear"/>
            <w:vAlign w:val="center"/>
          </w:tcPr>
          <w:p>
            <w:pPr>
              <w:pStyle w:val="TableContents"/>
              <w:bidi w:val="0"/>
              <w:spacing w:before="0" w:after="283"/>
              <w:jc w:val="left"/>
              <w:rPr/>
            </w:pPr>
            <w:r>
              <w:rPr/>
              <w:t> </w:t>
            </w:r>
          </w:p>
        </w:tc>
        <w:tc>
          <w:tcPr>
            <w:tcW w:w="12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9" w:type="dxa"/>
            <w:gridSpan w:val="2"/>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ind w:left="0" w:right="0" w:firstLine="280"/>
              <w:jc w:val="right"/>
              <w:rPr/>
            </w:pPr>
            <w:r>
              <w:rPr/>
              <w:t> </w:t>
            </w:r>
          </w:p>
        </w:tc>
      </w:tr>
      <w:tr>
        <w:trPr/>
        <w:tc>
          <w:tcPr>
            <w:tcW w:w="5900" w:type="dxa"/>
            <w:tcBorders/>
            <w:shd w:fill="CFF0FC"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81,309</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5900" w:type="dxa"/>
            <w:tcBorders/>
            <w:shd w:fill="FFFFFF"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84,475</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5900" w:type="dxa"/>
            <w:tcBorders/>
            <w:shd w:fill="CFF0FC"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17,280</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5900" w:type="dxa"/>
            <w:tcBorders/>
            <w:shd w:fill="FFFFFF"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Inventories, net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21,473</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5900" w:type="dxa"/>
            <w:tcBorders/>
            <w:shd w:fill="CFF0FC"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4,278</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208,815</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42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25,652</w:t>
            </w:r>
          </w:p>
        </w:tc>
        <w:tc>
          <w:tcPr>
            <w:tcW w:w="475" w:type="dxa"/>
            <w:tcBorders/>
            <w:shd w:fill="CFF0FC"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 net</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33,883</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42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3,109</w:t>
            </w:r>
          </w:p>
        </w:tc>
        <w:tc>
          <w:tcPr>
            <w:tcW w:w="475" w:type="dxa"/>
            <w:tcBorders/>
            <w:shd w:fill="CFF0FC"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Developed technology, net</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12,600</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42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106,251</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42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390,310</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2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9" w:type="dxa"/>
            <w:gridSpan w:val="2"/>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MEZZANINE EQUITY AND STOCKHOLDERS’ DEFICIT</w:t>
            </w:r>
          </w:p>
        </w:tc>
        <w:tc>
          <w:tcPr>
            <w:tcW w:w="426" w:type="dxa"/>
            <w:tcBorders/>
            <w:shd w:fill="CFF0FC" w:val="clear"/>
            <w:vAlign w:val="center"/>
          </w:tcPr>
          <w:p>
            <w:pPr>
              <w:pStyle w:val="TableContents"/>
              <w:bidi w:val="0"/>
              <w:spacing w:before="0" w:after="283"/>
              <w:jc w:val="left"/>
              <w:rPr/>
            </w:pPr>
            <w:r>
              <w:rPr/>
              <w:t> </w:t>
            </w:r>
          </w:p>
        </w:tc>
        <w:tc>
          <w:tcPr>
            <w:tcW w:w="12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9" w:type="dxa"/>
            <w:gridSpan w:val="2"/>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426" w:type="dxa"/>
            <w:tcBorders/>
            <w:shd w:fill="FFFFFF" w:val="clear"/>
            <w:vAlign w:val="center"/>
          </w:tcPr>
          <w:p>
            <w:pPr>
              <w:pStyle w:val="TableContents"/>
              <w:bidi w:val="0"/>
              <w:spacing w:before="0" w:after="283"/>
              <w:jc w:val="left"/>
              <w:rPr/>
            </w:pPr>
            <w:r>
              <w:rPr/>
              <w:t> </w:t>
            </w:r>
          </w:p>
        </w:tc>
        <w:tc>
          <w:tcPr>
            <w:tcW w:w="12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9" w:type="dxa"/>
            <w:gridSpan w:val="2"/>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ind w:left="0" w:right="0" w:firstLine="280"/>
              <w:jc w:val="right"/>
              <w:rPr/>
            </w:pPr>
            <w:r>
              <w:rPr/>
              <w:t> </w:t>
            </w:r>
          </w:p>
        </w:tc>
      </w:tr>
      <w:tr>
        <w:trPr/>
        <w:tc>
          <w:tcPr>
            <w:tcW w:w="5900" w:type="dxa"/>
            <w:tcBorders/>
            <w:shd w:fill="CFF0FC"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Accounts payable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7,914</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5900" w:type="dxa"/>
            <w:tcBorders/>
            <w:shd w:fill="FFFFFF"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Accrued compensation and related benefits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9,153</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5900" w:type="dxa"/>
            <w:tcBorders/>
            <w:shd w:fill="CFF0FC"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Operating lease liabilities, current</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3,682</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5900" w:type="dxa"/>
            <w:tcBorders/>
            <w:shd w:fill="FFFFFF"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Deferred revenue, current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10,792</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5900" w:type="dxa"/>
            <w:tcBorders/>
            <w:shd w:fill="CFF0FC"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Deferred grant income, current</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3,644</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5900" w:type="dxa"/>
            <w:tcBorders/>
            <w:shd w:fill="FFFFFF"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Other accrued liabilities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6,175</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5900" w:type="dxa"/>
            <w:tcBorders/>
            <w:shd w:fill="CFF0FC"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Term loan, current</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43,443</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notes, net</w:t>
            </w:r>
          </w:p>
        </w:tc>
        <w:tc>
          <w:tcPr>
            <w:tcW w:w="42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54,615</w:t>
            </w:r>
          </w:p>
        </w:tc>
        <w:tc>
          <w:tcPr>
            <w:tcW w:w="475" w:type="dxa"/>
            <w:tcBorders/>
            <w:shd w:fill="CFF0FC"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non-current</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8,194</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tax liability</w:t>
            </w:r>
          </w:p>
        </w:tc>
        <w:tc>
          <w:tcPr>
            <w:tcW w:w="42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w:t>
            </w:r>
          </w:p>
        </w:tc>
        <w:tc>
          <w:tcPr>
            <w:tcW w:w="475" w:type="dxa"/>
            <w:tcBorders/>
            <w:shd w:fill="CFF0FC"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non-current</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34,081</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non-current</w:t>
            </w:r>
          </w:p>
        </w:tc>
        <w:tc>
          <w:tcPr>
            <w:tcW w:w="42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3,816</w:t>
            </w:r>
          </w:p>
        </w:tc>
        <w:tc>
          <w:tcPr>
            <w:tcW w:w="475" w:type="dxa"/>
            <w:tcBorders/>
            <w:shd w:fill="CFF0FC"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grant income, non-current</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14,359</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42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42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160,524</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equity:</w:t>
            </w:r>
          </w:p>
        </w:tc>
        <w:tc>
          <w:tcPr>
            <w:tcW w:w="426" w:type="dxa"/>
            <w:tcBorders/>
            <w:shd w:fill="CFF0FC" w:val="clear"/>
            <w:vAlign w:val="center"/>
          </w:tcPr>
          <w:p>
            <w:pPr>
              <w:pStyle w:val="TableContents"/>
              <w:bidi w:val="0"/>
              <w:spacing w:before="0" w:after="283"/>
              <w:jc w:val="left"/>
              <w:rPr/>
            </w:pPr>
            <w:r>
              <w:rPr/>
              <w:t> </w:t>
            </w:r>
          </w:p>
        </w:tc>
        <w:tc>
          <w:tcPr>
            <w:tcW w:w="12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9" w:type="dxa"/>
            <w:gridSpan w:val="2"/>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ind w:left="0" w:right="0" w:firstLine="280"/>
              <w:jc w:val="right"/>
              <w:rPr/>
            </w:pPr>
            <w:r>
              <w:rPr/>
              <w:t> </w:t>
            </w:r>
          </w:p>
        </w:tc>
      </w:tr>
      <w:tr>
        <w:trPr/>
        <w:tc>
          <w:tcPr>
            <w:tcW w:w="5900" w:type="dxa"/>
            <w:tcBorders/>
            <w:shd w:fill="FFFFFF" w:val="clear"/>
            <w:vAlign w:val="center"/>
          </w:tcPr>
          <w:p>
            <w:pPr>
              <w:pStyle w:val="TableContents"/>
              <w:bidi w:val="0"/>
              <w:spacing w:before="0" w:after="283"/>
              <w:ind w:left="0" w:right="0" w:firstLine="280"/>
              <w:jc w:val="left"/>
              <w:rPr>
                <w:rFonts w:ascii="Times New Roman" w:hAnsi="Times New Roman"/>
                <w:b w:val="false"/>
                <w:color w:val="000000"/>
                <w:sz w:val="20"/>
              </w:rPr>
            </w:pPr>
            <w:r>
              <w:rPr>
                <w:rFonts w:ascii="Times New Roman" w:hAnsi="Times New Roman"/>
                <w:b w:val="false"/>
                <w:color w:val="000000"/>
                <w:sz w:val="20"/>
              </w:rPr>
              <w:t>Redeemable preferred stock</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311,253</w:t>
            </w:r>
          </w:p>
        </w:tc>
        <w:tc>
          <w:tcPr>
            <w:tcW w:w="475" w:type="dxa"/>
            <w:tcBorders/>
            <w:shd w:fill="FFFFFF" w:val="clear"/>
            <w:vAlign w:val="center"/>
          </w:tcPr>
          <w:p>
            <w:pPr>
              <w:pStyle w:val="TableContents"/>
              <w:bidi w:val="0"/>
              <w:spacing w:before="0" w:after="283"/>
              <w:jc w:val="left"/>
              <w:rPr/>
            </w:pPr>
            <w:r>
              <w:rPr/>
              <w:t> </w:t>
            </w:r>
          </w:p>
        </w:tc>
      </w:tr>
      <w:tr>
        <w:trPr/>
        <w:tc>
          <w:tcPr>
            <w:tcW w:w="59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deficit</w:t>
            </w:r>
          </w:p>
        </w:tc>
        <w:tc>
          <w:tcPr>
            <w:tcW w:w="42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(81,467</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9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mezzanine equity and stockholders’ deficit</w:t>
            </w:r>
          </w:p>
        </w:tc>
        <w:tc>
          <w:tcPr>
            <w:tcW w:w="42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390,310</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Derived from the Audited Consolidated Financial Statements.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640" w:type="dxa"/>
        <w:jc w:val="left"/>
        <w:tblInd w:w="0" w:type="dxa"/>
        <w:tblLayout w:type="fixed"/>
        <w:tblCellMar>
          <w:top w:w="28" w:type="dxa"/>
          <w:left w:w="28" w:type="dxa"/>
          <w:bottom w:w="28" w:type="dxa"/>
          <w:right w:w="28" w:type="dxa"/>
        </w:tblCellMar>
      </w:tblPr>
      <w:tblGrid>
        <w:gridCol w:w="6286"/>
        <w:gridCol w:w="146"/>
        <w:gridCol w:w="273"/>
        <w:gridCol w:w="955"/>
        <w:gridCol w:w="215"/>
        <w:gridCol w:w="189"/>
        <w:gridCol w:w="273"/>
        <w:gridCol w:w="1092"/>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9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(54,880</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(169,253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forward sale of Series B Preferred Stock</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60,081</w:t>
            </w:r>
          </w:p>
        </w:tc>
        <w:tc>
          <w:tcPr>
            <w:tcW w:w="2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bridge loans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13,719</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9,648</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13,199</w:t>
            </w:r>
          </w:p>
        </w:tc>
        <w:tc>
          <w:tcPr>
            <w:tcW w:w="2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developed technology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8,400</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8,728</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2,874</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2,680</w:t>
            </w:r>
          </w:p>
        </w:tc>
        <w:tc>
          <w:tcPr>
            <w:tcW w:w="2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excess and obsolete inventory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7,239</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Impairment of InstruNor developed technology intangible</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w:t>
            </w:r>
          </w:p>
        </w:tc>
        <w:tc>
          <w:tcPr>
            <w:tcW w:w="2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debt discounts, premiums and issuance costs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non-cash items</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2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assets and liabilities, net</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(29,226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short-term investments</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(55,857</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(137,302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sales and maturities of investments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91,964</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12,000</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33,354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(128,372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bridge loans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Series B Preferred Stock</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225,000</w:t>
            </w:r>
          </w:p>
        </w:tc>
        <w:tc>
          <w:tcPr>
            <w:tcW w:w="2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 of term loan and advances under revolving credit facility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debt and equity issuance costs</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(12,547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 of common stock</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(5,240</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ESPP stock issuance</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 for taxes related to net share settlement of equity awards and other</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(5,806</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231,028</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foreign exchange rate fluctuations on cash and cash equivalents</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(1,874</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31,748</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82,324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80,450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consists of:</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79,655</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60,200</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80,450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FINANCIAL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ITEMIZED RECONCILIATION OF GAAP TO NON-GAAP GROSS PROFIT AND MARGIN PERCENTAGE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3"/>
        <w:gridCol w:w="146"/>
        <w:gridCol w:w="260"/>
        <w:gridCol w:w="837"/>
        <w:gridCol w:w="271"/>
        <w:gridCol w:w="146"/>
        <w:gridCol w:w="260"/>
        <w:gridCol w:w="837"/>
        <w:gridCol w:w="271"/>
        <w:gridCol w:w="146"/>
        <w:gridCol w:w="260"/>
        <w:gridCol w:w="837"/>
        <w:gridCol w:w="271"/>
        <w:gridCol w:w="146"/>
        <w:gridCol w:w="260"/>
        <w:gridCol w:w="837"/>
        <w:gridCol w:w="271"/>
        <w:gridCol w:w="146"/>
        <w:gridCol w:w="400"/>
        <w:gridCol w:w="1119"/>
        <w:gridCol w:w="461"/>
      </w:tblGrid>
      <w:tr>
        <w:trPr/>
        <w:tc>
          <w:tcPr>
            <w:tcW w:w="2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0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FY23 Outlook </w:t>
            </w:r>
            <w:r>
              <w:rPr>
                <w:rFonts w:ascii="Times New Roman" w:hAnsi="Times New Roman"/>
                <w:b/>
                <w:color w:val="000000"/>
                <w:sz w:val="13"/>
              </w:rPr>
              <w:t>(2)</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2023</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GAAP gross profit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37,093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48,100</w:t>
            </w:r>
          </w:p>
        </w:tc>
        <w:tc>
          <w:tcPr>
            <w:tcW w:w="461" w:type="dxa"/>
            <w:tcBorders/>
            <w:shd w:fill="CFF0FC" w:val="clear"/>
            <w:vAlign w:val="center"/>
          </w:tcPr>
          <w:p>
            <w:pPr>
              <w:pStyle w:val="TableContents"/>
              <w:bidi w:val="0"/>
              <w:spacing w:before="0" w:after="283"/>
              <w:ind w:left="0" w:right="0" w:firstLine="140"/>
              <w:jc w:val="left"/>
              <w:rPr/>
            </w:pPr>
            <w:r>
              <w:rPr/>
              <w:t> </w:t>
            </w:r>
          </w:p>
        </w:tc>
      </w:tr>
      <w:tr>
        <w:trPr/>
        <w:tc>
          <w:tcPr>
            <w:tcW w:w="2023"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Amortization of developed technology</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0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11,200</w:t>
            </w:r>
          </w:p>
        </w:tc>
        <w:tc>
          <w:tcPr>
            <w:tcW w:w="461" w:type="dxa"/>
            <w:tcBorders/>
            <w:shd w:fill="FFFFFF" w:val="clear"/>
            <w:vAlign w:val="center"/>
          </w:tcPr>
          <w:p>
            <w:pPr>
              <w:pStyle w:val="TableContents"/>
              <w:bidi w:val="0"/>
              <w:spacing w:before="0" w:after="283"/>
              <w:ind w:left="0" w:right="0" w:firstLine="140"/>
              <w:jc w:val="left"/>
              <w:rPr/>
            </w:pPr>
            <w:r>
              <w:rPr/>
              <w:t> </w:t>
            </w:r>
          </w:p>
        </w:tc>
      </w:tr>
      <w:tr>
        <w:trPr/>
        <w:tc>
          <w:tcPr>
            <w:tcW w:w="2023"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00" w:type="dxa"/>
            <w:tcBorders/>
            <w:shd w:fill="CFF0FC" w:val="clear"/>
            <w:vAlign w:val="center"/>
          </w:tcPr>
          <w:p>
            <w:pPr>
              <w:pStyle w:val="TableContents"/>
              <w:bidi w:val="0"/>
              <w:spacing w:before="0" w:after="283"/>
              <w:jc w:val="left"/>
              <w:rPr/>
            </w:pPr>
            <w:r>
              <w:rPr/>
              <w:t> </w:t>
            </w:r>
          </w:p>
        </w:tc>
        <w:tc>
          <w:tcPr>
            <w:tcW w:w="11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w:t>
            </w:r>
          </w:p>
        </w:tc>
        <w:tc>
          <w:tcPr>
            <w:tcW w:w="461" w:type="dxa"/>
            <w:tcBorders/>
            <w:shd w:fill="CFF0FC" w:val="clear"/>
            <w:vAlign w:val="center"/>
          </w:tcPr>
          <w:p>
            <w:pPr>
              <w:pStyle w:val="TableContents"/>
              <w:bidi w:val="0"/>
              <w:spacing w:before="0" w:after="283"/>
              <w:ind w:left="0" w:right="0" w:firstLine="140"/>
              <w:jc w:val="left"/>
              <w:rPr/>
            </w:pPr>
            <w:r>
              <w:rPr/>
              <w:t> </w:t>
            </w:r>
          </w:p>
        </w:tc>
      </w:tr>
      <w:tr>
        <w:trPr/>
        <w:tc>
          <w:tcPr>
            <w:tcW w:w="2023"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gross profit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12,488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35,699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61,500</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519" w:type="dxa"/>
            <w:gridSpan w:val="2"/>
            <w:tcBorders/>
            <w:shd w:fill="FFFFFF" w:val="clear"/>
            <w:vAlign w:val="center"/>
          </w:tcPr>
          <w:p>
            <w:pPr>
              <w:pStyle w:val="TableContents"/>
              <w:bidi w:val="0"/>
              <w:spacing w:before="0" w:after="283"/>
              <w:jc w:val="right"/>
              <w:rPr/>
            </w:pPr>
            <w:r>
              <w:rPr/>
              <w:t> </w:t>
            </w:r>
          </w:p>
        </w:tc>
        <w:tc>
          <w:tcPr>
            <w:tcW w:w="461" w:type="dxa"/>
            <w:tcBorders/>
            <w:shd w:fill="FFFFFF" w:val="clear"/>
            <w:vAlign w:val="center"/>
          </w:tcPr>
          <w:p>
            <w:pPr>
              <w:pStyle w:val="TableContents"/>
              <w:bidi w:val="0"/>
              <w:spacing w:before="0" w:after="283"/>
              <w:jc w:val="right"/>
              <w:rPr/>
            </w:pPr>
            <w:r>
              <w:rPr/>
              <w:t> </w:t>
            </w:r>
          </w:p>
        </w:tc>
      </w:tr>
      <w:tr>
        <w:trPr/>
        <w:tc>
          <w:tcPr>
            <w:tcW w:w="20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GAAP gross margin percentage</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0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461"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2023"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Amortization of developed technology</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00" w:type="dxa"/>
            <w:tcBorders/>
            <w:shd w:fill="CFF0FC" w:val="clear"/>
            <w:vAlign w:val="center"/>
          </w:tcPr>
          <w:p>
            <w:pPr>
              <w:pStyle w:val="TableContents"/>
              <w:bidi w:val="0"/>
              <w:spacing w:before="0" w:after="283"/>
              <w:jc w:val="left"/>
              <w:rPr/>
            </w:pPr>
            <w:r>
              <w:rPr/>
              <w:t> </w:t>
            </w:r>
          </w:p>
        </w:tc>
        <w:tc>
          <w:tcPr>
            <w:tcW w:w="11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461" w:type="dxa"/>
            <w:tcBorders/>
            <w:shd w:fill="CFF0FC"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2023"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0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461"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2023"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gross margin percentage</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Represents FY23 Full Year Outlook at midpoint of $100 to $105 million estimated revenue range.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FINANCIAL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ITEMIZED RECONCILIATION OF GAAP TO NON-GAAP OPERATING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1"/>
        <w:gridCol w:w="146"/>
        <w:gridCol w:w="304"/>
        <w:gridCol w:w="976"/>
        <w:gridCol w:w="166"/>
        <w:gridCol w:w="146"/>
        <w:gridCol w:w="304"/>
        <w:gridCol w:w="976"/>
        <w:gridCol w:w="166"/>
        <w:gridCol w:w="146"/>
        <w:gridCol w:w="304"/>
        <w:gridCol w:w="976"/>
        <w:gridCol w:w="166"/>
        <w:gridCol w:w="146"/>
        <w:gridCol w:w="270"/>
        <w:gridCol w:w="1009"/>
        <w:gridCol w:w="353"/>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GAAP operating expenses</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120,977</w:t>
            </w:r>
          </w:p>
        </w:tc>
        <w:tc>
          <w:tcPr>
            <w:tcW w:w="353" w:type="dxa"/>
            <w:tcBorders/>
            <w:shd w:fill="CFF0FC" w:val="clear"/>
            <w:vAlign w:val="center"/>
          </w:tcPr>
          <w:p>
            <w:pPr>
              <w:pStyle w:val="TableContents"/>
              <w:bidi w:val="0"/>
              <w:spacing w:before="0" w:after="283"/>
              <w:ind w:left="0" w:right="0" w:firstLine="140"/>
              <w:jc w:val="left"/>
              <w:rPr/>
            </w:pPr>
            <w:r>
              <w:rPr/>
              <w:t> </w:t>
            </w:r>
          </w:p>
        </w:tc>
      </w:tr>
      <w:tr>
        <w:trPr/>
        <w:tc>
          <w:tcPr>
            <w:tcW w:w="3651"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Restructuring and related charges</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(5,102</w:t>
            </w:r>
          </w:p>
        </w:tc>
        <w:tc>
          <w:tcPr>
            <w:tcW w:w="353"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Transaction-related expenses</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(3,857</w:t>
            </w:r>
          </w:p>
        </w:tc>
        <w:tc>
          <w:tcPr>
            <w:tcW w:w="353" w:type="dxa"/>
            <w:tcBorders/>
            <w:shd w:fill="CFF0FC"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(12,740</w:t>
            </w:r>
          </w:p>
        </w:tc>
        <w:tc>
          <w:tcPr>
            <w:tcW w:w="353"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(2,052</w:t>
            </w:r>
          </w:p>
        </w:tc>
        <w:tc>
          <w:tcPr>
            <w:tcW w:w="353" w:type="dxa"/>
            <w:tcBorders/>
            <w:shd w:fill="CFF0FC"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w:t>
            </w:r>
          </w:p>
        </w:tc>
        <w:tc>
          <w:tcPr>
            <w:tcW w:w="353"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operating expenses</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93,488</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righ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GAAP R&amp;D operating expenses</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29,957</w:t>
            </w:r>
          </w:p>
        </w:tc>
        <w:tc>
          <w:tcPr>
            <w:tcW w:w="353" w:type="dxa"/>
            <w:tcBorders/>
            <w:shd w:fill="CFF0FC" w:val="clear"/>
            <w:vAlign w:val="center"/>
          </w:tcPr>
          <w:p>
            <w:pPr>
              <w:pStyle w:val="TableContents"/>
              <w:bidi w:val="0"/>
              <w:spacing w:before="0" w:after="283"/>
              <w:ind w:left="0" w:right="0" w:firstLine="140"/>
              <w:jc w:val="left"/>
              <w:rPr/>
            </w:pPr>
            <w:r>
              <w:rPr/>
              <w:t> </w:t>
            </w:r>
          </w:p>
        </w:tc>
      </w:tr>
      <w:tr>
        <w:trPr/>
        <w:tc>
          <w:tcPr>
            <w:tcW w:w="3651"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(2,014</w:t>
            </w:r>
          </w:p>
        </w:tc>
        <w:tc>
          <w:tcPr>
            <w:tcW w:w="353"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w:t>
            </w:r>
          </w:p>
        </w:tc>
        <w:tc>
          <w:tcPr>
            <w:tcW w:w="353" w:type="dxa"/>
            <w:tcBorders/>
            <w:shd w:fill="CFF0FC"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R&amp;D operating expenses</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23,613</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righ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GAAP SG&amp;A operating expenses</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82,061</w:t>
            </w:r>
          </w:p>
        </w:tc>
        <w:tc>
          <w:tcPr>
            <w:tcW w:w="353" w:type="dxa"/>
            <w:tcBorders/>
            <w:shd w:fill="FFFFFF" w:val="clear"/>
            <w:vAlign w:val="center"/>
          </w:tcPr>
          <w:p>
            <w:pPr>
              <w:pStyle w:val="TableContents"/>
              <w:bidi w:val="0"/>
              <w:spacing w:before="0" w:after="283"/>
              <w:ind w:left="0" w:right="0" w:firstLine="140"/>
              <w:jc w:val="left"/>
              <w:rPr/>
            </w:pPr>
            <w:r>
              <w:rPr/>
              <w:t> </w:t>
            </w:r>
          </w:p>
        </w:tc>
      </w:tr>
      <w:tr>
        <w:trPr/>
        <w:tc>
          <w:tcPr>
            <w:tcW w:w="3651"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(10,726</w:t>
            </w:r>
          </w:p>
        </w:tc>
        <w:tc>
          <w:tcPr>
            <w:tcW w:w="353" w:type="dxa"/>
            <w:tcBorders/>
            <w:shd w:fill="CFF0FC"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(1,248</w:t>
            </w:r>
          </w:p>
        </w:tc>
        <w:tc>
          <w:tcPr>
            <w:tcW w:w="353"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SG&amp;A operating expenses</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69,875</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FINANCIAL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ITEMIZED RECONCILIATION OF GAAP NET LOSS TO NON-GAAP ADJUSTED EBITDA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6"/>
        <w:gridCol w:w="146"/>
        <w:gridCol w:w="279"/>
        <w:gridCol w:w="977"/>
        <w:gridCol w:w="166"/>
        <w:gridCol w:w="146"/>
        <w:gridCol w:w="279"/>
        <w:gridCol w:w="977"/>
        <w:gridCol w:w="166"/>
        <w:gridCol w:w="146"/>
        <w:gridCol w:w="279"/>
        <w:gridCol w:w="977"/>
        <w:gridCol w:w="166"/>
        <w:gridCol w:w="146"/>
        <w:gridCol w:w="252"/>
        <w:gridCol w:w="1011"/>
        <w:gridCol w:w="35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GAAP net loss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(54,880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(169,253</w:t>
            </w:r>
          </w:p>
        </w:tc>
        <w:tc>
          <w:tcPr>
            <w:tcW w:w="356" w:type="dxa"/>
            <w:tcBorders/>
            <w:shd w:fill="CFF0FC"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736"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Income tax expense (benefit)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(2,900</w:t>
            </w:r>
          </w:p>
        </w:tc>
        <w:tc>
          <w:tcPr>
            <w:tcW w:w="356" w:type="dxa"/>
            <w:tcBorders/>
            <w:shd w:fill="FFFFFF" w:val="clear"/>
            <w:vAlign w:val="center"/>
          </w:tcPr>
          <w:p>
            <w:pPr>
              <w:pStyle w:val="TableContents"/>
              <w:bidi w:val="0"/>
              <w:spacing w:before="0" w:after="283"/>
              <w:ind w:left="0" w:right="0" w:firstLine="140"/>
              <w:jc w:val="left"/>
              <w:rPr>
                <w:rFonts w:ascii="Times New Roman" w:hAnsi="Times New Roman"/>
                <w:b w:val="false"/>
                <w:color w:val="000000"/>
                <w:sz w:val="20"/>
              </w:rPr>
            </w:pPr>
            <w:r>
              <w:rPr>
                <w:rFonts w:ascii="Times New Roman" w:hAnsi="Times New Roman"/>
                <w:b w:val="false"/>
                <w:color w:val="000000"/>
                <w:sz w:val="20"/>
              </w:rPr>
              <w:t>)</w:t>
            </w:r>
          </w:p>
        </w:tc>
      </w:tr>
      <w:tr>
        <w:trPr/>
        <w:tc>
          <w:tcPr>
            <w:tcW w:w="3736"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3,141</w:t>
            </w:r>
          </w:p>
        </w:tc>
        <w:tc>
          <w:tcPr>
            <w:tcW w:w="356" w:type="dxa"/>
            <w:tcBorders/>
            <w:shd w:fill="CFF0FC" w:val="clear"/>
            <w:vAlign w:val="center"/>
          </w:tcPr>
          <w:p>
            <w:pPr>
              <w:pStyle w:val="TableContents"/>
              <w:bidi w:val="0"/>
              <w:spacing w:before="0" w:after="283"/>
              <w:ind w:left="0" w:right="0" w:firstLine="140"/>
              <w:jc w:val="left"/>
              <w:rPr/>
            </w:pPr>
            <w:r>
              <w:rPr/>
              <w:t> </w:t>
            </w:r>
          </w:p>
        </w:tc>
      </w:tr>
      <w:tr>
        <w:trPr/>
        <w:tc>
          <w:tcPr>
            <w:tcW w:w="3736"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Amortization of developed technology</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8,728</w:t>
            </w:r>
          </w:p>
        </w:tc>
        <w:tc>
          <w:tcPr>
            <w:tcW w:w="356" w:type="dxa"/>
            <w:tcBorders/>
            <w:shd w:fill="FFFFFF" w:val="clear"/>
            <w:vAlign w:val="center"/>
          </w:tcPr>
          <w:p>
            <w:pPr>
              <w:pStyle w:val="TableContents"/>
              <w:bidi w:val="0"/>
              <w:spacing w:before="0" w:after="283"/>
              <w:ind w:left="0" w:right="0" w:firstLine="140"/>
              <w:jc w:val="left"/>
              <w:rPr/>
            </w:pPr>
            <w:r>
              <w:rPr/>
              <w:t> </w:t>
            </w:r>
          </w:p>
        </w:tc>
      </w:tr>
      <w:tr>
        <w:trPr/>
        <w:tc>
          <w:tcPr>
            <w:tcW w:w="3736"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2,680</w:t>
            </w:r>
          </w:p>
        </w:tc>
        <w:tc>
          <w:tcPr>
            <w:tcW w:w="356" w:type="dxa"/>
            <w:tcBorders/>
            <w:shd w:fill="CFF0FC" w:val="clear"/>
            <w:vAlign w:val="center"/>
          </w:tcPr>
          <w:p>
            <w:pPr>
              <w:pStyle w:val="TableContents"/>
              <w:bidi w:val="0"/>
              <w:spacing w:before="0" w:after="283"/>
              <w:ind w:left="0" w:right="0" w:firstLine="140"/>
              <w:jc w:val="left"/>
              <w:rPr/>
            </w:pPr>
            <w:r>
              <w:rPr/>
              <w:t> </w:t>
            </w:r>
          </w:p>
        </w:tc>
      </w:tr>
      <w:tr>
        <w:trPr/>
        <w:tc>
          <w:tcPr>
            <w:tcW w:w="3736"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Restructuring and related charges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5,102</w:t>
            </w:r>
          </w:p>
        </w:tc>
        <w:tc>
          <w:tcPr>
            <w:tcW w:w="356" w:type="dxa"/>
            <w:tcBorders/>
            <w:shd w:fill="FFFFFF" w:val="clear"/>
            <w:vAlign w:val="center"/>
          </w:tcPr>
          <w:p>
            <w:pPr>
              <w:pStyle w:val="TableContents"/>
              <w:bidi w:val="0"/>
              <w:spacing w:before="0" w:after="283"/>
              <w:ind w:left="0" w:right="0" w:firstLine="140"/>
              <w:jc w:val="left"/>
              <w:rPr/>
            </w:pPr>
            <w:r>
              <w:rPr/>
              <w:t> </w:t>
            </w:r>
          </w:p>
        </w:tc>
      </w:tr>
      <w:tr>
        <w:trPr/>
        <w:tc>
          <w:tcPr>
            <w:tcW w:w="3736"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Transaction-related expenses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3,857</w:t>
            </w:r>
          </w:p>
        </w:tc>
        <w:tc>
          <w:tcPr>
            <w:tcW w:w="356" w:type="dxa"/>
            <w:tcBorders/>
            <w:shd w:fill="CFF0FC" w:val="clear"/>
            <w:vAlign w:val="center"/>
          </w:tcPr>
          <w:p>
            <w:pPr>
              <w:pStyle w:val="TableContents"/>
              <w:bidi w:val="0"/>
              <w:spacing w:before="0" w:after="283"/>
              <w:ind w:left="0" w:right="0" w:firstLine="140"/>
              <w:jc w:val="left"/>
              <w:rPr/>
            </w:pPr>
            <w:r>
              <w:rPr/>
              <w:t> </w:t>
            </w:r>
          </w:p>
        </w:tc>
      </w:tr>
      <w:tr>
        <w:trPr/>
        <w:tc>
          <w:tcPr>
            <w:tcW w:w="3736"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13,199</w:t>
            </w:r>
          </w:p>
        </w:tc>
        <w:tc>
          <w:tcPr>
            <w:tcW w:w="356" w:type="dxa"/>
            <w:tcBorders/>
            <w:shd w:fill="FFFFFF" w:val="clear"/>
            <w:vAlign w:val="center"/>
          </w:tcPr>
          <w:p>
            <w:pPr>
              <w:pStyle w:val="TableContents"/>
              <w:bidi w:val="0"/>
              <w:spacing w:before="0" w:after="283"/>
              <w:ind w:left="0" w:right="0" w:firstLine="140"/>
              <w:jc w:val="left"/>
              <w:rPr/>
            </w:pPr>
            <w:r>
              <w:rPr/>
              <w:t> </w:t>
            </w:r>
          </w:p>
        </w:tc>
      </w:tr>
      <w:tr>
        <w:trPr/>
        <w:tc>
          <w:tcPr>
            <w:tcW w:w="3736"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w:t>
            </w:r>
          </w:p>
        </w:tc>
        <w:tc>
          <w:tcPr>
            <w:tcW w:w="356" w:type="dxa"/>
            <w:tcBorders/>
            <w:shd w:fill="CFF0FC" w:val="clear"/>
            <w:vAlign w:val="center"/>
          </w:tcPr>
          <w:p>
            <w:pPr>
              <w:pStyle w:val="TableContents"/>
              <w:bidi w:val="0"/>
              <w:spacing w:before="0" w:after="283"/>
              <w:ind w:left="0" w:right="0" w:firstLine="140"/>
              <w:jc w:val="left"/>
              <w:rPr/>
            </w:pPr>
            <w:r>
              <w:rPr/>
              <w:t> </w:t>
            </w:r>
          </w:p>
        </w:tc>
      </w:tr>
      <w:tr>
        <w:trPr/>
        <w:tc>
          <w:tcPr>
            <w:tcW w:w="3736"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Loss on forward sale of Series B Preferred Stock</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60,081</w:t>
            </w:r>
          </w:p>
        </w:tc>
        <w:tc>
          <w:tcPr>
            <w:tcW w:w="356" w:type="dxa"/>
            <w:tcBorders/>
            <w:shd w:fill="FFFFFF" w:val="clear"/>
            <w:vAlign w:val="center"/>
          </w:tcPr>
          <w:p>
            <w:pPr>
              <w:pStyle w:val="TableContents"/>
              <w:bidi w:val="0"/>
              <w:spacing w:before="0" w:after="283"/>
              <w:ind w:left="0" w:right="0" w:firstLine="140"/>
              <w:jc w:val="left"/>
              <w:rPr/>
            </w:pPr>
            <w:r>
              <w:rPr/>
              <w:t> </w:t>
            </w:r>
          </w:p>
        </w:tc>
      </w:tr>
      <w:tr>
        <w:trPr/>
        <w:tc>
          <w:tcPr>
            <w:tcW w:w="3736"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Loss on bridge loans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13,719</w:t>
            </w:r>
          </w:p>
        </w:tc>
        <w:tc>
          <w:tcPr>
            <w:tcW w:w="356" w:type="dxa"/>
            <w:tcBorders/>
            <w:shd w:fill="CFF0FC" w:val="clear"/>
            <w:vAlign w:val="center"/>
          </w:tcPr>
          <w:p>
            <w:pPr>
              <w:pStyle w:val="TableContents"/>
              <w:bidi w:val="0"/>
              <w:spacing w:before="0" w:after="283"/>
              <w:ind w:left="0" w:right="0" w:firstLine="140"/>
              <w:jc w:val="left"/>
              <w:rPr/>
            </w:pPr>
            <w:r>
              <w:rPr/>
              <w:t> </w:t>
            </w:r>
          </w:p>
        </w:tc>
      </w:tr>
      <w:tr>
        <w:trPr/>
        <w:tc>
          <w:tcPr>
            <w:tcW w:w="3736" w:type="dxa"/>
            <w:tcBorders/>
            <w:shd w:fill="FFFFFF"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Other non-operating expense (income)</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356" w:type="dxa"/>
            <w:tcBorders/>
            <w:shd w:fill="FFFFFF" w:val="clear"/>
            <w:vAlign w:val="center"/>
          </w:tcPr>
          <w:p>
            <w:pPr>
              <w:pStyle w:val="TableContents"/>
              <w:bidi w:val="0"/>
              <w:spacing w:before="0" w:after="283"/>
              <w:ind w:left="0" w:right="0" w:firstLine="140"/>
              <w:jc w:val="left"/>
              <w:rPr/>
            </w:pPr>
            <w:r>
              <w:rPr/>
              <w:t> </w:t>
            </w:r>
          </w:p>
        </w:tc>
      </w:tr>
      <w:tr>
        <w:trPr/>
        <w:tc>
          <w:tcPr>
            <w:tcW w:w="3736" w:type="dxa"/>
            <w:tcBorders/>
            <w:shd w:fill="CFF0FC" w:val="clear"/>
            <w:vAlign w:val="center"/>
          </w:tcPr>
          <w:p>
            <w:pPr>
              <w:pStyle w:val="TableContents"/>
              <w:bidi w:val="0"/>
              <w:spacing w:before="0" w:after="283"/>
              <w:ind w:left="140" w:right="0" w:firstLine="140"/>
              <w:jc w:val="left"/>
              <w:rPr>
                <w:rFonts w:ascii="Times New Roman" w:hAnsi="Times New Roman"/>
                <w:b w:val="false"/>
                <w:color w:val="000000"/>
                <w:sz w:val="20"/>
              </w:rPr>
            </w:pPr>
            <w:r>
              <w:rPr>
                <w:rFonts w:ascii="Times New Roman" w:hAnsi="Times New Roman"/>
                <w:b w:val="false"/>
                <w:color w:val="000000"/>
                <w:sz w:val="20"/>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adjusted EBITDA</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(57,789</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0"/>
        </w:rPr>
        <w:t>CALCULATION OF OPERATING CASH USE</w:t>
      </w:r>
      <w:r>
        <w:rPr>
          <w:rFonts w:ascii="Times New Roman" w:hAnsi="Times New Roman"/>
          <w:color w:val="000000"/>
          <w:sz w:val="20"/>
        </w:rPr>
        <w:t xml:space="preserve"> </w:t>
      </w:r>
    </w:p>
    <w:p>
      <w:pPr>
        <w:pStyle w:val="TextBody"/>
        <w:bidi w:val="0"/>
        <w:jc w:val="left"/>
        <w:rPr/>
      </w:pPr>
      <w:r>
        <w:rPr/>
        <w:t> </w:t>
      </w:r>
    </w:p>
    <w:tbl>
      <w:tblPr>
        <w:tblW w:w="9784" w:type="dxa"/>
        <w:jc w:val="left"/>
        <w:tblInd w:w="0" w:type="dxa"/>
        <w:tblLayout w:type="fixed"/>
        <w:tblCellMar>
          <w:top w:w="28" w:type="dxa"/>
          <w:left w:w="28" w:type="dxa"/>
          <w:bottom w:w="28" w:type="dxa"/>
          <w:right w:w="28" w:type="dxa"/>
        </w:tblCellMar>
      </w:tblPr>
      <w:tblGrid>
        <w:gridCol w:w="3271"/>
        <w:gridCol w:w="146"/>
        <w:gridCol w:w="290"/>
        <w:gridCol w:w="1015"/>
        <w:gridCol w:w="166"/>
        <w:gridCol w:w="146"/>
        <w:gridCol w:w="290"/>
        <w:gridCol w:w="1015"/>
        <w:gridCol w:w="166"/>
        <w:gridCol w:w="146"/>
        <w:gridCol w:w="290"/>
        <w:gridCol w:w="1015"/>
        <w:gridCol w:w="166"/>
        <w:gridCol w:w="146"/>
        <w:gridCol w:w="290"/>
        <w:gridCol w:w="1015"/>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cash used in operating activities </w:t>
            </w:r>
            <w:r>
              <w:rPr>
                <w:rFonts w:ascii="Times New Roman" w:hAnsi="Times New Roman"/>
                <w:b w:val="false"/>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(70,189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cash use</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Derived from the Condensed Consolidated Statements of Cash Flows.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4934</Words>
  <Characters>28136</Characters>
  <CharactersWithSpaces>33504</CharactersWithSpaces>
  <Paragraphs>2408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