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723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723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McPhail Steven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8"/>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02/20/2018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775</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31,828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02/20/2018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338</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32,166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02/20/2018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4"/>
              </w:rPr>
              <w:t>1,284</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33,450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02/20/2018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6"/>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847</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5"/>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7.81</w:t>
            </w: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32,603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9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99"/>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7"/>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8"/>
                <w:szCs w:val="18"/>
                <w:color w:val="0000FF"/>
                <w:w w:val="86"/>
              </w:rPr>
              <w:t>775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775</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5"/>
              </w:rPr>
              <w:t>3,875</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8"/>
                <w:szCs w:val="18"/>
                <w:color w:val="0000FF"/>
                <w:w w:val="86"/>
              </w:rPr>
              <w:t>338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338</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5"/>
              </w:rPr>
              <w:t>2,588</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1,284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02/20/2018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1,284</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8"/>
              </w:rPr>
              <w:t>14,985</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21, 2015, the Reporting Person was granted 12,400 Restricted Stock Units of which 12/48th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20,550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Steven McPhail by Nicholas </w:t>
      </w:r>
      <w:r>
        <w:rPr>
          <w:rFonts w:ascii="Arial" w:cs="Arial" w:eastAsia="Arial" w:hAnsi="Arial"/>
          <w:sz w:val="35"/>
          <w:szCs w:val="35"/>
          <w:color w:val="0000FF"/>
          <w:vertAlign w:val="subscript"/>
        </w:rPr>
        <w:t>02/22/2018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84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42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418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2019-12-04T00:52:09Z</dcterms:created>
  <dcterms:modified xsi:type="dcterms:W3CDTF">2019-12-04T00:52:09Z</dcterms:modified>
</cp:coreProperties>
</file>