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81"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18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SPECIALIZED DISCLOSURE REPORT</w:t>
      </w:r>
    </w:p>
    <w:p>
      <w:pPr>
        <w:spacing w:after="0" w:line="200" w:lineRule="exact"/>
        <w:rPr>
          <w:sz w:val="24"/>
          <w:szCs w:val="24"/>
          <w:color w:val="auto"/>
        </w:rPr>
      </w:pPr>
    </w:p>
    <w:p>
      <w:pPr>
        <w:spacing w:after="0" w:line="242"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Fluidigm Corporation</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78" w:lineRule="exact"/>
        <w:rPr>
          <w:sz w:val="24"/>
          <w:szCs w:val="24"/>
          <w:color w:val="auto"/>
        </w:rPr>
      </w:pPr>
    </w:p>
    <w:tbl>
      <w:tblPr>
        <w:tblLayout w:type="fixed"/>
        <w:tblInd w:w="74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4700" w:type="dxa"/>
            <w:vAlign w:val="bottom"/>
          </w:tcPr>
          <w:p>
            <w:pPr>
              <w:jc w:val="right"/>
              <w:ind w:right="1199"/>
              <w:spacing w:after="0"/>
              <w:rPr>
                <w:sz w:val="20"/>
                <w:szCs w:val="20"/>
                <w:color w:val="auto"/>
              </w:rPr>
            </w:pPr>
            <w:r>
              <w:rPr>
                <w:rFonts w:ascii="Arial" w:cs="Arial" w:eastAsia="Arial" w:hAnsi="Arial"/>
                <w:sz w:val="18"/>
                <w:szCs w:val="18"/>
                <w:color w:val="auto"/>
              </w:rPr>
              <w:t>__________________________</w:t>
            </w:r>
          </w:p>
        </w:tc>
        <w:tc>
          <w:tcPr>
            <w:tcW w:w="2400" w:type="dxa"/>
            <w:vAlign w:val="bottom"/>
          </w:tcPr>
          <w:p>
            <w:pPr>
              <w:spacing w:after="0"/>
              <w:rPr>
                <w:sz w:val="20"/>
                <w:szCs w:val="20"/>
                <w:color w:val="auto"/>
              </w:rPr>
            </w:pPr>
          </w:p>
        </w:tc>
      </w:tr>
      <w:tr>
        <w:trPr>
          <w:trHeight w:val="419"/>
        </w:trPr>
        <w:tc>
          <w:tcPr>
            <w:tcW w:w="2740" w:type="dxa"/>
            <w:vAlign w:val="bottom"/>
          </w:tcPr>
          <w:p>
            <w:pPr>
              <w:jc w:val="center"/>
              <w:ind w:right="1002"/>
              <w:spacing w:after="0"/>
              <w:rPr>
                <w:sz w:val="20"/>
                <w:szCs w:val="20"/>
                <w:color w:val="auto"/>
              </w:rPr>
            </w:pPr>
            <w:r>
              <w:rPr>
                <w:rFonts w:ascii="Arial" w:cs="Arial" w:eastAsia="Arial" w:hAnsi="Arial"/>
                <w:sz w:val="18"/>
                <w:szCs w:val="18"/>
                <w:b w:val="1"/>
                <w:bCs w:val="1"/>
                <w:color w:val="auto"/>
                <w:w w:val="93"/>
              </w:rPr>
              <w:t>Delaware</w:t>
            </w:r>
          </w:p>
        </w:tc>
        <w:tc>
          <w:tcPr>
            <w:tcW w:w="4700" w:type="dxa"/>
            <w:vAlign w:val="bottom"/>
          </w:tcPr>
          <w:p>
            <w:pPr>
              <w:ind w:left="1960"/>
              <w:spacing w:after="0"/>
              <w:rPr>
                <w:sz w:val="20"/>
                <w:szCs w:val="20"/>
                <w:color w:val="auto"/>
              </w:rPr>
            </w:pPr>
            <w:r>
              <w:rPr>
                <w:rFonts w:ascii="Arial" w:cs="Arial" w:eastAsia="Arial" w:hAnsi="Arial"/>
                <w:sz w:val="18"/>
                <w:szCs w:val="18"/>
                <w:b w:val="1"/>
                <w:bCs w:val="1"/>
                <w:color w:val="auto"/>
              </w:rPr>
              <w:t>001-34180</w:t>
            </w:r>
          </w:p>
        </w:tc>
        <w:tc>
          <w:tcPr>
            <w:tcW w:w="2400" w:type="dxa"/>
            <w:vAlign w:val="bottom"/>
          </w:tcPr>
          <w:p>
            <w:pPr>
              <w:jc w:val="center"/>
              <w:ind w:left="1182"/>
              <w:spacing w:after="0"/>
              <w:rPr>
                <w:sz w:val="20"/>
                <w:szCs w:val="20"/>
                <w:color w:val="auto"/>
              </w:rPr>
            </w:pPr>
            <w:r>
              <w:rPr>
                <w:rFonts w:ascii="Arial" w:cs="Arial" w:eastAsia="Arial" w:hAnsi="Arial"/>
                <w:sz w:val="18"/>
                <w:szCs w:val="18"/>
                <w:b w:val="1"/>
                <w:bCs w:val="1"/>
                <w:color w:val="auto"/>
                <w:w w:val="89"/>
              </w:rPr>
              <w:t>77-0513190</w:t>
            </w:r>
          </w:p>
        </w:tc>
      </w:tr>
      <w:tr>
        <w:trPr>
          <w:trHeight w:val="234"/>
        </w:trPr>
        <w:tc>
          <w:tcPr>
            <w:tcW w:w="2740" w:type="dxa"/>
            <w:vAlign w:val="bottom"/>
          </w:tcPr>
          <w:p>
            <w:pPr>
              <w:jc w:val="center"/>
              <w:ind w:right="1022"/>
              <w:spacing w:after="0"/>
              <w:rPr>
                <w:sz w:val="20"/>
                <w:szCs w:val="20"/>
                <w:color w:val="auto"/>
              </w:rPr>
            </w:pPr>
            <w:r>
              <w:rPr>
                <w:rFonts w:ascii="Arial" w:cs="Arial" w:eastAsia="Arial" w:hAnsi="Arial"/>
                <w:sz w:val="14"/>
                <w:szCs w:val="14"/>
                <w:b w:val="1"/>
                <w:bCs w:val="1"/>
                <w:color w:val="auto"/>
                <w:w w:val="93"/>
              </w:rPr>
              <w:t>(State or other jurisdiction</w:t>
            </w:r>
          </w:p>
        </w:tc>
        <w:tc>
          <w:tcPr>
            <w:tcW w:w="4700" w:type="dxa"/>
            <w:vAlign w:val="bottom"/>
          </w:tcPr>
          <w:p>
            <w:pPr>
              <w:ind w:left="1940"/>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Pr>
          <w:p>
            <w:pPr>
              <w:jc w:val="center"/>
              <w:ind w:left="118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740" w:type="dxa"/>
            <w:vAlign w:val="bottom"/>
          </w:tcPr>
          <w:p>
            <w:pPr>
              <w:jc w:val="center"/>
              <w:ind w:right="1002"/>
              <w:spacing w:after="0"/>
              <w:rPr>
                <w:sz w:val="20"/>
                <w:szCs w:val="20"/>
                <w:color w:val="auto"/>
              </w:rPr>
            </w:pPr>
            <w:r>
              <w:rPr>
                <w:rFonts w:ascii="Arial" w:cs="Arial" w:eastAsia="Arial" w:hAnsi="Arial"/>
                <w:sz w:val="14"/>
                <w:szCs w:val="14"/>
                <w:b w:val="1"/>
                <w:bCs w:val="1"/>
                <w:color w:val="auto"/>
                <w:w w:val="94"/>
              </w:rPr>
              <w:t>of incorporation)</w:t>
            </w:r>
          </w:p>
        </w:tc>
        <w:tc>
          <w:tcPr>
            <w:tcW w:w="4700" w:type="dxa"/>
            <w:vAlign w:val="bottom"/>
          </w:tcPr>
          <w:p>
            <w:pPr>
              <w:ind w:left="1940"/>
              <w:spacing w:after="0"/>
              <w:rPr>
                <w:sz w:val="20"/>
                <w:szCs w:val="20"/>
                <w:color w:val="auto"/>
              </w:rPr>
            </w:pPr>
            <w:r>
              <w:rPr>
                <w:rFonts w:ascii="Arial" w:cs="Arial" w:eastAsia="Arial" w:hAnsi="Arial"/>
                <w:sz w:val="14"/>
                <w:szCs w:val="14"/>
                <w:b w:val="1"/>
                <w:bCs w:val="1"/>
                <w:color w:val="auto"/>
              </w:rPr>
              <w:t>File Number)</w:t>
            </w:r>
          </w:p>
        </w:tc>
        <w:tc>
          <w:tcPr>
            <w:tcW w:w="2400" w:type="dxa"/>
            <w:vAlign w:val="bottom"/>
          </w:tcPr>
          <w:p>
            <w:pPr>
              <w:jc w:val="center"/>
              <w:ind w:left="118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w w:val="95"/>
              </w:rPr>
              <w:t>7000 Shoreline Court, Suite 100, South San Francisco, California</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94080</w:t>
            </w:r>
          </w:p>
        </w:tc>
      </w:tr>
      <w:tr>
        <w:trPr>
          <w:trHeight w:val="299"/>
        </w:trPr>
        <w:tc>
          <w:tcPr>
            <w:tcW w:w="3400" w:type="dxa"/>
            <w:vAlign w:val="bottom"/>
          </w:tcPr>
          <w:p>
            <w:pPr>
              <w:ind w:left="640"/>
              <w:spacing w:after="0"/>
              <w:rPr>
                <w:sz w:val="20"/>
                <w:szCs w:val="20"/>
                <w:color w:val="auto"/>
              </w:rPr>
            </w:pPr>
            <w:r>
              <w:rPr>
                <w:rFonts w:ascii="Arial" w:cs="Arial" w:eastAsia="Arial" w:hAnsi="Arial"/>
                <w:sz w:val="14"/>
                <w:szCs w:val="14"/>
                <w:b w:val="1"/>
                <w:bCs w:val="1"/>
                <w:color w:val="auto"/>
              </w:rPr>
              <w:t>(Address of principal executive offices)</w:t>
            </w:r>
          </w:p>
        </w:tc>
        <w:tc>
          <w:tcPr>
            <w:tcW w:w="1900" w:type="dxa"/>
            <w:vAlign w:val="bottom"/>
          </w:tcPr>
          <w:p>
            <w:pPr>
              <w:ind w:left="380"/>
              <w:spacing w:after="0"/>
              <w:rPr>
                <w:sz w:val="20"/>
                <w:szCs w:val="20"/>
                <w:color w:val="auto"/>
              </w:rPr>
            </w:pPr>
            <w:r>
              <w:rPr>
                <w:rFonts w:ascii="Arial" w:cs="Arial" w:eastAsia="Arial" w:hAnsi="Arial"/>
                <w:sz w:val="14"/>
                <w:szCs w:val="14"/>
                <w:b w:val="1"/>
                <w:bCs w:val="1"/>
                <w:color w:val="auto"/>
              </w:rPr>
              <w:t>(Zip Code)</w:t>
            </w:r>
          </w:p>
        </w:tc>
        <w:tc>
          <w:tcPr>
            <w:tcW w:w="760" w:type="dxa"/>
            <w:vAlign w:val="bottom"/>
          </w:tcPr>
          <w:p>
            <w:pPr>
              <w:spacing w:after="0"/>
              <w:rPr>
                <w:sz w:val="24"/>
                <w:szCs w:val="24"/>
                <w:color w:val="auto"/>
              </w:rPr>
            </w:pPr>
          </w:p>
        </w:tc>
      </w:tr>
    </w:tbl>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Nicholas Khadder</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Senior Vice President, General Counsel, and Corporate Secretary</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(650) 266-6000</w:t>
      </w:r>
    </w:p>
    <w:p>
      <w:pPr>
        <w:spacing w:after="0" w:line="14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32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840" w:hanging="451"/>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ectPr>
          <w:pgSz w:w="11900" w:h="16838" w:orient="portrait"/>
          <w:cols w:equalWidth="0" w:num="1">
            <w:col w:w="11360"/>
          </w:cols>
          <w:pgMar w:left="240" w:top="909" w:right="299" w:bottom="1440" w:gutter="0" w:footer="0" w:header="0"/>
        </w:sectPr>
      </w:pPr>
    </w:p>
    <w:bookmarkStart w:id="1" w:name="page2"/>
    <w:bookmarkEnd w:id="1"/>
    <w:p>
      <w:pPr>
        <w:ind w:left="140"/>
        <w:spacing w:after="0"/>
        <w:rPr>
          <w:sz w:val="20"/>
          <w:szCs w:val="20"/>
          <w:color w:val="auto"/>
        </w:rPr>
      </w:pPr>
      <w:r>
        <w:rPr>
          <w:rFonts w:ascii="Arial" w:cs="Arial" w:eastAsia="Arial" w:hAnsi="Arial"/>
          <w:sz w:val="20"/>
          <w:szCs w:val="20"/>
          <w:b w:val="1"/>
          <w:bCs w:val="1"/>
          <w:color w:val="auto"/>
        </w:rPr>
        <w:t>Section 1 - Conflict Minerals Disclosure</w:t>
      </w:r>
    </w:p>
    <w:p>
      <w:pPr>
        <w:spacing w:after="0" w:line="200" w:lineRule="exact"/>
        <w:rPr>
          <w:sz w:val="20"/>
          <w:szCs w:val="20"/>
          <w:color w:val="auto"/>
        </w:rPr>
      </w:pPr>
    </w:p>
    <w:p>
      <w:pPr>
        <w:spacing w:after="0" w:line="218" w:lineRule="exact"/>
        <w:rPr>
          <w:sz w:val="20"/>
          <w:szCs w:val="20"/>
          <w:color w:val="auto"/>
        </w:rPr>
      </w:pPr>
    </w:p>
    <w:p>
      <w:pPr>
        <w:ind w:left="140"/>
        <w:spacing w:after="0"/>
        <w:tabs>
          <w:tab w:leader="none" w:pos="136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49" w:lineRule="exact"/>
        <w:rPr>
          <w:sz w:val="20"/>
          <w:szCs w:val="20"/>
          <w:color w:val="auto"/>
        </w:rPr>
      </w:pPr>
    </w:p>
    <w:p>
      <w:pPr>
        <w:ind w:firstLine="648"/>
        <w:spacing w:after="0" w:line="460" w:lineRule="auto"/>
        <w:rPr>
          <w:sz w:val="20"/>
          <w:szCs w:val="20"/>
          <w:color w:val="auto"/>
        </w:rPr>
      </w:pPr>
      <w:r>
        <w:rPr>
          <w:rFonts w:ascii="Arial" w:cs="Arial" w:eastAsia="Arial" w:hAnsi="Arial"/>
          <w:sz w:val="18"/>
          <w:szCs w:val="18"/>
          <w:color w:val="auto"/>
        </w:rPr>
        <w:t>For the reporting period from January 1, 2018 to December 31, 2018, Fluidigm Corporation (the “Company”) evaluated its current products and determined that certain “conflict minerals,” as defined in Section 1, Item 1.01(d)(3) of Form SD, are necessary to the functionality or production of products manufactured by the Company, which are referred to in this Form SD as “necessary conflict minerals.” Accordingly, the Company conducted a reasonable country of origin inquiry to determine whether during 2018 its necessary conflict minerals originated in the Democratic Republic of the Congo or certain adjoining countries, which are referred to in this Form SD collectively as the “covered countries.” The Company then conducted due diligence designed to conform to the Organisation for Economic Co-operation and Development, or OECD, Due Diligence Guidance for Responsible Supply Chains of Minerals from Conflict-Affected and High-Risk Areas in order to determine whether any of the Company’s necessary conflict minerals originated from any of the covered countries during 2018 and whether these conflict minerals benefitted, directly or indirectly, armed groups in any of the covered countries.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Conflict Minerals Disclosure</w:t>
      </w:r>
    </w:p>
    <w:p>
      <w:pPr>
        <w:spacing w:after="0" w:line="276" w:lineRule="exact"/>
        <w:rPr>
          <w:sz w:val="20"/>
          <w:szCs w:val="20"/>
          <w:color w:val="auto"/>
        </w:rPr>
      </w:pPr>
    </w:p>
    <w:p>
      <w:pPr>
        <w:jc w:val="both"/>
        <w:ind w:right="200" w:firstLine="648"/>
        <w:spacing w:after="0" w:line="447" w:lineRule="auto"/>
        <w:rPr>
          <w:sz w:val="20"/>
          <w:szCs w:val="20"/>
          <w:color w:val="auto"/>
        </w:rPr>
      </w:pPr>
      <w:r>
        <w:rPr>
          <w:rFonts w:ascii="Arial" w:cs="Arial" w:eastAsia="Arial" w:hAnsi="Arial"/>
          <w:sz w:val="19"/>
          <w:szCs w:val="19"/>
          <w:color w:val="auto"/>
        </w:rPr>
        <w:t>In accordance with Rule 13p-1 promulgated under the Securities Exchange Act of 1934, as amended, and this Specialized Disclosure Report on Form SD, the Company is filing a Conflict Minerals Report, which is attached as Exhibit 1.01 hereto. A copy of this Form SD and the Conflict Minerals Report are publicly available at http://investors.fluidigm.com/financial-information/sec-filings.</w:t>
      </w:r>
    </w:p>
    <w:p>
      <w:pPr>
        <w:spacing w:after="0" w:line="124" w:lineRule="exact"/>
        <w:rPr>
          <w:sz w:val="20"/>
          <w:szCs w:val="20"/>
          <w:color w:val="auto"/>
        </w:rPr>
      </w:pPr>
    </w:p>
    <w:p>
      <w:pPr>
        <w:ind w:left="140"/>
        <w:spacing w:after="0"/>
        <w:tabs>
          <w:tab w:leader="none" w:pos="1320" w:val="left"/>
        </w:tabs>
        <w:rPr>
          <w:sz w:val="20"/>
          <w:szCs w:val="20"/>
          <w:color w:val="auto"/>
        </w:rPr>
      </w:pPr>
      <w:r>
        <w:rPr>
          <w:rFonts w:ascii="Arial" w:cs="Arial" w:eastAsia="Arial" w:hAnsi="Arial"/>
          <w:sz w:val="20"/>
          <w:szCs w:val="20"/>
          <w:b w:val="1"/>
          <w:bCs w:val="1"/>
          <w:color w:val="auto"/>
        </w:rPr>
        <w:t>Item 1.02</w:t>
      </w:r>
      <w:r>
        <w:rPr>
          <w:sz w:val="20"/>
          <w:szCs w:val="20"/>
          <w:color w:val="auto"/>
        </w:rPr>
        <w:tab/>
      </w:r>
      <w:r>
        <w:rPr>
          <w:rFonts w:ascii="Arial" w:cs="Arial" w:eastAsia="Arial" w:hAnsi="Arial"/>
          <w:sz w:val="19"/>
          <w:szCs w:val="19"/>
          <w:b w:val="1"/>
          <w:bCs w:val="1"/>
          <w:color w:val="auto"/>
        </w:rPr>
        <w:t>Exhibit</w:t>
      </w:r>
    </w:p>
    <w:p>
      <w:pPr>
        <w:spacing w:after="0" w:line="249" w:lineRule="exact"/>
        <w:rPr>
          <w:sz w:val="20"/>
          <w:szCs w:val="20"/>
          <w:color w:val="auto"/>
        </w:rPr>
      </w:pPr>
    </w:p>
    <w:p>
      <w:pPr>
        <w:ind w:firstLine="648"/>
        <w:spacing w:after="0" w:line="430" w:lineRule="auto"/>
        <w:rPr>
          <w:sz w:val="20"/>
          <w:szCs w:val="20"/>
          <w:color w:val="auto"/>
        </w:rPr>
      </w:pPr>
      <w:r>
        <w:rPr>
          <w:rFonts w:ascii="Arial" w:cs="Arial" w:eastAsia="Arial" w:hAnsi="Arial"/>
          <w:sz w:val="20"/>
          <w:szCs w:val="20"/>
          <w:color w:val="auto"/>
        </w:rPr>
        <w:t>In accordance with Rule 13p-1, and this Form SD, the Company is filing its Conflict Minerals Report, which is attached as Exhibit 1.01 to this Form SD.</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Section 2 - Exhibits</w:t>
      </w:r>
    </w:p>
    <w:p>
      <w:pPr>
        <w:spacing w:after="0" w:line="200" w:lineRule="exact"/>
        <w:rPr>
          <w:sz w:val="20"/>
          <w:szCs w:val="20"/>
          <w:color w:val="auto"/>
        </w:rPr>
      </w:pPr>
    </w:p>
    <w:p>
      <w:pPr>
        <w:spacing w:after="0" w:line="218" w:lineRule="exact"/>
        <w:rPr>
          <w:sz w:val="20"/>
          <w:szCs w:val="20"/>
          <w:color w:val="auto"/>
        </w:rPr>
      </w:pPr>
    </w:p>
    <w:p>
      <w:pPr>
        <w:ind w:left="100"/>
        <w:spacing w:after="0"/>
        <w:tabs>
          <w:tab w:leader="none" w:pos="1340" w:val="left"/>
        </w:tabs>
        <w:rPr>
          <w:sz w:val="20"/>
          <w:szCs w:val="20"/>
          <w:color w:val="auto"/>
        </w:rPr>
      </w:pPr>
      <w:r>
        <w:rPr>
          <w:rFonts w:ascii="Arial" w:cs="Arial" w:eastAsia="Arial" w:hAnsi="Arial"/>
          <w:sz w:val="20"/>
          <w:szCs w:val="20"/>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exhibit is filed as part of this Form SD.</w:t>
      </w:r>
    </w:p>
    <w:p>
      <w:pPr>
        <w:spacing w:after="0" w:line="351"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1480" w:type="dxa"/>
            <w:vAlign w:val="bottom"/>
            <w:gridSpan w:val="2"/>
          </w:tcPr>
          <w:p>
            <w:pPr>
              <w:ind w:left="80"/>
              <w:spacing w:after="0"/>
              <w:rPr>
                <w:sz w:val="20"/>
                <w:szCs w:val="20"/>
                <w:color w:val="auto"/>
              </w:rPr>
            </w:pPr>
            <w:r>
              <w:rPr>
                <w:rFonts w:ascii="Arial" w:cs="Arial" w:eastAsia="Arial" w:hAnsi="Arial"/>
                <w:sz w:val="20"/>
                <w:szCs w:val="20"/>
                <w:color w:val="auto"/>
              </w:rPr>
              <w:t>Exhibit No.</w:t>
            </w:r>
          </w:p>
        </w:tc>
        <w:tc>
          <w:tcPr>
            <w:tcW w:w="9780" w:type="dxa"/>
            <w:vAlign w:val="bottom"/>
          </w:tcPr>
          <w:p>
            <w:pPr>
              <w:ind w:left="80"/>
              <w:spacing w:after="0"/>
              <w:rPr>
                <w:sz w:val="20"/>
                <w:szCs w:val="20"/>
                <w:color w:val="auto"/>
              </w:rPr>
            </w:pPr>
            <w:r>
              <w:rPr>
                <w:rFonts w:ascii="Arial" w:cs="Arial" w:eastAsia="Arial" w:hAnsi="Arial"/>
                <w:sz w:val="20"/>
                <w:szCs w:val="20"/>
                <w:color w:val="auto"/>
              </w:rPr>
              <w:t>Description</w:t>
            </w:r>
          </w:p>
        </w:tc>
      </w:tr>
      <w:tr>
        <w:trPr>
          <w:trHeight w:val="50"/>
        </w:trPr>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780" w:type="dxa"/>
            <w:vAlign w:val="bottom"/>
            <w:tcBorders>
              <w:bottom w:val="single" w:sz="8" w:color="auto"/>
            </w:tcBorders>
          </w:tcPr>
          <w:p>
            <w:pPr>
              <w:spacing w:after="0"/>
              <w:rPr>
                <w:sz w:val="4"/>
                <w:szCs w:val="4"/>
                <w:color w:val="auto"/>
              </w:rPr>
            </w:pPr>
          </w:p>
        </w:tc>
      </w:tr>
      <w:tr>
        <w:trPr>
          <w:trHeight w:val="254"/>
        </w:trPr>
        <w:tc>
          <w:tcPr>
            <w:tcW w:w="1360" w:type="dxa"/>
            <w:vAlign w:val="bottom"/>
          </w:tcPr>
          <w:p>
            <w:pPr>
              <w:jc w:val="right"/>
              <w:ind w:right="861"/>
              <w:spacing w:after="0"/>
              <w:rPr>
                <w:sz w:val="20"/>
                <w:szCs w:val="20"/>
                <w:color w:val="auto"/>
              </w:rPr>
            </w:pPr>
            <w:r>
              <w:rPr>
                <w:rFonts w:ascii="Arial" w:cs="Arial" w:eastAsia="Arial" w:hAnsi="Arial"/>
                <w:sz w:val="20"/>
                <w:szCs w:val="20"/>
                <w:color w:val="auto"/>
                <w:w w:val="97"/>
              </w:rPr>
              <w:t>1.01</w:t>
            </w:r>
          </w:p>
        </w:tc>
        <w:tc>
          <w:tcPr>
            <w:tcW w:w="120" w:type="dxa"/>
            <w:vAlign w:val="bottom"/>
          </w:tcPr>
          <w:p>
            <w:pPr>
              <w:spacing w:after="0"/>
              <w:rPr>
                <w:sz w:val="22"/>
                <w:szCs w:val="22"/>
                <w:color w:val="auto"/>
              </w:rPr>
            </w:pPr>
          </w:p>
        </w:tc>
        <w:tc>
          <w:tcPr>
            <w:tcW w:w="9780" w:type="dxa"/>
            <w:vAlign w:val="bottom"/>
          </w:tcPr>
          <w:p>
            <w:pPr>
              <w:ind w:left="80"/>
              <w:spacing w:after="0"/>
              <w:rPr>
                <w:sz w:val="20"/>
                <w:szCs w:val="20"/>
                <w:color w:val="auto"/>
              </w:rPr>
            </w:pPr>
            <w:r>
              <w:rPr>
                <w:rFonts w:ascii="Arial" w:cs="Arial" w:eastAsia="Arial" w:hAnsi="Arial"/>
                <w:sz w:val="20"/>
                <w:szCs w:val="20"/>
                <w:color w:val="auto"/>
              </w:rPr>
              <w:t>Fluidigm Corporation Conflict Minerals Report as required by Items 1.01 and 1.02 of this Form SD.</w:t>
            </w:r>
          </w:p>
        </w:tc>
      </w:tr>
    </w:tbl>
    <w:p>
      <w:pPr>
        <w:sectPr>
          <w:pgSz w:w="11900" w:h="16838" w:orient="portrait"/>
          <w:cols w:equalWidth="0" w:num="1">
            <w:col w:w="11400"/>
          </w:cols>
          <w:pgMar w:left="240" w:top="873" w:right="2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right="20"/>
        <w:spacing w:after="0" w:line="44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FLUIDIGM CORPORATION</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(Registrant)</w:t>
      </w:r>
    </w:p>
    <w:p>
      <w:pPr>
        <w:spacing w:after="0" w:line="374" w:lineRule="exact"/>
        <w:rPr>
          <w:sz w:val="20"/>
          <w:szCs w:val="20"/>
          <w:color w:val="auto"/>
        </w:rPr>
      </w:pPr>
    </w:p>
    <w:tbl>
      <w:tblPr>
        <w:tblLayout w:type="fixed"/>
        <w:tblInd w:w="140" w:type="dxa"/>
        <w:tblCellMar>
          <w:top w:w="0" w:type="dxa"/>
          <w:left w:w="0" w:type="dxa"/>
          <w:bottom w:w="0" w:type="dxa"/>
          <w:right w:w="0" w:type="dxa"/>
        </w:tblCellMar>
      </w:tblP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 Nicholas Khadder</w:t>
            </w: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May 30, 2019</w:t>
            </w:r>
          </w:p>
        </w:tc>
      </w:tr>
      <w:tr>
        <w:trPr>
          <w:trHeight w:val="54"/>
        </w:trPr>
        <w:tc>
          <w:tcPr>
            <w:tcW w:w="620" w:type="dxa"/>
            <w:vAlign w:val="bottom"/>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r>
      <w:tr>
        <w:trPr>
          <w:trHeight w:val="237"/>
        </w:trPr>
        <w:tc>
          <w:tcPr>
            <w:tcW w:w="620" w:type="dxa"/>
            <w:vAlign w:val="bottom"/>
          </w:tcPr>
          <w:p>
            <w:pPr>
              <w:spacing w:after="0"/>
              <w:rPr>
                <w:sz w:val="20"/>
                <w:szCs w:val="20"/>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Nicholas Khadder</w:t>
            </w: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(Date)</w:t>
            </w:r>
          </w:p>
        </w:tc>
      </w:tr>
      <w:tr>
        <w:trPr>
          <w:trHeight w:val="284"/>
        </w:trPr>
        <w:tc>
          <w:tcPr>
            <w:tcW w:w="620" w:type="dxa"/>
            <w:vAlign w:val="bottom"/>
          </w:tcPr>
          <w:p>
            <w:pPr>
              <w:spacing w:after="0"/>
              <w:rPr>
                <w:sz w:val="24"/>
                <w:szCs w:val="24"/>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Senior Vice President, General Counsel, and Corporate Secretary</w:t>
            </w:r>
          </w:p>
        </w:tc>
        <w:tc>
          <w:tcPr>
            <w:tcW w:w="4940" w:type="dxa"/>
            <w:vAlign w:val="bottom"/>
          </w:tcPr>
          <w:p>
            <w:pPr>
              <w:spacing w:after="0"/>
              <w:rPr>
                <w:sz w:val="24"/>
                <w:szCs w:val="24"/>
                <w:color w:val="auto"/>
              </w:rPr>
            </w:pPr>
          </w:p>
        </w:tc>
      </w:tr>
    </w:tbl>
    <w:p>
      <w:pPr>
        <w:sectPr>
          <w:pgSz w:w="11900" w:h="16838" w:orient="portrait"/>
          <w:cols w:equalWidth="0" w:num="1">
            <w:col w:w="11320"/>
          </w:cols>
          <w:pgMar w:left="240" w:top="81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380"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Fluidigm Corporation</w:t>
      </w:r>
    </w:p>
    <w:p>
      <w:pPr>
        <w:spacing w:after="0" w:line="175"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Conflict Minerals Report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Reporting Period from January 1, 2018 to December 31, 2018</w:t>
      </w:r>
    </w:p>
    <w:p>
      <w:pPr>
        <w:spacing w:after="0" w:line="200" w:lineRule="exact"/>
        <w:rPr>
          <w:sz w:val="20"/>
          <w:szCs w:val="20"/>
          <w:color w:val="auto"/>
        </w:rPr>
      </w:pPr>
    </w:p>
    <w:p>
      <w:pPr>
        <w:spacing w:after="0" w:line="251" w:lineRule="exact"/>
        <w:rPr>
          <w:sz w:val="20"/>
          <w:szCs w:val="20"/>
          <w:color w:val="auto"/>
        </w:rPr>
      </w:pPr>
    </w:p>
    <w:p>
      <w:pPr>
        <w:ind w:right="60" w:firstLine="648"/>
        <w:spacing w:after="0" w:line="397" w:lineRule="auto"/>
        <w:rPr>
          <w:sz w:val="20"/>
          <w:szCs w:val="20"/>
          <w:color w:val="auto"/>
        </w:rPr>
      </w:pPr>
      <w:r>
        <w:rPr>
          <w:rFonts w:ascii="Arial" w:cs="Arial" w:eastAsia="Arial" w:hAnsi="Arial"/>
          <w:sz w:val="18"/>
          <w:szCs w:val="18"/>
          <w:i w:val="1"/>
          <w:iCs w:val="1"/>
          <w:color w:val="auto"/>
        </w:rPr>
        <w:t>Cautionary Note Concerning Forward-Looking Statements: This Conflict Minerals Report contains forward-looking statements within the meaning of federal securities laws. These forward-looking statements include statements concerning Fluidigm’s objectives for its conflict minerals policy and compliance initiatives and actions it intends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Fluidigm files with the United States Securities and Exchange Commission, including Fluidigm’s Annual Report on Form 10-K for the year ended December 31, 2018 and its subsequent Quarterly Reports on Form 10-Q. The risk factors included in these filings are not exhaustive, and risks that are not identified therein could materially affect whether Fluidigm realizes the results anticipated or implied by any forward-looking statements contained in this Conflict Minerals Report. Except as required by law, Fluidigm disclaims any obligation to update these forward-looking statements, whether as a result of new information, future events, or otherwise.</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00" w:lineRule="exact"/>
        <w:rPr>
          <w:sz w:val="20"/>
          <w:szCs w:val="20"/>
          <w:color w:val="auto"/>
        </w:rPr>
      </w:pPr>
    </w:p>
    <w:p>
      <w:pPr>
        <w:spacing w:after="0" w:line="251" w:lineRule="exact"/>
        <w:rPr>
          <w:sz w:val="20"/>
          <w:szCs w:val="20"/>
          <w:color w:val="auto"/>
        </w:rPr>
      </w:pPr>
    </w:p>
    <w:p>
      <w:pPr>
        <w:ind w:firstLine="648"/>
        <w:spacing w:after="0" w:line="377" w:lineRule="auto"/>
        <w:rPr>
          <w:sz w:val="20"/>
          <w:szCs w:val="20"/>
          <w:color w:val="auto"/>
        </w:rPr>
      </w:pPr>
      <w:r>
        <w:rPr>
          <w:rFonts w:ascii="Arial" w:cs="Arial" w:eastAsia="Arial" w:hAnsi="Arial"/>
          <w:sz w:val="19"/>
          <w:szCs w:val="19"/>
          <w:color w:val="auto"/>
        </w:rPr>
        <w:t>This Conflict Minerals Report (this “Report”) for Fluidigm Corporation (“Fluidigm” or “we” or “our”) covers the reporting period from January 1, 2018 to December 31, 2018 and is presented in accordance with Rule 13p-1 promulgated under the Securities Exchange Act of 1934, as amended (“Rule 13p-1”). This Report is filed as Exhibit 1.01 to our Specialized Disclosure Report on Form SD (the “Form SD”). A copy of this Report and the Form SD are publicly available on our website at http://investors.fluidigm.com/financial-information/sec-filings. Information contained on, or that can be accessed through, our website, does not constitute part of this Report and inclusion of our website address in this Report is an inactive textual reference only.</w:t>
      </w:r>
    </w:p>
    <w:p>
      <w:pPr>
        <w:spacing w:after="0" w:line="304" w:lineRule="exact"/>
        <w:rPr>
          <w:sz w:val="20"/>
          <w:szCs w:val="20"/>
          <w:color w:val="auto"/>
        </w:rPr>
      </w:pPr>
    </w:p>
    <w:p>
      <w:pPr>
        <w:ind w:right="180" w:firstLine="648"/>
        <w:spacing w:after="0" w:line="401" w:lineRule="auto"/>
        <w:rPr>
          <w:sz w:val="20"/>
          <w:szCs w:val="20"/>
          <w:color w:val="auto"/>
        </w:rPr>
      </w:pPr>
      <w:r>
        <w:rPr>
          <w:rFonts w:ascii="Arial" w:cs="Arial" w:eastAsia="Arial" w:hAnsi="Arial"/>
          <w:sz w:val="18"/>
          <w:szCs w:val="18"/>
          <w:color w:val="auto"/>
        </w:rPr>
        <w:t>In 2010, the United States enacted the Dodd-Frank Wall Street Reform and Consumer Protection Act (the “Act”). Section 1502 of the Act relates to conflict minerals and requires companies subject to the Act to file a Form SD annually with the United States Securities and Exchange Commission (“SEC”) to disclose whether the minerals specified in Rule 13p-1 and their derivatives, limited to tungsten, tantalum, tin, and gold (referred to as the “3TG minerals”), used in their products benefitted, directly or indirectly, armed groups in the Democratic Republic of the Congo and adjoining countries (collectively, the “Covered Countries”). This Report, which is an exhibit to our Form SD, describes the design and implementation of our conflict minerals due diligence measures undertaken,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9" w:right="239" w:bottom="1440" w:gutter="0" w:footer="0" w:header="0"/>
        </w:sectPr>
      </w:pPr>
    </w:p>
    <w:bookmarkStart w:id="4" w:name="page5"/>
    <w:bookmarkEnd w:id="4"/>
    <w:p>
      <w:pPr>
        <w:ind w:right="620"/>
        <w:spacing w:after="0" w:line="373" w:lineRule="auto"/>
        <w:rPr>
          <w:sz w:val="20"/>
          <w:szCs w:val="20"/>
          <w:color w:val="auto"/>
        </w:rPr>
      </w:pPr>
      <w:r>
        <w:rPr>
          <w:rFonts w:ascii="Arial" w:cs="Arial" w:eastAsia="Arial" w:hAnsi="Arial"/>
          <w:sz w:val="20"/>
          <w:szCs w:val="20"/>
          <w:color w:val="auto"/>
        </w:rPr>
        <w:t>including a description of how these measures were designed to determine, to our knowledge, the source mines, countries of origin, and processing facilities for 3TG minerals contained in components used in our products.</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Fluidigm Background and Covered Products</w:t>
      </w:r>
    </w:p>
    <w:p>
      <w:pPr>
        <w:spacing w:after="0" w:line="200" w:lineRule="exact"/>
        <w:rPr>
          <w:sz w:val="20"/>
          <w:szCs w:val="20"/>
          <w:color w:val="auto"/>
        </w:rPr>
      </w:pPr>
    </w:p>
    <w:p>
      <w:pPr>
        <w:spacing w:after="0" w:line="251" w:lineRule="exact"/>
        <w:rPr>
          <w:sz w:val="20"/>
          <w:szCs w:val="20"/>
          <w:color w:val="auto"/>
        </w:rPr>
      </w:pPr>
    </w:p>
    <w:p>
      <w:pPr>
        <w:ind w:firstLine="648"/>
        <w:spacing w:after="0" w:line="397" w:lineRule="auto"/>
        <w:rPr>
          <w:sz w:val="20"/>
          <w:szCs w:val="20"/>
          <w:color w:val="auto"/>
        </w:rPr>
      </w:pPr>
      <w:r>
        <w:rPr>
          <w:rFonts w:ascii="Arial" w:cs="Arial" w:eastAsia="Arial" w:hAnsi="Arial"/>
          <w:sz w:val="18"/>
          <w:szCs w:val="18"/>
          <w:color w:val="auto"/>
        </w:rPr>
        <w:t>We create, manufacture, and market innovative technologies and life science tools, including preparatory and analytical instruments for Mass Cytometry, PCR, Library Prep, Single Cell Genomics, and consumables, including IFCs, assays, and reagents. 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 We sell our instruments to leading academic research institutions, translational research and medicine centers, cancer centers, clinical research laboratories, and biopharmaceutical, biotechnology and plant and animal research companies. Our microfluidic systems, instrumentation, and IFCs for commercial sale, as well as for internal research and development purposes, are manufactured at our facility in Singapore. Our proteomics analytical instruments, assays and reagents for commercial sale, as well as for internal research and development purposes, are manufactured at our facility in Canada. We also manufacture assays and reagents at our facilities in South San Francisco, California.</w:t>
      </w:r>
    </w:p>
    <w:p>
      <w:pPr>
        <w:spacing w:after="0" w:line="290" w:lineRule="exact"/>
        <w:rPr>
          <w:sz w:val="20"/>
          <w:szCs w:val="20"/>
          <w:color w:val="auto"/>
        </w:rPr>
      </w:pPr>
    </w:p>
    <w:p>
      <w:pPr>
        <w:jc w:val="both"/>
        <w:ind w:right="80" w:firstLine="648"/>
        <w:spacing w:after="0" w:line="416" w:lineRule="auto"/>
        <w:rPr>
          <w:sz w:val="20"/>
          <w:szCs w:val="20"/>
          <w:color w:val="auto"/>
        </w:rPr>
      </w:pPr>
      <w:r>
        <w:rPr>
          <w:rFonts w:ascii="Arial" w:cs="Arial" w:eastAsia="Arial" w:hAnsi="Arial"/>
          <w:sz w:val="18"/>
          <w:szCs w:val="18"/>
          <w:color w:val="auto"/>
        </w:rPr>
        <w:t>We have determined that one or more of the 3TG minerals may be necessary to the functionality or production of certain products we manufactured, or contracted to manufacture, as applicable, during 2018, including our C1, Juno, Access Array, Biomark HD, EP1, Helios, and Hyperion Imaging systems. As a result, all of our marketed systems and IFCs are considered “covered products” for purposes of this Report.</w:t>
      </w:r>
    </w:p>
    <w:p>
      <w:pPr>
        <w:spacing w:after="0" w:line="274" w:lineRule="exact"/>
        <w:rPr>
          <w:sz w:val="20"/>
          <w:szCs w:val="20"/>
          <w:color w:val="auto"/>
        </w:rPr>
      </w:pPr>
    </w:p>
    <w:p>
      <w:pPr>
        <w:ind w:right="280" w:firstLine="648"/>
        <w:spacing w:after="0" w:line="359" w:lineRule="auto"/>
        <w:rPr>
          <w:sz w:val="20"/>
          <w:szCs w:val="20"/>
          <w:color w:val="auto"/>
        </w:rPr>
      </w:pPr>
      <w:r>
        <w:rPr>
          <w:rFonts w:ascii="Arial" w:cs="Arial" w:eastAsia="Arial" w:hAnsi="Arial"/>
          <w:sz w:val="20"/>
          <w:szCs w:val="20"/>
          <w:color w:val="auto"/>
        </w:rPr>
        <w:t>Our supply chain with respect to the covered products is complex, and there are many third parties in the supply chain between the original source of the 3TG minerals and the manufacture of the covered products. We do not purchase raw ore or unrefined 3TG minerals directly and make no purchases in the Covered Countries. As a result and as described more fully below, we rely on our suppliers to provide information on the origin of the conflict minerals contained in our products.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Fluidigm Reasonable Country of Origin Inquiry</w:t>
      </w:r>
    </w:p>
    <w:p>
      <w:pPr>
        <w:spacing w:after="0" w:line="200" w:lineRule="exact"/>
        <w:rPr>
          <w:sz w:val="20"/>
          <w:szCs w:val="20"/>
          <w:color w:val="auto"/>
        </w:rPr>
      </w:pPr>
    </w:p>
    <w:p>
      <w:pPr>
        <w:spacing w:after="0" w:line="251" w:lineRule="exact"/>
        <w:rPr>
          <w:sz w:val="20"/>
          <w:szCs w:val="20"/>
          <w:color w:val="auto"/>
        </w:rPr>
      </w:pPr>
    </w:p>
    <w:p>
      <w:pPr>
        <w:ind w:right="220" w:firstLine="648"/>
        <w:spacing w:after="0" w:line="408" w:lineRule="auto"/>
        <w:rPr>
          <w:sz w:val="20"/>
          <w:szCs w:val="20"/>
          <w:color w:val="auto"/>
        </w:rPr>
      </w:pPr>
      <w:r>
        <w:rPr>
          <w:rFonts w:ascii="Arial" w:cs="Arial" w:eastAsia="Arial" w:hAnsi="Arial"/>
          <w:sz w:val="18"/>
          <w:szCs w:val="18"/>
          <w:color w:val="auto"/>
        </w:rPr>
        <w:t>In accordance with Rule 13p-1 and Form SD, we determined that one or more of the 3TG minerals may be necessary to the functionality or production of our systems and IFCs and that such 3TG minerals are incorporated into our products during the manufacturing process. Accordingly, we undertook a reasonable country of origin inquiry (“RCOI”). This good faith RCOI was reasonably designed to determine whether any of the 3TG minerals incorporated into our products originated in the Covered Countries.</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784" w:right="279" w:bottom="1440" w:gutter="0" w:footer="0" w:header="0"/>
        </w:sectPr>
      </w:pPr>
    </w:p>
    <w:bookmarkStart w:id="5" w:name="page6"/>
    <w:bookmarkEnd w:id="5"/>
    <w:p>
      <w:pPr>
        <w:ind w:right="60" w:firstLine="648"/>
        <w:spacing w:after="0" w:line="356" w:lineRule="auto"/>
        <w:rPr>
          <w:sz w:val="20"/>
          <w:szCs w:val="20"/>
          <w:color w:val="auto"/>
        </w:rPr>
      </w:pPr>
      <w:r>
        <w:rPr>
          <w:rFonts w:ascii="Arial" w:cs="Arial" w:eastAsia="Arial" w:hAnsi="Arial"/>
          <w:sz w:val="20"/>
          <w:szCs w:val="20"/>
          <w:color w:val="auto"/>
        </w:rPr>
        <w:t>Our RCOI consisted principally of submitting the conflict minerals reporting template (the “RMI Template”) prepared by the Responsible Minerals Initiative (“RMI”), formerly the Conflict-Free Sourcing Initiative (CFSI), an initiative of the Responsible Business Alliance and Global e-Sustainability Initiative, to suppliers of components for our products that are considered necessary to the functionality or production of our products and for which any 3TG minerals or their derivatives may be included (“first tier suppliers”). We reviewed all responses for completeness, reasonableness, and consistency, and we followed up for corrections and clarifications as we determined appropriate.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Fluidigm’s Due Diligence Process</w:t>
      </w:r>
    </w:p>
    <w:p>
      <w:pPr>
        <w:spacing w:after="0" w:line="200" w:lineRule="exact"/>
        <w:rPr>
          <w:sz w:val="20"/>
          <w:szCs w:val="20"/>
          <w:color w:val="auto"/>
        </w:rPr>
      </w:pPr>
    </w:p>
    <w:p>
      <w:pPr>
        <w:spacing w:after="0" w:line="251" w:lineRule="exact"/>
        <w:rPr>
          <w:sz w:val="20"/>
          <w:szCs w:val="20"/>
          <w:color w:val="auto"/>
        </w:rPr>
      </w:pPr>
    </w:p>
    <w:p>
      <w:pPr>
        <w:ind w:firstLine="648"/>
        <w:spacing w:after="0" w:line="355" w:lineRule="auto"/>
        <w:rPr>
          <w:sz w:val="20"/>
          <w:szCs w:val="20"/>
          <w:color w:val="auto"/>
        </w:rPr>
      </w:pPr>
      <w:r>
        <w:rPr>
          <w:rFonts w:ascii="Arial" w:cs="Arial" w:eastAsia="Arial" w:hAnsi="Arial"/>
          <w:sz w:val="20"/>
          <w:szCs w:val="20"/>
          <w:color w:val="auto"/>
        </w:rPr>
        <w:t>Our due diligence measures were designed to conform, in all material respects, with the framework in the Organisation for Economic Co-operation and Development (“OECD”) Due Diligence Guidance for Responsible Supply Chains of Minerals from Conflict-Affected and High-Risk Areas (the “OECD Framework”). The objectives of our diligence initiative were to determine, to the best of our ability, whether any of the 3TG minerals are incorporated into our products; whether any such 3TG minerals incorporated into our products were necessary for the functionality and/or production of our products; the source and chain of custody of the 3TG minerals necessary for the functionality and/or production of our products; and whether any such 3TG minerals originated in the Covered Countries. In the event that 3TG minerals from the Covered Countries which benefit armed groups are found in our supply chain, we will take appropriate actions in a timely manner to resolve the situation.</w:t>
      </w:r>
    </w:p>
    <w:p>
      <w:pPr>
        <w:spacing w:after="0" w:line="3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Due diligence measures that we implemented included, but were not limited, to the following:</w:t>
      </w:r>
    </w:p>
    <w:p>
      <w:pPr>
        <w:spacing w:after="0" w:line="200" w:lineRule="exact"/>
        <w:rPr>
          <w:sz w:val="20"/>
          <w:szCs w:val="20"/>
          <w:color w:val="auto"/>
        </w:rPr>
      </w:pPr>
    </w:p>
    <w:p>
      <w:pPr>
        <w:spacing w:after="0" w:line="245" w:lineRule="exact"/>
        <w:rPr>
          <w:sz w:val="20"/>
          <w:szCs w:val="20"/>
          <w:color w:val="auto"/>
        </w:rPr>
      </w:pPr>
    </w:p>
    <w:p>
      <w:pPr>
        <w:ind w:left="1000" w:hanging="344"/>
        <w:spacing w:after="0"/>
        <w:tabs>
          <w:tab w:leader="none" w:pos="100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Establishment of Internal Management Systems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300" w:right="160" w:hanging="320"/>
        <w:spacing w:after="0" w:line="363"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i w:val="1"/>
          <w:iCs w:val="1"/>
          <w:color w:val="auto"/>
        </w:rPr>
        <w:t>Conflict Minerals Policy</w:t>
      </w:r>
      <w:r>
        <w:rPr>
          <w:rFonts w:ascii="Arial" w:cs="Arial" w:eastAsia="Arial" w:hAnsi="Arial"/>
          <w:sz w:val="20"/>
          <w:szCs w:val="20"/>
          <w:color w:val="auto"/>
        </w:rPr>
        <w:t>. In 2013, we adopted a written policy relating to the use of conflict minerals in our supply chain. We</w:t>
      </w:r>
      <w:r>
        <w:rPr>
          <w:rFonts w:ascii="Arial" w:cs="Arial" w:eastAsia="Arial" w:hAnsi="Arial"/>
          <w:sz w:val="20"/>
          <w:szCs w:val="20"/>
          <w:i w:val="1"/>
          <w:iCs w:val="1"/>
          <w:color w:val="auto"/>
        </w:rPr>
        <w:t xml:space="preserve"> </w:t>
      </w:r>
      <w:r>
        <w:rPr>
          <w:rFonts w:ascii="Arial" w:cs="Arial" w:eastAsia="Arial" w:hAnsi="Arial"/>
          <w:sz w:val="20"/>
          <w:szCs w:val="20"/>
          <w:color w:val="auto"/>
        </w:rPr>
        <w:t>have communicated this written policy to each of our first tier suppliers. A copy of Fluidigm’s Conflict Minerals Policy is publicly available at http://investors.fluidigm.com/corporate-governance.</w:t>
      </w:r>
    </w:p>
    <w:p>
      <w:pPr>
        <w:spacing w:after="0" w:line="306" w:lineRule="exact"/>
        <w:rPr>
          <w:rFonts w:ascii="Arial" w:cs="Arial" w:eastAsia="Arial" w:hAnsi="Arial"/>
          <w:sz w:val="20"/>
          <w:szCs w:val="20"/>
          <w:color w:val="auto"/>
        </w:rPr>
      </w:pPr>
    </w:p>
    <w:p>
      <w:pPr>
        <w:ind w:left="1300" w:right="80" w:hanging="320"/>
        <w:spacing w:after="0" w:line="363"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i w:val="1"/>
          <w:iCs w:val="1"/>
          <w:color w:val="auto"/>
        </w:rPr>
        <w:t>Internal Management to Support Supply Chain Due Diligence</w:t>
      </w:r>
      <w:r>
        <w:rPr>
          <w:rFonts w:ascii="Arial" w:cs="Arial" w:eastAsia="Arial" w:hAnsi="Arial"/>
          <w:sz w:val="20"/>
          <w:szCs w:val="20"/>
          <w:color w:val="auto"/>
        </w:rPr>
        <w:t>. Fluidigm’s legal department has been charged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management of our conflict minerals program, working in collaboration with members from our operations team in Singapore, Canada, and the United States.</w:t>
      </w:r>
    </w:p>
    <w:p>
      <w:pPr>
        <w:spacing w:after="0" w:line="306" w:lineRule="exact"/>
        <w:rPr>
          <w:rFonts w:ascii="Arial" w:cs="Arial" w:eastAsia="Arial" w:hAnsi="Arial"/>
          <w:sz w:val="20"/>
          <w:szCs w:val="20"/>
          <w:color w:val="auto"/>
        </w:rPr>
      </w:pPr>
    </w:p>
    <w:p>
      <w:pPr>
        <w:ind w:left="1300" w:right="40" w:hanging="320"/>
        <w:spacing w:after="0" w:line="359" w:lineRule="auto"/>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i w:val="1"/>
          <w:iCs w:val="1"/>
          <w:color w:val="auto"/>
        </w:rPr>
        <w:t>Controls and Transparency</w:t>
      </w:r>
      <w:r>
        <w:rPr>
          <w:rFonts w:ascii="Arial" w:cs="Arial" w:eastAsia="Arial" w:hAnsi="Arial"/>
          <w:sz w:val="20"/>
          <w:szCs w:val="20"/>
          <w:color w:val="auto"/>
        </w:rPr>
        <w:t>. As described above, we undertook a RCOI with respect to conflict minerals in our supply chain by</w:t>
      </w:r>
      <w:r>
        <w:rPr>
          <w:rFonts w:ascii="Arial" w:cs="Arial" w:eastAsia="Arial" w:hAnsi="Arial"/>
          <w:sz w:val="20"/>
          <w:szCs w:val="20"/>
          <w:i w:val="1"/>
          <w:iCs w:val="1"/>
          <w:color w:val="auto"/>
        </w:rPr>
        <w:t xml:space="preserve"> </w:t>
      </w:r>
      <w:r>
        <w:rPr>
          <w:rFonts w:ascii="Arial" w:cs="Arial" w:eastAsia="Arial" w:hAnsi="Arial"/>
          <w:sz w:val="20"/>
          <w:szCs w:val="20"/>
          <w:color w:val="auto"/>
        </w:rPr>
        <w:t>providing the RMI Template to each of our first tier suppliers to gather information about their use of 3TG minerals, the smelters and refiners in their supply chain that are included in our products, and the countries of origin for 3TG minerals used in our products.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84" w:right="239" w:bottom="1440" w:gutter="0" w:footer="0" w:header="0"/>
        </w:sectPr>
      </w:pPr>
    </w:p>
    <w:bookmarkStart w:id="6" w:name="page7"/>
    <w:bookmarkEnd w:id="6"/>
    <w:p>
      <w:pPr>
        <w:ind w:left="644"/>
        <w:spacing w:after="0" w:line="401" w:lineRule="auto"/>
        <w:rPr>
          <w:sz w:val="20"/>
          <w:szCs w:val="20"/>
          <w:color w:val="auto"/>
        </w:rPr>
      </w:pPr>
      <w:r>
        <w:rPr>
          <w:rFonts w:ascii="Arial" w:cs="Arial" w:eastAsia="Arial" w:hAnsi="Arial"/>
          <w:sz w:val="20"/>
          <w:szCs w:val="20"/>
          <w:color w:val="auto"/>
        </w:rPr>
        <w:t>We reviewed all responses for completeness, reasonableness, and consistency. We followed up for corrections and clarifications as we determined appropriate.</w:t>
      </w:r>
    </w:p>
    <w:p>
      <w:pPr>
        <w:spacing w:after="0" w:line="285" w:lineRule="exact"/>
        <w:rPr>
          <w:sz w:val="20"/>
          <w:szCs w:val="20"/>
          <w:color w:val="auto"/>
        </w:rPr>
      </w:pPr>
    </w:p>
    <w:p>
      <w:pPr>
        <w:ind w:left="644" w:right="80" w:hanging="320"/>
        <w:spacing w:after="0" w:line="404" w:lineRule="auto"/>
        <w:tabs>
          <w:tab w:leader="none" w:pos="644"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Supplier Engagement</w:t>
      </w:r>
      <w:r>
        <w:rPr>
          <w:rFonts w:ascii="Arial" w:cs="Arial" w:eastAsia="Arial" w:hAnsi="Arial"/>
          <w:sz w:val="18"/>
          <w:szCs w:val="18"/>
          <w:color w:val="auto"/>
        </w:rPr>
        <w:t>. We continue to engage actively with our first tier suppliers to strengthen our relationship with them.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communicated to our suppliers our commitment to source conflict minerals in a manner that does not, directly or indirectly, benefit armed groups in the Covered Countries. We will consider alternative arrangements for our supply needs if our suppliers are unable to cooperate in our due diligence efforts. In particular, as part of our supplier qualification process, we generally request conflict minerals information from each new supplier of potentially applicable products.</w:t>
      </w:r>
    </w:p>
    <w:p>
      <w:pPr>
        <w:spacing w:after="0" w:line="283" w:lineRule="exact"/>
        <w:rPr>
          <w:rFonts w:ascii="Arial" w:cs="Arial" w:eastAsia="Arial" w:hAnsi="Arial"/>
          <w:sz w:val="18"/>
          <w:szCs w:val="18"/>
          <w:color w:val="auto"/>
        </w:rPr>
      </w:pPr>
    </w:p>
    <w:p>
      <w:pPr>
        <w:jc w:val="both"/>
        <w:ind w:left="644" w:right="40" w:hanging="320"/>
        <w:spacing w:after="0" w:line="363" w:lineRule="auto"/>
        <w:tabs>
          <w:tab w:leader="none" w:pos="644" w:val="left"/>
        </w:tabs>
        <w:numPr>
          <w:ilvl w:val="1"/>
          <w:numId w:val="3"/>
        </w:numPr>
        <w:rPr>
          <w:rFonts w:ascii="Arial" w:cs="Arial" w:eastAsia="Arial" w:hAnsi="Arial"/>
          <w:sz w:val="20"/>
          <w:szCs w:val="20"/>
          <w:color w:val="auto"/>
        </w:rPr>
      </w:pPr>
      <w:r>
        <w:rPr>
          <w:rFonts w:ascii="Arial" w:cs="Arial" w:eastAsia="Arial" w:hAnsi="Arial"/>
          <w:sz w:val="20"/>
          <w:szCs w:val="20"/>
          <w:i w:val="1"/>
          <w:iCs w:val="1"/>
          <w:color w:val="auto"/>
        </w:rPr>
        <w:t>Grievance Mechanism</w:t>
      </w:r>
      <w:r>
        <w:rPr>
          <w:rFonts w:ascii="Arial" w:cs="Arial" w:eastAsia="Arial" w:hAnsi="Arial"/>
          <w:sz w:val="20"/>
          <w:szCs w:val="20"/>
          <w:color w:val="auto"/>
        </w:rPr>
        <w:t>. Our code of conduct includes procedures for reporting violations of our policies, including our Conflict</w:t>
      </w:r>
      <w:r>
        <w:rPr>
          <w:rFonts w:ascii="Arial" w:cs="Arial" w:eastAsia="Arial" w:hAnsi="Arial"/>
          <w:sz w:val="20"/>
          <w:szCs w:val="20"/>
          <w:i w:val="1"/>
          <w:iCs w:val="1"/>
          <w:color w:val="auto"/>
        </w:rPr>
        <w:t xml:space="preserve"> </w:t>
      </w:r>
      <w:r>
        <w:rPr>
          <w:rFonts w:ascii="Arial" w:cs="Arial" w:eastAsia="Arial" w:hAnsi="Arial"/>
          <w:sz w:val="20"/>
          <w:szCs w:val="20"/>
          <w:color w:val="auto"/>
        </w:rPr>
        <w:t>Minerals Policy. We provide mechanisms for anonymous reporting of violations or concerns about the conduct of our business, including the implementation and enforcement of our Conflict Minerals Policy.</w:t>
      </w:r>
    </w:p>
    <w:p>
      <w:pPr>
        <w:spacing w:after="0" w:line="306" w:lineRule="exact"/>
        <w:rPr>
          <w:rFonts w:ascii="Arial" w:cs="Arial" w:eastAsia="Arial" w:hAnsi="Arial"/>
          <w:sz w:val="20"/>
          <w:szCs w:val="20"/>
          <w:color w:val="auto"/>
        </w:rPr>
      </w:pPr>
    </w:p>
    <w:p>
      <w:pPr>
        <w:ind w:left="344" w:hanging="344"/>
        <w:spacing w:after="0"/>
        <w:tabs>
          <w:tab w:leader="none" w:pos="344"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Identification and Assessment of Risks in the Supply Chain</w:t>
      </w:r>
    </w:p>
    <w:p>
      <w:pPr>
        <w:spacing w:after="0" w:line="200" w:lineRule="exact"/>
        <w:rPr>
          <w:sz w:val="20"/>
          <w:szCs w:val="20"/>
          <w:color w:val="auto"/>
        </w:rPr>
      </w:pPr>
    </w:p>
    <w:p>
      <w:pPr>
        <w:spacing w:after="0" w:line="245" w:lineRule="exact"/>
        <w:rPr>
          <w:sz w:val="20"/>
          <w:szCs w:val="20"/>
          <w:color w:val="auto"/>
        </w:rPr>
      </w:pPr>
    </w:p>
    <w:p>
      <w:pPr>
        <w:ind w:left="4" w:right="100"/>
        <w:spacing w:after="0" w:line="359" w:lineRule="auto"/>
        <w:rPr>
          <w:sz w:val="20"/>
          <w:szCs w:val="20"/>
          <w:color w:val="auto"/>
        </w:rPr>
      </w:pPr>
      <w:r>
        <w:rPr>
          <w:rFonts w:ascii="Arial" w:cs="Arial" w:eastAsia="Arial" w:hAnsi="Arial"/>
          <w:sz w:val="20"/>
          <w:szCs w:val="20"/>
          <w:color w:val="auto"/>
        </w:rPr>
        <w:t>As discussed above, we identified our first tier suppliers and relied on them to provide the necessary information about the use of 3TG minerals in the products we purchase and incorporate into the manufacture of our systems and IFCs, and the source of such 3TG minerals. Similarly, our first tier suppliers rely on information provided by their suppliers to provide information regarding the country of origin of 3TG minerals included in our products.</w:t>
      </w:r>
    </w:p>
    <w:p>
      <w:pPr>
        <w:spacing w:after="0" w:line="312" w:lineRule="exact"/>
        <w:rPr>
          <w:sz w:val="20"/>
          <w:szCs w:val="20"/>
          <w:color w:val="auto"/>
        </w:rPr>
      </w:pPr>
    </w:p>
    <w:p>
      <w:pPr>
        <w:ind w:left="344" w:hanging="344"/>
        <w:spacing w:after="0"/>
        <w:tabs>
          <w:tab w:leader="none" w:pos="344"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Designing and Implementing a Strategy to Respond to Identified Risks</w:t>
      </w:r>
    </w:p>
    <w:p>
      <w:pPr>
        <w:spacing w:after="0" w:line="200" w:lineRule="exact"/>
        <w:rPr>
          <w:sz w:val="20"/>
          <w:szCs w:val="20"/>
          <w:color w:val="auto"/>
        </w:rPr>
      </w:pPr>
    </w:p>
    <w:p>
      <w:pPr>
        <w:spacing w:after="0" w:line="245" w:lineRule="exact"/>
        <w:rPr>
          <w:sz w:val="20"/>
          <w:szCs w:val="20"/>
          <w:color w:val="auto"/>
        </w:rPr>
      </w:pPr>
    </w:p>
    <w:p>
      <w:pPr>
        <w:ind w:left="4" w:right="60"/>
        <w:spacing w:after="0" w:line="359" w:lineRule="auto"/>
        <w:rPr>
          <w:sz w:val="20"/>
          <w:szCs w:val="20"/>
          <w:color w:val="auto"/>
        </w:rPr>
      </w:pPr>
      <w:r>
        <w:rPr>
          <w:rFonts w:ascii="Arial" w:cs="Arial" w:eastAsia="Arial" w:hAnsi="Arial"/>
          <w:sz w:val="20"/>
          <w:szCs w:val="20"/>
          <w:color w:val="auto"/>
        </w:rPr>
        <w:t>We have developed a formal risk management plan through which our conflict minerals program is managed and monitored. As part of this risk management plan, where applicable, we will review circumstances in which certain suppliers are unable to provide us with complete or reliable responses to the RMI Template including, without limitation, considering whether to continue such contract or relationship or find a replacement supplier.</w:t>
      </w:r>
    </w:p>
    <w:p>
      <w:pPr>
        <w:spacing w:after="0" w:line="312" w:lineRule="exact"/>
        <w:rPr>
          <w:sz w:val="20"/>
          <w:szCs w:val="20"/>
          <w:color w:val="auto"/>
        </w:rPr>
      </w:pPr>
    </w:p>
    <w:p>
      <w:pPr>
        <w:ind w:left="324" w:hanging="324"/>
        <w:spacing w:after="0"/>
        <w:tabs>
          <w:tab w:leader="none" w:pos="324"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Carrying Out Independent Third-Party Audit of Supply Chain Due Diligence at Identified Points in the Supply Chain</w:t>
      </w:r>
    </w:p>
    <w:p>
      <w:pPr>
        <w:spacing w:after="0" w:line="200" w:lineRule="exact"/>
        <w:rPr>
          <w:sz w:val="20"/>
          <w:szCs w:val="20"/>
          <w:color w:val="auto"/>
        </w:rPr>
      </w:pPr>
    </w:p>
    <w:p>
      <w:pPr>
        <w:spacing w:after="0" w:line="245" w:lineRule="exact"/>
        <w:rPr>
          <w:sz w:val="20"/>
          <w:szCs w:val="20"/>
          <w:color w:val="auto"/>
        </w:rPr>
      </w:pPr>
    </w:p>
    <w:p>
      <w:pPr>
        <w:ind w:left="4" w:right="280"/>
        <w:spacing w:after="0" w:line="363" w:lineRule="auto"/>
        <w:rPr>
          <w:sz w:val="20"/>
          <w:szCs w:val="20"/>
          <w:color w:val="auto"/>
        </w:rPr>
      </w:pPr>
      <w:r>
        <w:rPr>
          <w:rFonts w:ascii="Arial" w:cs="Arial" w:eastAsia="Arial" w:hAnsi="Arial"/>
          <w:sz w:val="20"/>
          <w:szCs w:val="20"/>
          <w:color w:val="auto"/>
        </w:rPr>
        <w:t>We do not have a direct relationship with any smelters or refiners in our supply chain. As a result, we do not and cannot conduct any audits directly. Instead, we support the development and implementation of independent third party audits of smelters such as the Responsible Minerals Assurance Program (“RMAP”)</w:t>
      </w:r>
    </w:p>
    <w:p>
      <w:pPr>
        <w:spacing w:after="0" w:line="24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798" w:right="239" w:bottom="1440" w:gutter="0" w:footer="0" w:header="0"/>
        </w:sectPr>
      </w:pPr>
    </w:p>
    <w:bookmarkStart w:id="7" w:name="page8"/>
    <w:bookmarkEnd w:id="7"/>
    <w:p>
      <w:pPr>
        <w:ind w:left="660" w:right="40"/>
        <w:spacing w:after="0" w:line="373" w:lineRule="auto"/>
        <w:rPr>
          <w:sz w:val="20"/>
          <w:szCs w:val="20"/>
          <w:color w:val="auto"/>
        </w:rPr>
      </w:pPr>
      <w:r>
        <w:rPr>
          <w:rFonts w:ascii="Arial" w:cs="Arial" w:eastAsia="Arial" w:hAnsi="Arial"/>
          <w:sz w:val="20"/>
          <w:szCs w:val="20"/>
          <w:color w:val="auto"/>
        </w:rPr>
        <w:t>by encouraging our suppliers to purchase materials from audited, conflict-free smelters and determining whether the smelters that were used to process these minerals were validated as conflict-free by the RMAP.</w:t>
      </w:r>
    </w:p>
    <w:p>
      <w:pPr>
        <w:spacing w:after="0" w:line="298" w:lineRule="exact"/>
        <w:rPr>
          <w:sz w:val="20"/>
          <w:szCs w:val="20"/>
          <w:color w:val="auto"/>
        </w:rPr>
      </w:pPr>
    </w:p>
    <w:p>
      <w:pPr>
        <w:ind w:left="1000" w:hanging="344"/>
        <w:spacing w:after="0"/>
        <w:tabs>
          <w:tab w:leader="none" w:pos="1000"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Reporting on Supply Chain Due Diligence</w:t>
      </w:r>
    </w:p>
    <w:p>
      <w:pPr>
        <w:spacing w:after="0" w:line="200" w:lineRule="exact"/>
        <w:rPr>
          <w:sz w:val="20"/>
          <w:szCs w:val="20"/>
          <w:color w:val="auto"/>
        </w:rPr>
      </w:pPr>
    </w:p>
    <w:p>
      <w:pPr>
        <w:spacing w:after="0" w:line="245" w:lineRule="exact"/>
        <w:rPr>
          <w:sz w:val="20"/>
          <w:szCs w:val="20"/>
          <w:color w:val="auto"/>
        </w:rPr>
      </w:pPr>
    </w:p>
    <w:p>
      <w:pPr>
        <w:ind w:left="660" w:right="40"/>
        <w:spacing w:after="0" w:line="379" w:lineRule="auto"/>
        <w:rPr>
          <w:sz w:val="20"/>
          <w:szCs w:val="20"/>
          <w:color w:val="auto"/>
        </w:rPr>
      </w:pPr>
      <w:r>
        <w:rPr>
          <w:rFonts w:ascii="Arial" w:cs="Arial" w:eastAsia="Arial" w:hAnsi="Arial"/>
          <w:sz w:val="19"/>
          <w:szCs w:val="19"/>
          <w:color w:val="auto"/>
        </w:rPr>
        <w:t>We publicly filed the Form SD and this Report with the SEC. A copy of this Report and the Form SD are publicly available at http://investors.fluidigm.com/financial-information/sec-filings. This Report includes information about the RCOI methodology utilized by the Company, the design of our due diligence process in conformance with the OECD Framework, the list of known smelters and refiners utilized in our supply chain identified in our due diligence process, and a description of our products that incorporate 3TG minerals necessary to the functionality or production of such products.</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Smelters and Refiners in Fluidigm’s Supply Chain</w:t>
      </w:r>
    </w:p>
    <w:p>
      <w:pPr>
        <w:spacing w:after="0" w:line="200" w:lineRule="exact"/>
        <w:rPr>
          <w:sz w:val="20"/>
          <w:szCs w:val="20"/>
          <w:color w:val="auto"/>
        </w:rPr>
      </w:pPr>
    </w:p>
    <w:p>
      <w:pPr>
        <w:spacing w:after="0" w:line="251" w:lineRule="exact"/>
        <w:rPr>
          <w:sz w:val="20"/>
          <w:szCs w:val="20"/>
          <w:color w:val="auto"/>
        </w:rPr>
      </w:pPr>
    </w:p>
    <w:p>
      <w:pPr>
        <w:ind w:firstLine="648"/>
        <w:spacing w:after="0" w:line="408" w:lineRule="auto"/>
        <w:rPr>
          <w:sz w:val="20"/>
          <w:szCs w:val="20"/>
          <w:color w:val="auto"/>
        </w:rPr>
      </w:pPr>
      <w:r>
        <w:rPr>
          <w:rFonts w:ascii="Arial" w:cs="Arial" w:eastAsia="Arial" w:hAnsi="Arial"/>
          <w:sz w:val="18"/>
          <w:szCs w:val="18"/>
          <w:color w:val="auto"/>
        </w:rPr>
        <w:t>We adopted RMI’s industry approach to trace back the origin of 3TG minerals by identifying smelters, refineries, or recyclers and scrap supplier sources. We have leveraged industry initiatives such as the RMAP, which is a voluntary initiative in which an independent third party audits smelters and refiners to determine if all of the minerals processed by the smelter or refiner originated from conflict free sources. Participation in the RMAP provides us with verified information about the sourcing activities of the smelters and refiners in our supply chain.</w:t>
      </w:r>
    </w:p>
    <w:p>
      <w:pPr>
        <w:spacing w:after="0" w:line="281" w:lineRule="exact"/>
        <w:rPr>
          <w:sz w:val="20"/>
          <w:szCs w:val="20"/>
          <w:color w:val="auto"/>
        </w:rPr>
      </w:pPr>
    </w:p>
    <w:p>
      <w:pPr>
        <w:ind w:right="120" w:firstLine="648"/>
        <w:spacing w:after="0" w:line="355" w:lineRule="auto"/>
        <w:rPr>
          <w:sz w:val="20"/>
          <w:szCs w:val="20"/>
          <w:color w:val="auto"/>
        </w:rPr>
      </w:pPr>
      <w:r>
        <w:rPr>
          <w:rFonts w:ascii="Arial" w:cs="Arial" w:eastAsia="Arial" w:hAnsi="Arial"/>
          <w:sz w:val="20"/>
          <w:szCs w:val="20"/>
          <w:color w:val="auto"/>
        </w:rPr>
        <w:t>As discussed above, we submitted the RMI Template to our first tier suppliers. Most of the responses received from our first tier suppliers provided information at company/division levels, rather than specific product/part number levels. As a result, we were unable to determine whether or to what extent any of the 3TG minerals reported as used by these first tier suppliers were contained specifically in components supplied to us. We also were unable to validate whether the smelters or refiners reported by such first tier suppliers are actually in our supply chain. Accordingly, based on information that was provided by our first tier suppliers or that was otherwise obtained through our due diligence process, we are unable to determine and describe all facilities used to process the 3TG minerals contained in our covered products.</w:t>
      </w:r>
    </w:p>
    <w:p>
      <w:pPr>
        <w:spacing w:after="0" w:line="320" w:lineRule="exact"/>
        <w:rPr>
          <w:sz w:val="20"/>
          <w:szCs w:val="20"/>
          <w:color w:val="auto"/>
        </w:rPr>
      </w:pPr>
    </w:p>
    <w:p>
      <w:pPr>
        <w:ind w:firstLine="648"/>
        <w:spacing w:after="0" w:line="376" w:lineRule="auto"/>
        <w:rPr>
          <w:sz w:val="20"/>
          <w:szCs w:val="20"/>
          <w:color w:val="auto"/>
        </w:rPr>
      </w:pPr>
      <w:r>
        <w:rPr>
          <w:rFonts w:ascii="Arial" w:cs="Arial" w:eastAsia="Arial" w:hAnsi="Arial"/>
          <w:sz w:val="19"/>
          <w:szCs w:val="19"/>
          <w:color w:val="auto"/>
        </w:rPr>
        <w:t>Based on the information that was provided by our suppliers and otherwise obtained through the due diligence process, we believe that, to the extent reasonably determinable, the facilities that were used to process the 3TG minerals contained in the covered products included the smelters and refiners listed in Annex A attached hereto. This table excludes facilities that are not listed in the RMI Smelter Reference List as of May 24, 2019. An indication of “Conformant” in the far right column of the table indicates that the smelter or refinery has received a “conflict free” designation from an independent third party audit program or is presently undergoing a re-audit to maintain its “conflict free” designation. An indication of “In Process” in the far right column of the table indicates that the smelter or refinery has not yet received a “conflict free” designation, but is undergoing an audit process that will determine such status.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84" w:right="259" w:bottom="1440" w:gutter="0" w:footer="0" w:header="0"/>
        </w:sectPr>
      </w:pPr>
    </w:p>
    <w:bookmarkStart w:id="8" w:name="page9"/>
    <w:bookmarkEnd w:id="8"/>
    <w:p>
      <w:pPr>
        <w:ind w:right="100" w:firstLine="648"/>
        <w:spacing w:after="0" w:line="376" w:lineRule="auto"/>
        <w:rPr>
          <w:sz w:val="20"/>
          <w:szCs w:val="20"/>
          <w:color w:val="auto"/>
        </w:rPr>
      </w:pPr>
      <w:r>
        <w:rPr>
          <w:rFonts w:ascii="Arial" w:cs="Arial" w:eastAsia="Arial" w:hAnsi="Arial"/>
          <w:sz w:val="19"/>
          <w:szCs w:val="19"/>
          <w:color w:val="auto"/>
        </w:rPr>
        <w:t>Because the RMI Smelter Reference List generally did not indicate individual countries of origin of the conflict minerals processed by smelters and refiners, we were not able to determine the countries of origin of the 3TG minerals processed by the listed smelters and refiners with greater specificity. Furthermore, as stated earlier, submission of these smelters by our first-tier suppliers does not guarantee that these smelters or refiners are present in the Company’s supply chain as our first tier suppliers were generally only able to provide company-level RMI Templates and were not able to provide product-level RMI Templates directly linking those smelters or refiners to such covered products. Therefore, based on our due diligence efforts, we do not have sufficient information to conclusively determine the countries of origin of the 3TG minerals contained in the covered products.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Risk Factors</w:t>
      </w:r>
    </w:p>
    <w:p>
      <w:pPr>
        <w:spacing w:after="0" w:line="200" w:lineRule="exact"/>
        <w:rPr>
          <w:sz w:val="20"/>
          <w:szCs w:val="20"/>
          <w:color w:val="auto"/>
        </w:rPr>
      </w:pPr>
    </w:p>
    <w:p>
      <w:pPr>
        <w:spacing w:after="0" w:line="251" w:lineRule="exact"/>
        <w:rPr>
          <w:sz w:val="20"/>
          <w:szCs w:val="20"/>
          <w:color w:val="auto"/>
        </w:rPr>
      </w:pPr>
    </w:p>
    <w:p>
      <w:pPr>
        <w:ind w:firstLine="648"/>
        <w:spacing w:after="0" w:line="375" w:lineRule="auto"/>
        <w:rPr>
          <w:sz w:val="20"/>
          <w:szCs w:val="20"/>
          <w:color w:val="auto"/>
        </w:rPr>
      </w:pPr>
      <w:r>
        <w:rPr>
          <w:rFonts w:ascii="Arial" w:cs="Arial" w:eastAsia="Arial" w:hAnsi="Arial"/>
          <w:sz w:val="19"/>
          <w:szCs w:val="19"/>
          <w:color w:val="auto"/>
        </w:rPr>
        <w:t>The statements above are based on the RCOI process and due diligence performed in good faith by Fluidigm. These statements are based on the infrastructure and information available at the time. A number of factors could introduce errors or otherwise affect our 3TG mineral status. These factors include, but are not limited to, gaps in supplier data; gaps in smelter data; errors or omissions by suppliers; errors or omissions by smelters; all instances of 3TG minerals necessary to the functionality or manufacturing of our products not yet having been identified; gaps in supplier education and knowledge; timeliness of data; public information not discovered during a reasonable search; errors in public data; language barriers and translation; supplier and smelter unfamiliarity with the protocols for identifying and sourcing potential 3TG minerals; oversight or errors in conflict free smelter audits; Covered Countries sourced materials being declared secondary materials; companies going out of business in 2018; certification programs being not equally advanced for all industry segments and metals; and smuggling of 3TG minerals from the Covered Countries to other countries.</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Steps</w:t>
      </w:r>
    </w:p>
    <w:p>
      <w:pPr>
        <w:spacing w:after="0" w:line="200" w:lineRule="exact"/>
        <w:rPr>
          <w:sz w:val="20"/>
          <w:szCs w:val="20"/>
          <w:color w:val="auto"/>
        </w:rPr>
      </w:pPr>
    </w:p>
    <w:p>
      <w:pPr>
        <w:spacing w:after="0" w:line="251" w:lineRule="exact"/>
        <w:rPr>
          <w:sz w:val="20"/>
          <w:szCs w:val="20"/>
          <w:color w:val="auto"/>
        </w:rPr>
      </w:pPr>
    </w:p>
    <w:p>
      <w:pPr>
        <w:ind w:right="40" w:firstLine="648"/>
        <w:spacing w:after="0" w:line="357" w:lineRule="auto"/>
        <w:rPr>
          <w:sz w:val="20"/>
          <w:szCs w:val="20"/>
          <w:color w:val="auto"/>
        </w:rPr>
      </w:pPr>
      <w:r>
        <w:rPr>
          <w:rFonts w:ascii="Arial" w:cs="Arial" w:eastAsia="Arial" w:hAnsi="Arial"/>
          <w:sz w:val="20"/>
          <w:szCs w:val="20"/>
          <w:color w:val="auto"/>
        </w:rPr>
        <w:t>We have communicated our expectations to our first tier suppliers regarding our commitment to sourcing minerals for our products in a manner that does not, directly or indirectly, finance or benefit armed groups in the DRC or adjoining countries. We expect to continue our engagement with our relevant suppliers over the next year to build their knowledge and capacity so they are able to provide us with more complete and accurate information on the source and chain of custody of the 3TG included in components and parts purchased by us and incorporated into our products.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2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u w:val="single" w:color="auto"/>
          <w:color w:val="auto"/>
        </w:rPr>
        <w:t>Annex A</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2018 Facility and Country List</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Metal</w:t>
            </w:r>
          </w:p>
        </w:tc>
        <w:tc>
          <w:tcPr>
            <w:tcW w:w="58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Facility Name</w:t>
            </w:r>
          </w:p>
        </w:tc>
        <w:tc>
          <w:tcPr>
            <w:tcW w:w="262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Country</w:t>
            </w:r>
          </w:p>
        </w:tc>
        <w:tc>
          <w:tcPr>
            <w:tcW w:w="1900" w:type="dxa"/>
            <w:vAlign w:val="bottom"/>
          </w:tcPr>
          <w:p>
            <w:pPr>
              <w:ind w:left="400"/>
              <w:spacing w:after="0"/>
              <w:rPr>
                <w:sz w:val="20"/>
                <w:szCs w:val="20"/>
                <w:color w:val="auto"/>
              </w:rPr>
            </w:pPr>
            <w:r>
              <w:rPr>
                <w:rFonts w:ascii="Arial" w:cs="Arial" w:eastAsia="Arial" w:hAnsi="Arial"/>
                <w:sz w:val="18"/>
                <w:szCs w:val="18"/>
                <w:b w:val="1"/>
                <w:bCs w:val="1"/>
                <w:color w:val="auto"/>
              </w:rPr>
              <w:t>Conformance</w:t>
            </w:r>
          </w:p>
        </w:tc>
        <w:tc>
          <w:tcPr>
            <w:tcW w:w="0" w:type="dxa"/>
            <w:vAlign w:val="bottom"/>
          </w:tcPr>
          <w:p>
            <w:pPr>
              <w:spacing w:after="0"/>
              <w:rPr>
                <w:sz w:val="1"/>
                <w:szCs w:val="1"/>
                <w:color w:val="auto"/>
              </w:rPr>
            </w:pPr>
          </w:p>
        </w:tc>
      </w:tr>
      <w:tr>
        <w:trPr>
          <w:trHeight w:val="126"/>
        </w:trPr>
        <w:tc>
          <w:tcPr>
            <w:tcW w:w="920" w:type="dxa"/>
            <w:vAlign w:val="bottom"/>
            <w:vMerge w:val="continue"/>
          </w:tcPr>
          <w:p>
            <w:pPr>
              <w:spacing w:after="0"/>
              <w:rPr>
                <w:sz w:val="10"/>
                <w:szCs w:val="10"/>
                <w:color w:val="auto"/>
              </w:rPr>
            </w:pPr>
          </w:p>
        </w:tc>
        <w:tc>
          <w:tcPr>
            <w:tcW w:w="5860" w:type="dxa"/>
            <w:vAlign w:val="bottom"/>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190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92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8853 S.p.A.</w:t>
            </w:r>
          </w:p>
        </w:tc>
        <w:tc>
          <w:tcPr>
            <w:tcW w:w="2620" w:type="dxa"/>
            <w:vAlign w:val="bottom"/>
          </w:tcPr>
          <w:p>
            <w:pPr>
              <w:ind w:left="660"/>
              <w:spacing w:after="0"/>
              <w:rPr>
                <w:sz w:val="20"/>
                <w:szCs w:val="20"/>
                <w:color w:val="auto"/>
              </w:rPr>
            </w:pPr>
            <w:r>
              <w:rPr>
                <w:rFonts w:ascii="Arial" w:cs="Arial" w:eastAsia="Arial" w:hAnsi="Arial"/>
                <w:sz w:val="18"/>
                <w:szCs w:val="18"/>
                <w:color w:val="auto"/>
              </w:rPr>
              <w:t>Italy</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Advanced Chemical Company</w:t>
            </w:r>
          </w:p>
        </w:tc>
        <w:tc>
          <w:tcPr>
            <w:tcW w:w="2620" w:type="dxa"/>
            <w:vAlign w:val="bottom"/>
          </w:tcPr>
          <w:p>
            <w:pPr>
              <w:ind w:left="660"/>
              <w:spacing w:after="0"/>
              <w:rPr>
                <w:sz w:val="20"/>
                <w:szCs w:val="20"/>
                <w:color w:val="auto"/>
              </w:rPr>
            </w:pPr>
            <w:r>
              <w:rPr>
                <w:rFonts w:ascii="Arial" w:cs="Arial" w:eastAsia="Arial" w:hAnsi="Arial"/>
                <w:sz w:val="18"/>
                <w:szCs w:val="18"/>
                <w:color w:val="auto"/>
              </w:rPr>
              <w:t>United States</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Aida Chemical Industries Co., Ltd.</w:t>
            </w:r>
          </w:p>
        </w:tc>
        <w:tc>
          <w:tcPr>
            <w:tcW w:w="262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Al Etihad Gold Refinery DMCC</w:t>
            </w:r>
          </w:p>
        </w:tc>
        <w:tc>
          <w:tcPr>
            <w:tcW w:w="2620" w:type="dxa"/>
            <w:vAlign w:val="bottom"/>
          </w:tcPr>
          <w:p>
            <w:pPr>
              <w:ind w:left="660"/>
              <w:spacing w:after="0"/>
              <w:rPr>
                <w:sz w:val="20"/>
                <w:szCs w:val="20"/>
                <w:color w:val="auto"/>
              </w:rPr>
            </w:pPr>
            <w:r>
              <w:rPr>
                <w:rFonts w:ascii="Arial" w:cs="Arial" w:eastAsia="Arial" w:hAnsi="Arial"/>
                <w:sz w:val="18"/>
                <w:szCs w:val="18"/>
                <w:color w:val="auto"/>
              </w:rPr>
              <w:t>United Arab Emirates</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Allgemeine Gold-und Silberscheideanstalt A.G.</w:t>
            </w:r>
          </w:p>
        </w:tc>
        <w:tc>
          <w:tcPr>
            <w:tcW w:w="262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Almalyk Mining and Metallurgical Complex (AMMC)</w:t>
            </w:r>
          </w:p>
        </w:tc>
        <w:tc>
          <w:tcPr>
            <w:tcW w:w="2620" w:type="dxa"/>
            <w:vAlign w:val="bottom"/>
          </w:tcPr>
          <w:p>
            <w:pPr>
              <w:ind w:left="660"/>
              <w:spacing w:after="0"/>
              <w:rPr>
                <w:sz w:val="20"/>
                <w:szCs w:val="20"/>
                <w:color w:val="auto"/>
              </w:rPr>
            </w:pPr>
            <w:r>
              <w:rPr>
                <w:rFonts w:ascii="Arial" w:cs="Arial" w:eastAsia="Arial" w:hAnsi="Arial"/>
                <w:sz w:val="18"/>
                <w:szCs w:val="18"/>
                <w:color w:val="auto"/>
              </w:rPr>
              <w:t>Uzbekistan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AngloGold Ashanti Corrego do Sitio Mineracao</w:t>
            </w:r>
          </w:p>
        </w:tc>
        <w:tc>
          <w:tcPr>
            <w:tcW w:w="2620" w:type="dxa"/>
            <w:vAlign w:val="bottom"/>
          </w:tcPr>
          <w:p>
            <w:pPr>
              <w:ind w:left="660"/>
              <w:spacing w:after="0"/>
              <w:rPr>
                <w:sz w:val="20"/>
                <w:szCs w:val="20"/>
                <w:color w:val="auto"/>
              </w:rPr>
            </w:pPr>
            <w:r>
              <w:rPr>
                <w:rFonts w:ascii="Arial" w:cs="Arial" w:eastAsia="Arial" w:hAnsi="Arial"/>
                <w:sz w:val="18"/>
                <w:szCs w:val="18"/>
                <w:color w:val="auto"/>
              </w:rPr>
              <w:t>Brazil</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Argor-Heraeus S.A.</w:t>
            </w:r>
          </w:p>
        </w:tc>
        <w:tc>
          <w:tcPr>
            <w:tcW w:w="2620" w:type="dxa"/>
            <w:vAlign w:val="bottom"/>
          </w:tcPr>
          <w:p>
            <w:pPr>
              <w:ind w:left="660"/>
              <w:spacing w:after="0"/>
              <w:rPr>
                <w:sz w:val="20"/>
                <w:szCs w:val="20"/>
                <w:color w:val="auto"/>
              </w:rPr>
            </w:pPr>
            <w:r>
              <w:rPr>
                <w:rFonts w:ascii="Arial" w:cs="Arial" w:eastAsia="Arial" w:hAnsi="Arial"/>
                <w:sz w:val="18"/>
                <w:szCs w:val="18"/>
                <w:color w:val="auto"/>
              </w:rPr>
              <w:t>Switzerland</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Asahi Pretec Corp.</w:t>
            </w:r>
          </w:p>
        </w:tc>
        <w:tc>
          <w:tcPr>
            <w:tcW w:w="262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Asahi Refining Canada Ltd.</w:t>
            </w:r>
          </w:p>
        </w:tc>
        <w:tc>
          <w:tcPr>
            <w:tcW w:w="2620" w:type="dxa"/>
            <w:vAlign w:val="bottom"/>
          </w:tcPr>
          <w:p>
            <w:pPr>
              <w:ind w:left="660"/>
              <w:spacing w:after="0"/>
              <w:rPr>
                <w:sz w:val="20"/>
                <w:szCs w:val="20"/>
                <w:color w:val="auto"/>
              </w:rPr>
            </w:pPr>
            <w:r>
              <w:rPr>
                <w:rFonts w:ascii="Arial" w:cs="Arial" w:eastAsia="Arial" w:hAnsi="Arial"/>
                <w:sz w:val="18"/>
                <w:szCs w:val="18"/>
                <w:color w:val="auto"/>
              </w:rPr>
              <w:t>Canada</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Asahi Refining USA Inc.</w:t>
            </w:r>
          </w:p>
        </w:tc>
        <w:tc>
          <w:tcPr>
            <w:tcW w:w="2620" w:type="dxa"/>
            <w:vAlign w:val="bottom"/>
          </w:tcPr>
          <w:p>
            <w:pPr>
              <w:ind w:left="660"/>
              <w:spacing w:after="0"/>
              <w:rPr>
                <w:sz w:val="20"/>
                <w:szCs w:val="20"/>
                <w:color w:val="auto"/>
              </w:rPr>
            </w:pPr>
            <w:r>
              <w:rPr>
                <w:rFonts w:ascii="Arial" w:cs="Arial" w:eastAsia="Arial" w:hAnsi="Arial"/>
                <w:sz w:val="18"/>
                <w:szCs w:val="18"/>
                <w:color w:val="auto"/>
              </w:rPr>
              <w:t>United States</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Asaka Riken Co., Ltd.</w:t>
            </w:r>
          </w:p>
        </w:tc>
        <w:tc>
          <w:tcPr>
            <w:tcW w:w="262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AU Traders and Refiners</w:t>
            </w:r>
          </w:p>
        </w:tc>
        <w:tc>
          <w:tcPr>
            <w:tcW w:w="2620" w:type="dxa"/>
            <w:vAlign w:val="bottom"/>
          </w:tcPr>
          <w:p>
            <w:pPr>
              <w:ind w:left="660"/>
              <w:spacing w:after="0"/>
              <w:rPr>
                <w:sz w:val="20"/>
                <w:szCs w:val="20"/>
                <w:color w:val="auto"/>
              </w:rPr>
            </w:pPr>
            <w:r>
              <w:rPr>
                <w:rFonts w:ascii="Arial" w:cs="Arial" w:eastAsia="Arial" w:hAnsi="Arial"/>
                <w:sz w:val="18"/>
                <w:szCs w:val="18"/>
                <w:color w:val="auto"/>
              </w:rPr>
              <w:t>South Africa</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Aurubis AG</w:t>
            </w:r>
          </w:p>
        </w:tc>
        <w:tc>
          <w:tcPr>
            <w:tcW w:w="262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Bangalore Refinery</w:t>
            </w:r>
          </w:p>
        </w:tc>
        <w:tc>
          <w:tcPr>
            <w:tcW w:w="2620" w:type="dxa"/>
            <w:vAlign w:val="bottom"/>
          </w:tcPr>
          <w:p>
            <w:pPr>
              <w:ind w:left="660"/>
              <w:spacing w:after="0"/>
              <w:rPr>
                <w:sz w:val="20"/>
                <w:szCs w:val="20"/>
                <w:color w:val="auto"/>
              </w:rPr>
            </w:pPr>
            <w:r>
              <w:rPr>
                <w:rFonts w:ascii="Arial" w:cs="Arial" w:eastAsia="Arial" w:hAnsi="Arial"/>
                <w:sz w:val="18"/>
                <w:szCs w:val="18"/>
                <w:color w:val="auto"/>
              </w:rPr>
              <w:t>India</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Bangko Sentral ng Pilipinas (Central Bank of the Philippines)</w:t>
            </w:r>
          </w:p>
        </w:tc>
        <w:tc>
          <w:tcPr>
            <w:tcW w:w="2620" w:type="dxa"/>
            <w:vAlign w:val="bottom"/>
          </w:tcPr>
          <w:p>
            <w:pPr>
              <w:ind w:left="660"/>
              <w:spacing w:after="0"/>
              <w:rPr>
                <w:sz w:val="20"/>
                <w:szCs w:val="20"/>
                <w:color w:val="auto"/>
              </w:rPr>
            </w:pPr>
            <w:r>
              <w:rPr>
                <w:rFonts w:ascii="Arial" w:cs="Arial" w:eastAsia="Arial" w:hAnsi="Arial"/>
                <w:sz w:val="18"/>
                <w:szCs w:val="18"/>
                <w:color w:val="auto"/>
              </w:rPr>
              <w:t>Philippines</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Boliden AB</w:t>
            </w:r>
          </w:p>
        </w:tc>
        <w:tc>
          <w:tcPr>
            <w:tcW w:w="2620" w:type="dxa"/>
            <w:vAlign w:val="bottom"/>
          </w:tcPr>
          <w:p>
            <w:pPr>
              <w:ind w:left="660"/>
              <w:spacing w:after="0"/>
              <w:rPr>
                <w:sz w:val="20"/>
                <w:szCs w:val="20"/>
                <w:color w:val="auto"/>
              </w:rPr>
            </w:pPr>
            <w:r>
              <w:rPr>
                <w:rFonts w:ascii="Arial" w:cs="Arial" w:eastAsia="Arial" w:hAnsi="Arial"/>
                <w:sz w:val="18"/>
                <w:szCs w:val="18"/>
                <w:color w:val="auto"/>
              </w:rPr>
              <w:t>Sweden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C. Hafner GmbH + Co. KG</w:t>
            </w:r>
          </w:p>
        </w:tc>
        <w:tc>
          <w:tcPr>
            <w:tcW w:w="262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CCR Refinery - Glencore Canada Corporation</w:t>
            </w:r>
          </w:p>
        </w:tc>
        <w:tc>
          <w:tcPr>
            <w:tcW w:w="2620" w:type="dxa"/>
            <w:vAlign w:val="bottom"/>
          </w:tcPr>
          <w:p>
            <w:pPr>
              <w:ind w:left="660"/>
              <w:spacing w:after="0"/>
              <w:rPr>
                <w:sz w:val="20"/>
                <w:szCs w:val="20"/>
                <w:color w:val="auto"/>
              </w:rPr>
            </w:pPr>
            <w:r>
              <w:rPr>
                <w:rFonts w:ascii="Arial" w:cs="Arial" w:eastAsia="Arial" w:hAnsi="Arial"/>
                <w:sz w:val="18"/>
                <w:szCs w:val="18"/>
                <w:color w:val="auto"/>
              </w:rPr>
              <w:t>Canada</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Cendres + Metaux S.A.</w:t>
            </w:r>
          </w:p>
        </w:tc>
        <w:tc>
          <w:tcPr>
            <w:tcW w:w="2620" w:type="dxa"/>
            <w:vAlign w:val="bottom"/>
          </w:tcPr>
          <w:p>
            <w:pPr>
              <w:ind w:left="660"/>
              <w:spacing w:after="0"/>
              <w:rPr>
                <w:sz w:val="20"/>
                <w:szCs w:val="20"/>
                <w:color w:val="auto"/>
              </w:rPr>
            </w:pPr>
            <w:r>
              <w:rPr>
                <w:rFonts w:ascii="Arial" w:cs="Arial" w:eastAsia="Arial" w:hAnsi="Arial"/>
                <w:sz w:val="18"/>
                <w:szCs w:val="18"/>
                <w:color w:val="auto"/>
              </w:rPr>
              <w:t>Switzerland</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Chimet S.p.A.</w:t>
            </w:r>
          </w:p>
        </w:tc>
        <w:tc>
          <w:tcPr>
            <w:tcW w:w="2620" w:type="dxa"/>
            <w:vAlign w:val="bottom"/>
          </w:tcPr>
          <w:p>
            <w:pPr>
              <w:ind w:left="660"/>
              <w:spacing w:after="0"/>
              <w:rPr>
                <w:sz w:val="20"/>
                <w:szCs w:val="20"/>
                <w:color w:val="auto"/>
              </w:rPr>
            </w:pPr>
            <w:r>
              <w:rPr>
                <w:rFonts w:ascii="Arial" w:cs="Arial" w:eastAsia="Arial" w:hAnsi="Arial"/>
                <w:sz w:val="18"/>
                <w:szCs w:val="18"/>
                <w:color w:val="auto"/>
              </w:rPr>
              <w:t>Italy</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Chugai Mining</w:t>
            </w:r>
          </w:p>
        </w:tc>
        <w:tc>
          <w:tcPr>
            <w:tcW w:w="262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400"/>
              <w:spacing w:after="0"/>
              <w:rPr>
                <w:sz w:val="20"/>
                <w:szCs w:val="20"/>
                <w:color w:val="auto"/>
              </w:rPr>
            </w:pPr>
            <w:r>
              <w:rPr>
                <w:rFonts w:ascii="Arial" w:cs="Arial" w:eastAsia="Arial" w:hAnsi="Arial"/>
                <w:sz w:val="18"/>
                <w:szCs w:val="18"/>
                <w:color w:val="auto"/>
              </w:rPr>
              <w:t>In Process</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Daejin Indus Co., Ltd.</w:t>
            </w:r>
          </w:p>
        </w:tc>
        <w:tc>
          <w:tcPr>
            <w:tcW w:w="2620" w:type="dxa"/>
            <w:vAlign w:val="bottom"/>
          </w:tcPr>
          <w:p>
            <w:pPr>
              <w:ind w:left="660"/>
              <w:spacing w:after="0"/>
              <w:rPr>
                <w:sz w:val="20"/>
                <w:szCs w:val="20"/>
                <w:color w:val="auto"/>
              </w:rPr>
            </w:pPr>
            <w:r>
              <w:rPr>
                <w:rFonts w:ascii="Arial" w:cs="Arial" w:eastAsia="Arial" w:hAnsi="Arial"/>
                <w:sz w:val="18"/>
                <w:szCs w:val="18"/>
                <w:color w:val="auto"/>
              </w:rPr>
              <w:t>Korea, Republic of</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DODUCO Contacts and Refining GmbH</w:t>
            </w:r>
          </w:p>
        </w:tc>
        <w:tc>
          <w:tcPr>
            <w:tcW w:w="262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Dowa</w:t>
            </w:r>
          </w:p>
        </w:tc>
        <w:tc>
          <w:tcPr>
            <w:tcW w:w="262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DS PRETECH Co., Ltd.</w:t>
            </w:r>
          </w:p>
        </w:tc>
        <w:tc>
          <w:tcPr>
            <w:tcW w:w="2620" w:type="dxa"/>
            <w:vAlign w:val="bottom"/>
          </w:tcPr>
          <w:p>
            <w:pPr>
              <w:ind w:left="660"/>
              <w:spacing w:after="0"/>
              <w:rPr>
                <w:sz w:val="20"/>
                <w:szCs w:val="20"/>
                <w:color w:val="auto"/>
              </w:rPr>
            </w:pPr>
            <w:r>
              <w:rPr>
                <w:rFonts w:ascii="Arial" w:cs="Arial" w:eastAsia="Arial" w:hAnsi="Arial"/>
                <w:sz w:val="18"/>
                <w:szCs w:val="18"/>
                <w:color w:val="auto"/>
              </w:rPr>
              <w:t>Korea, Republic of</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DSC (Do Sung Corporation)</w:t>
            </w:r>
          </w:p>
        </w:tc>
        <w:tc>
          <w:tcPr>
            <w:tcW w:w="2620" w:type="dxa"/>
            <w:vAlign w:val="bottom"/>
          </w:tcPr>
          <w:p>
            <w:pPr>
              <w:ind w:left="660"/>
              <w:spacing w:after="0"/>
              <w:rPr>
                <w:sz w:val="20"/>
                <w:szCs w:val="20"/>
                <w:color w:val="auto"/>
              </w:rPr>
            </w:pPr>
            <w:r>
              <w:rPr>
                <w:rFonts w:ascii="Arial" w:cs="Arial" w:eastAsia="Arial" w:hAnsi="Arial"/>
                <w:sz w:val="18"/>
                <w:szCs w:val="18"/>
                <w:color w:val="auto"/>
              </w:rPr>
              <w:t>Korea, Republic of</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Eco-System Recycling Co., Ltd.</w:t>
            </w:r>
          </w:p>
        </w:tc>
        <w:tc>
          <w:tcPr>
            <w:tcW w:w="262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Emirates Gold DMCC</w:t>
            </w:r>
          </w:p>
        </w:tc>
        <w:tc>
          <w:tcPr>
            <w:tcW w:w="2620" w:type="dxa"/>
            <w:vAlign w:val="bottom"/>
          </w:tcPr>
          <w:p>
            <w:pPr>
              <w:ind w:left="660"/>
              <w:spacing w:after="0"/>
              <w:rPr>
                <w:sz w:val="20"/>
                <w:szCs w:val="20"/>
                <w:color w:val="auto"/>
              </w:rPr>
            </w:pPr>
            <w:r>
              <w:rPr>
                <w:rFonts w:ascii="Arial" w:cs="Arial" w:eastAsia="Arial" w:hAnsi="Arial"/>
                <w:sz w:val="18"/>
                <w:szCs w:val="18"/>
                <w:color w:val="auto"/>
              </w:rPr>
              <w:t>United Arab Emirates</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Geib Refining Corporation</w:t>
            </w:r>
          </w:p>
        </w:tc>
        <w:tc>
          <w:tcPr>
            <w:tcW w:w="2620" w:type="dxa"/>
            <w:vAlign w:val="bottom"/>
          </w:tcPr>
          <w:p>
            <w:pPr>
              <w:ind w:left="660"/>
              <w:spacing w:after="0"/>
              <w:rPr>
                <w:sz w:val="20"/>
                <w:szCs w:val="20"/>
                <w:color w:val="auto"/>
              </w:rPr>
            </w:pPr>
            <w:r>
              <w:rPr>
                <w:rFonts w:ascii="Arial" w:cs="Arial" w:eastAsia="Arial" w:hAnsi="Arial"/>
                <w:sz w:val="18"/>
                <w:szCs w:val="18"/>
                <w:color w:val="auto"/>
              </w:rPr>
              <w:t>United States</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Gold Refinery of Zijin Mining Group Co., Ltd.</w:t>
            </w:r>
          </w:p>
        </w:tc>
        <w:tc>
          <w:tcPr>
            <w:tcW w:w="2620" w:type="dxa"/>
            <w:vAlign w:val="bottom"/>
          </w:tcPr>
          <w:p>
            <w:pPr>
              <w:ind w:left="660"/>
              <w:spacing w:after="0"/>
              <w:rPr>
                <w:sz w:val="20"/>
                <w:szCs w:val="20"/>
                <w:color w:val="auto"/>
              </w:rPr>
            </w:pPr>
            <w:r>
              <w:rPr>
                <w:rFonts w:ascii="Arial" w:cs="Arial" w:eastAsia="Arial" w:hAnsi="Arial"/>
                <w:sz w:val="18"/>
                <w:szCs w:val="18"/>
                <w:color w:val="auto"/>
              </w:rPr>
              <w:t>China</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HeeSung Metal Ltd.</w:t>
            </w:r>
          </w:p>
        </w:tc>
        <w:tc>
          <w:tcPr>
            <w:tcW w:w="2620" w:type="dxa"/>
            <w:vAlign w:val="bottom"/>
          </w:tcPr>
          <w:p>
            <w:pPr>
              <w:ind w:left="660"/>
              <w:spacing w:after="0"/>
              <w:rPr>
                <w:sz w:val="20"/>
                <w:szCs w:val="20"/>
                <w:color w:val="auto"/>
              </w:rPr>
            </w:pPr>
            <w:r>
              <w:rPr>
                <w:rFonts w:ascii="Arial" w:cs="Arial" w:eastAsia="Arial" w:hAnsi="Arial"/>
                <w:sz w:val="18"/>
                <w:szCs w:val="18"/>
                <w:color w:val="auto"/>
              </w:rPr>
              <w:t>Korea, Republic of</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Heimerle + Meule GmbH</w:t>
            </w:r>
          </w:p>
        </w:tc>
        <w:tc>
          <w:tcPr>
            <w:tcW w:w="262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Heraeus Metals Hong Kong Ltd.</w:t>
            </w:r>
          </w:p>
        </w:tc>
        <w:tc>
          <w:tcPr>
            <w:tcW w:w="2620" w:type="dxa"/>
            <w:vAlign w:val="bottom"/>
          </w:tcPr>
          <w:p>
            <w:pPr>
              <w:ind w:left="660"/>
              <w:spacing w:after="0"/>
              <w:rPr>
                <w:sz w:val="20"/>
                <w:szCs w:val="20"/>
                <w:color w:val="auto"/>
              </w:rPr>
            </w:pPr>
            <w:r>
              <w:rPr>
                <w:rFonts w:ascii="Arial" w:cs="Arial" w:eastAsia="Arial" w:hAnsi="Arial"/>
                <w:sz w:val="18"/>
                <w:szCs w:val="18"/>
                <w:color w:val="auto"/>
              </w:rPr>
              <w:t>China</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Heraeus Precious Metals GmbH &amp; Co. KG</w:t>
            </w:r>
          </w:p>
        </w:tc>
        <w:tc>
          <w:tcPr>
            <w:tcW w:w="2620" w:type="dxa"/>
            <w:vAlign w:val="bottom"/>
          </w:tcPr>
          <w:p>
            <w:pPr>
              <w:ind w:left="660"/>
              <w:spacing w:after="0"/>
              <w:rPr>
                <w:sz w:val="20"/>
                <w:szCs w:val="20"/>
                <w:color w:val="auto"/>
              </w:rPr>
            </w:pPr>
            <w:r>
              <w:rPr>
                <w:rFonts w:ascii="Arial" w:cs="Arial" w:eastAsia="Arial" w:hAnsi="Arial"/>
                <w:sz w:val="18"/>
                <w:szCs w:val="18"/>
                <w:color w:val="auto"/>
              </w:rPr>
              <w:t>Germany</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Inner Mongolia Qiankun Gold and Silver Refinery Share Co., Ltd.</w:t>
            </w:r>
          </w:p>
        </w:tc>
        <w:tc>
          <w:tcPr>
            <w:tcW w:w="2620" w:type="dxa"/>
            <w:vAlign w:val="bottom"/>
          </w:tcPr>
          <w:p>
            <w:pPr>
              <w:ind w:left="660"/>
              <w:spacing w:after="0"/>
              <w:rPr>
                <w:sz w:val="20"/>
                <w:szCs w:val="20"/>
                <w:color w:val="auto"/>
              </w:rPr>
            </w:pPr>
            <w:r>
              <w:rPr>
                <w:rFonts w:ascii="Arial" w:cs="Arial" w:eastAsia="Arial" w:hAnsi="Arial"/>
                <w:sz w:val="18"/>
                <w:szCs w:val="18"/>
                <w:color w:val="auto"/>
              </w:rPr>
              <w:t>China</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Ishifuku Metal Industry Co., Ltd.</w:t>
            </w:r>
          </w:p>
        </w:tc>
        <w:tc>
          <w:tcPr>
            <w:tcW w:w="262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Istanbul Gold Refinery</w:t>
            </w:r>
          </w:p>
        </w:tc>
        <w:tc>
          <w:tcPr>
            <w:tcW w:w="2620" w:type="dxa"/>
            <w:vAlign w:val="bottom"/>
          </w:tcPr>
          <w:p>
            <w:pPr>
              <w:ind w:left="660"/>
              <w:spacing w:after="0"/>
              <w:rPr>
                <w:sz w:val="20"/>
                <w:szCs w:val="20"/>
                <w:color w:val="auto"/>
              </w:rPr>
            </w:pPr>
            <w:r>
              <w:rPr>
                <w:rFonts w:ascii="Arial" w:cs="Arial" w:eastAsia="Arial" w:hAnsi="Arial"/>
                <w:sz w:val="18"/>
                <w:szCs w:val="18"/>
                <w:color w:val="auto"/>
              </w:rPr>
              <w:t>Turkey</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Italpreziosi</w:t>
            </w:r>
          </w:p>
        </w:tc>
        <w:tc>
          <w:tcPr>
            <w:tcW w:w="2620" w:type="dxa"/>
            <w:vAlign w:val="bottom"/>
          </w:tcPr>
          <w:p>
            <w:pPr>
              <w:ind w:left="660"/>
              <w:spacing w:after="0"/>
              <w:rPr>
                <w:sz w:val="20"/>
                <w:szCs w:val="20"/>
                <w:color w:val="auto"/>
              </w:rPr>
            </w:pPr>
            <w:r>
              <w:rPr>
                <w:rFonts w:ascii="Arial" w:cs="Arial" w:eastAsia="Arial" w:hAnsi="Arial"/>
                <w:sz w:val="18"/>
                <w:szCs w:val="18"/>
                <w:color w:val="auto"/>
              </w:rPr>
              <w:t>Italy</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Japan Mint</w:t>
            </w:r>
          </w:p>
        </w:tc>
        <w:tc>
          <w:tcPr>
            <w:tcW w:w="262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Jiangxi Copper Co., Ltd.</w:t>
            </w:r>
          </w:p>
        </w:tc>
        <w:tc>
          <w:tcPr>
            <w:tcW w:w="2620" w:type="dxa"/>
            <w:vAlign w:val="bottom"/>
          </w:tcPr>
          <w:p>
            <w:pPr>
              <w:ind w:left="660"/>
              <w:spacing w:after="0"/>
              <w:rPr>
                <w:sz w:val="20"/>
                <w:szCs w:val="20"/>
                <w:color w:val="auto"/>
              </w:rPr>
            </w:pPr>
            <w:r>
              <w:rPr>
                <w:rFonts w:ascii="Arial" w:cs="Arial" w:eastAsia="Arial" w:hAnsi="Arial"/>
                <w:sz w:val="18"/>
                <w:szCs w:val="18"/>
                <w:color w:val="auto"/>
              </w:rPr>
              <w:t>China</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JSC Uralelectromed</w:t>
            </w:r>
          </w:p>
        </w:tc>
        <w:tc>
          <w:tcPr>
            <w:tcW w:w="2620" w:type="dxa"/>
            <w:vAlign w:val="bottom"/>
          </w:tcPr>
          <w:p>
            <w:pPr>
              <w:ind w:left="660"/>
              <w:spacing w:after="0"/>
              <w:rPr>
                <w:sz w:val="20"/>
                <w:szCs w:val="20"/>
                <w:color w:val="auto"/>
              </w:rPr>
            </w:pPr>
            <w:r>
              <w:rPr>
                <w:rFonts w:ascii="Arial" w:cs="Arial" w:eastAsia="Arial" w:hAnsi="Arial"/>
                <w:sz w:val="18"/>
                <w:szCs w:val="18"/>
                <w:color w:val="auto"/>
              </w:rPr>
              <w:t>Russian Federation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JX Nippon Mining &amp; Metals Co., Ltd.</w:t>
            </w:r>
          </w:p>
        </w:tc>
        <w:tc>
          <w:tcPr>
            <w:tcW w:w="2620" w:type="dxa"/>
            <w:vAlign w:val="bottom"/>
          </w:tcPr>
          <w:p>
            <w:pPr>
              <w:ind w:left="660"/>
              <w:spacing w:after="0"/>
              <w:rPr>
                <w:sz w:val="20"/>
                <w:szCs w:val="20"/>
                <w:color w:val="auto"/>
              </w:rPr>
            </w:pPr>
            <w:r>
              <w:rPr>
                <w:rFonts w:ascii="Arial" w:cs="Arial" w:eastAsia="Arial" w:hAnsi="Arial"/>
                <w:sz w:val="18"/>
                <w:szCs w:val="18"/>
                <w:color w:val="auto"/>
              </w:rPr>
              <w:t>Japan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5860" w:type="dxa"/>
            <w:vAlign w:val="bottom"/>
          </w:tcPr>
          <w:p>
            <w:pPr>
              <w:ind w:left="400"/>
              <w:spacing w:after="0"/>
              <w:rPr>
                <w:sz w:val="20"/>
                <w:szCs w:val="20"/>
                <w:color w:val="auto"/>
              </w:rPr>
            </w:pPr>
            <w:r>
              <w:rPr>
                <w:rFonts w:ascii="Arial" w:cs="Arial" w:eastAsia="Arial" w:hAnsi="Arial"/>
                <w:sz w:val="18"/>
                <w:szCs w:val="18"/>
                <w:color w:val="auto"/>
              </w:rPr>
              <w:t>Kazzinc</w:t>
            </w:r>
          </w:p>
        </w:tc>
        <w:tc>
          <w:tcPr>
            <w:tcW w:w="2620" w:type="dxa"/>
            <w:vAlign w:val="bottom"/>
          </w:tcPr>
          <w:p>
            <w:pPr>
              <w:ind w:left="660"/>
              <w:spacing w:after="0"/>
              <w:rPr>
                <w:sz w:val="20"/>
                <w:szCs w:val="20"/>
                <w:color w:val="auto"/>
              </w:rPr>
            </w:pPr>
            <w:r>
              <w:rPr>
                <w:rFonts w:ascii="Arial" w:cs="Arial" w:eastAsia="Arial" w:hAnsi="Arial"/>
                <w:sz w:val="18"/>
                <w:szCs w:val="18"/>
                <w:color w:val="auto"/>
              </w:rPr>
              <w:t>Kazakhstan</w:t>
            </w:r>
          </w:p>
        </w:tc>
        <w:tc>
          <w:tcPr>
            <w:tcW w:w="1900" w:type="dxa"/>
            <w:vAlign w:val="bottom"/>
          </w:tcPr>
          <w:p>
            <w:pPr>
              <w:ind w:left="4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00" w:top="784" w:right="299" w:bottom="192"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00"/>
          </w:cols>
          <w:pgMar w:left="300" w:top="784" w:right="299" w:bottom="192"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Metal</w:t>
            </w:r>
          </w:p>
        </w:tc>
        <w:tc>
          <w:tcPr>
            <w:tcW w:w="64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Facility Name</w:t>
            </w:r>
          </w:p>
        </w:tc>
        <w:tc>
          <w:tcPr>
            <w:tcW w:w="19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Country</w:t>
            </w:r>
          </w:p>
        </w:tc>
        <w:tc>
          <w:tcPr>
            <w:tcW w:w="2000" w:type="dxa"/>
            <w:vAlign w:val="bottom"/>
          </w:tcPr>
          <w:p>
            <w:pPr>
              <w:ind w:left="500"/>
              <w:spacing w:after="0"/>
              <w:rPr>
                <w:sz w:val="20"/>
                <w:szCs w:val="20"/>
                <w:color w:val="auto"/>
              </w:rPr>
            </w:pPr>
            <w:r>
              <w:rPr>
                <w:rFonts w:ascii="Arial" w:cs="Arial" w:eastAsia="Arial" w:hAnsi="Arial"/>
                <w:sz w:val="18"/>
                <w:szCs w:val="18"/>
                <w:b w:val="1"/>
                <w:bCs w:val="1"/>
                <w:color w:val="auto"/>
              </w:rPr>
              <w:t>Conformance</w:t>
            </w:r>
          </w:p>
        </w:tc>
        <w:tc>
          <w:tcPr>
            <w:tcW w:w="0" w:type="dxa"/>
            <w:vAlign w:val="bottom"/>
          </w:tcPr>
          <w:p>
            <w:pPr>
              <w:spacing w:after="0"/>
              <w:rPr>
                <w:sz w:val="1"/>
                <w:szCs w:val="1"/>
                <w:color w:val="auto"/>
              </w:rPr>
            </w:pPr>
          </w:p>
        </w:tc>
      </w:tr>
      <w:tr>
        <w:trPr>
          <w:trHeight w:val="126"/>
        </w:trPr>
        <w:tc>
          <w:tcPr>
            <w:tcW w:w="920" w:type="dxa"/>
            <w:vAlign w:val="bottom"/>
            <w:vMerge w:val="continue"/>
          </w:tcPr>
          <w:p>
            <w:pPr>
              <w:spacing w:after="0"/>
              <w:rPr>
                <w:sz w:val="10"/>
                <w:szCs w:val="10"/>
                <w:color w:val="auto"/>
              </w:rPr>
            </w:pPr>
          </w:p>
        </w:tc>
        <w:tc>
          <w:tcPr>
            <w:tcW w:w="644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200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920" w:type="dxa"/>
            <w:vAlign w:val="bottom"/>
            <w:tcBorders>
              <w:bottom w:val="single" w:sz="8" w:color="auto"/>
            </w:tcBorders>
          </w:tcPr>
          <w:p>
            <w:pPr>
              <w:spacing w:after="0"/>
              <w:rPr>
                <w:sz w:val="4"/>
                <w:szCs w:val="4"/>
                <w:color w:val="auto"/>
              </w:rPr>
            </w:pPr>
          </w:p>
        </w:tc>
        <w:tc>
          <w:tcPr>
            <w:tcW w:w="64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Kennecott Utah Copper LLC</w:t>
            </w:r>
          </w:p>
        </w:tc>
        <w:tc>
          <w:tcPr>
            <w:tcW w:w="194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KGHM Polska Miedz Spolka Akcyjna</w:t>
            </w:r>
          </w:p>
        </w:tc>
        <w:tc>
          <w:tcPr>
            <w:tcW w:w="1940" w:type="dxa"/>
            <w:vAlign w:val="bottom"/>
          </w:tcPr>
          <w:p>
            <w:pPr>
              <w:ind w:left="80"/>
              <w:spacing w:after="0"/>
              <w:rPr>
                <w:sz w:val="20"/>
                <w:szCs w:val="20"/>
                <w:color w:val="auto"/>
              </w:rPr>
            </w:pPr>
            <w:r>
              <w:rPr>
                <w:rFonts w:ascii="Arial" w:cs="Arial" w:eastAsia="Arial" w:hAnsi="Arial"/>
                <w:sz w:val="18"/>
                <w:szCs w:val="18"/>
                <w:color w:val="auto"/>
              </w:rPr>
              <w:t>Poland</w:t>
            </w:r>
          </w:p>
        </w:tc>
        <w:tc>
          <w:tcPr>
            <w:tcW w:w="2000" w:type="dxa"/>
            <w:vAlign w:val="bottom"/>
          </w:tcPr>
          <w:p>
            <w:pPr>
              <w:ind w:left="500"/>
              <w:spacing w:after="0"/>
              <w:rPr>
                <w:sz w:val="20"/>
                <w:szCs w:val="20"/>
                <w:color w:val="auto"/>
              </w:rPr>
            </w:pPr>
            <w:r>
              <w:rPr>
                <w:rFonts w:ascii="Arial" w:cs="Arial" w:eastAsia="Arial" w:hAnsi="Arial"/>
                <w:sz w:val="18"/>
                <w:szCs w:val="18"/>
                <w:color w:val="auto"/>
              </w:rPr>
              <w:t>In Process</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Kojima Chemicals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Korea Zinc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Korea, Republic of</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Kyrgyzaltyn JSC</w:t>
            </w:r>
          </w:p>
        </w:tc>
        <w:tc>
          <w:tcPr>
            <w:tcW w:w="1940" w:type="dxa"/>
            <w:vAlign w:val="bottom"/>
          </w:tcPr>
          <w:p>
            <w:pPr>
              <w:ind w:left="80"/>
              <w:spacing w:after="0"/>
              <w:rPr>
                <w:sz w:val="20"/>
                <w:szCs w:val="20"/>
                <w:color w:val="auto"/>
              </w:rPr>
            </w:pPr>
            <w:r>
              <w:rPr>
                <w:rFonts w:ascii="Arial" w:cs="Arial" w:eastAsia="Arial" w:hAnsi="Arial"/>
                <w:sz w:val="18"/>
                <w:szCs w:val="18"/>
                <w:color w:val="auto"/>
              </w:rPr>
              <w:t>Kyrgyzstan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L'Orfebre S.A.</w:t>
            </w:r>
          </w:p>
        </w:tc>
        <w:tc>
          <w:tcPr>
            <w:tcW w:w="1940" w:type="dxa"/>
            <w:vAlign w:val="bottom"/>
          </w:tcPr>
          <w:p>
            <w:pPr>
              <w:ind w:left="80"/>
              <w:spacing w:after="0"/>
              <w:rPr>
                <w:sz w:val="20"/>
                <w:szCs w:val="20"/>
                <w:color w:val="auto"/>
              </w:rPr>
            </w:pPr>
            <w:r>
              <w:rPr>
                <w:rFonts w:ascii="Arial" w:cs="Arial" w:eastAsia="Arial" w:hAnsi="Arial"/>
                <w:sz w:val="18"/>
                <w:szCs w:val="18"/>
                <w:color w:val="auto"/>
              </w:rPr>
              <w:t>Andorra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LS-NIKKO Copper Inc.</w:t>
            </w:r>
          </w:p>
        </w:tc>
        <w:tc>
          <w:tcPr>
            <w:tcW w:w="1940" w:type="dxa"/>
            <w:vAlign w:val="bottom"/>
          </w:tcPr>
          <w:p>
            <w:pPr>
              <w:ind w:left="80"/>
              <w:spacing w:after="0"/>
              <w:rPr>
                <w:sz w:val="20"/>
                <w:szCs w:val="20"/>
                <w:color w:val="auto"/>
              </w:rPr>
            </w:pPr>
            <w:r>
              <w:rPr>
                <w:rFonts w:ascii="Arial" w:cs="Arial" w:eastAsia="Arial" w:hAnsi="Arial"/>
                <w:sz w:val="18"/>
                <w:szCs w:val="18"/>
                <w:color w:val="auto"/>
              </w:rPr>
              <w:t>Korea, Republic of</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Marsam Metals</w:t>
            </w:r>
          </w:p>
        </w:tc>
        <w:tc>
          <w:tcPr>
            <w:tcW w:w="1940" w:type="dxa"/>
            <w:vAlign w:val="bottom"/>
          </w:tcPr>
          <w:p>
            <w:pPr>
              <w:ind w:left="80"/>
              <w:spacing w:after="0"/>
              <w:rPr>
                <w:sz w:val="20"/>
                <w:szCs w:val="20"/>
                <w:color w:val="auto"/>
              </w:rPr>
            </w:pPr>
            <w:r>
              <w:rPr>
                <w:rFonts w:ascii="Arial" w:cs="Arial" w:eastAsia="Arial" w:hAnsi="Arial"/>
                <w:sz w:val="18"/>
                <w:szCs w:val="18"/>
                <w:color w:val="auto"/>
              </w:rPr>
              <w:t>Brazil</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Materion</w:t>
            </w:r>
          </w:p>
        </w:tc>
        <w:tc>
          <w:tcPr>
            <w:tcW w:w="194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Matsuda Sangyo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Metalor Technologies (Hong Kong) Ltd.</w:t>
            </w:r>
          </w:p>
        </w:tc>
        <w:tc>
          <w:tcPr>
            <w:tcW w:w="1940" w:type="dxa"/>
            <w:vAlign w:val="bottom"/>
          </w:tcPr>
          <w:p>
            <w:pPr>
              <w:ind w:left="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Metalor Technologies (Singapore) Pte., Ltd.</w:t>
            </w:r>
          </w:p>
        </w:tc>
        <w:tc>
          <w:tcPr>
            <w:tcW w:w="1940" w:type="dxa"/>
            <w:vAlign w:val="bottom"/>
          </w:tcPr>
          <w:p>
            <w:pPr>
              <w:ind w:left="80"/>
              <w:spacing w:after="0"/>
              <w:rPr>
                <w:sz w:val="20"/>
                <w:szCs w:val="20"/>
                <w:color w:val="auto"/>
              </w:rPr>
            </w:pPr>
            <w:r>
              <w:rPr>
                <w:rFonts w:ascii="Arial" w:cs="Arial" w:eastAsia="Arial" w:hAnsi="Arial"/>
                <w:sz w:val="18"/>
                <w:szCs w:val="18"/>
                <w:color w:val="auto"/>
              </w:rPr>
              <w:t>Singapore</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Metalor Technologies (Suzhou) Ltd.</w:t>
            </w:r>
          </w:p>
        </w:tc>
        <w:tc>
          <w:tcPr>
            <w:tcW w:w="1940" w:type="dxa"/>
            <w:vAlign w:val="bottom"/>
          </w:tcPr>
          <w:p>
            <w:pPr>
              <w:ind w:left="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Metalor Technologies S.A.</w:t>
            </w:r>
          </w:p>
        </w:tc>
        <w:tc>
          <w:tcPr>
            <w:tcW w:w="1940" w:type="dxa"/>
            <w:vAlign w:val="bottom"/>
          </w:tcPr>
          <w:p>
            <w:pPr>
              <w:ind w:left="80"/>
              <w:spacing w:after="0"/>
              <w:rPr>
                <w:sz w:val="20"/>
                <w:szCs w:val="20"/>
                <w:color w:val="auto"/>
              </w:rPr>
            </w:pPr>
            <w:r>
              <w:rPr>
                <w:rFonts w:ascii="Arial" w:cs="Arial" w:eastAsia="Arial" w:hAnsi="Arial"/>
                <w:sz w:val="18"/>
                <w:szCs w:val="18"/>
                <w:color w:val="auto"/>
              </w:rPr>
              <w:t>Switzerland</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Metalor USA Refining Corporation</w:t>
            </w:r>
          </w:p>
        </w:tc>
        <w:tc>
          <w:tcPr>
            <w:tcW w:w="194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Metalurgica Met-Mex Penoles S.A. De C.V.</w:t>
            </w:r>
          </w:p>
        </w:tc>
        <w:tc>
          <w:tcPr>
            <w:tcW w:w="1940" w:type="dxa"/>
            <w:vAlign w:val="bottom"/>
          </w:tcPr>
          <w:p>
            <w:pPr>
              <w:ind w:left="80"/>
              <w:spacing w:after="0"/>
              <w:rPr>
                <w:sz w:val="20"/>
                <w:szCs w:val="20"/>
                <w:color w:val="auto"/>
              </w:rPr>
            </w:pPr>
            <w:r>
              <w:rPr>
                <w:rFonts w:ascii="Arial" w:cs="Arial" w:eastAsia="Arial" w:hAnsi="Arial"/>
                <w:sz w:val="18"/>
                <w:szCs w:val="18"/>
                <w:color w:val="auto"/>
              </w:rPr>
              <w:t>Mexico</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Mitsubishi Materials Corporation</w:t>
            </w:r>
          </w:p>
        </w:tc>
        <w:tc>
          <w:tcPr>
            <w:tcW w:w="1940" w:type="dxa"/>
            <w:vAlign w:val="bottom"/>
          </w:tcPr>
          <w:p>
            <w:pPr>
              <w:ind w:left="8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Mitsui Mining and Smelting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MMTC-PAMP India Pvt., Ltd.</w:t>
            </w:r>
          </w:p>
        </w:tc>
        <w:tc>
          <w:tcPr>
            <w:tcW w:w="1940" w:type="dxa"/>
            <w:vAlign w:val="bottom"/>
          </w:tcPr>
          <w:p>
            <w:pPr>
              <w:ind w:left="80"/>
              <w:spacing w:after="0"/>
              <w:rPr>
                <w:sz w:val="20"/>
                <w:szCs w:val="20"/>
                <w:color w:val="auto"/>
              </w:rPr>
            </w:pPr>
            <w:r>
              <w:rPr>
                <w:rFonts w:ascii="Arial" w:cs="Arial" w:eastAsia="Arial" w:hAnsi="Arial"/>
                <w:sz w:val="18"/>
                <w:szCs w:val="18"/>
                <w:color w:val="auto"/>
              </w:rPr>
              <w:t>India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Moscow Special Alloys Processing Plant</w:t>
            </w:r>
          </w:p>
        </w:tc>
        <w:tc>
          <w:tcPr>
            <w:tcW w:w="1940" w:type="dxa"/>
            <w:vAlign w:val="bottom"/>
          </w:tcPr>
          <w:p>
            <w:pPr>
              <w:ind w:left="80"/>
              <w:spacing w:after="0"/>
              <w:rPr>
                <w:sz w:val="20"/>
                <w:szCs w:val="20"/>
                <w:color w:val="auto"/>
              </w:rPr>
            </w:pPr>
            <w:r>
              <w:rPr>
                <w:rFonts w:ascii="Arial" w:cs="Arial" w:eastAsia="Arial" w:hAnsi="Arial"/>
                <w:sz w:val="18"/>
                <w:szCs w:val="18"/>
                <w:color w:val="auto"/>
              </w:rPr>
              <w:t>Russian Federation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Nadir Metal Rafineri San. Ve Tic. A.S.</w:t>
            </w:r>
          </w:p>
        </w:tc>
        <w:tc>
          <w:tcPr>
            <w:tcW w:w="1940" w:type="dxa"/>
            <w:vAlign w:val="bottom"/>
          </w:tcPr>
          <w:p>
            <w:pPr>
              <w:ind w:left="80"/>
              <w:spacing w:after="0"/>
              <w:rPr>
                <w:sz w:val="20"/>
                <w:szCs w:val="20"/>
                <w:color w:val="auto"/>
              </w:rPr>
            </w:pPr>
            <w:r>
              <w:rPr>
                <w:rFonts w:ascii="Arial" w:cs="Arial" w:eastAsia="Arial" w:hAnsi="Arial"/>
                <w:sz w:val="18"/>
                <w:szCs w:val="18"/>
                <w:color w:val="auto"/>
              </w:rPr>
              <w:t>Turkey</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NH Recytech Company</w:t>
            </w:r>
          </w:p>
        </w:tc>
        <w:tc>
          <w:tcPr>
            <w:tcW w:w="1940" w:type="dxa"/>
            <w:vAlign w:val="bottom"/>
          </w:tcPr>
          <w:p>
            <w:pPr>
              <w:ind w:left="80"/>
              <w:spacing w:after="0"/>
              <w:rPr>
                <w:sz w:val="20"/>
                <w:szCs w:val="20"/>
                <w:color w:val="auto"/>
              </w:rPr>
            </w:pPr>
            <w:r>
              <w:rPr>
                <w:rFonts w:ascii="Arial" w:cs="Arial" w:eastAsia="Arial" w:hAnsi="Arial"/>
                <w:sz w:val="18"/>
                <w:szCs w:val="18"/>
                <w:color w:val="auto"/>
              </w:rPr>
              <w:t>Korea, Republic of</w:t>
            </w:r>
          </w:p>
        </w:tc>
        <w:tc>
          <w:tcPr>
            <w:tcW w:w="2000" w:type="dxa"/>
            <w:vAlign w:val="bottom"/>
          </w:tcPr>
          <w:p>
            <w:pPr>
              <w:ind w:left="500"/>
              <w:spacing w:after="0"/>
              <w:rPr>
                <w:sz w:val="20"/>
                <w:szCs w:val="20"/>
                <w:color w:val="auto"/>
              </w:rPr>
            </w:pPr>
            <w:r>
              <w:rPr>
                <w:rFonts w:ascii="Arial" w:cs="Arial" w:eastAsia="Arial" w:hAnsi="Arial"/>
                <w:sz w:val="18"/>
                <w:szCs w:val="18"/>
                <w:color w:val="auto"/>
              </w:rPr>
              <w:t>In Process</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Nihon Material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Ogussa Osterreichische Gold- und Silber-Scheideanstalt GmbH</w:t>
            </w:r>
          </w:p>
        </w:tc>
        <w:tc>
          <w:tcPr>
            <w:tcW w:w="1940" w:type="dxa"/>
            <w:vAlign w:val="bottom"/>
          </w:tcPr>
          <w:p>
            <w:pPr>
              <w:ind w:left="80"/>
              <w:spacing w:after="0"/>
              <w:rPr>
                <w:sz w:val="20"/>
                <w:szCs w:val="20"/>
                <w:color w:val="auto"/>
              </w:rPr>
            </w:pPr>
            <w:r>
              <w:rPr>
                <w:rFonts w:ascii="Arial" w:cs="Arial" w:eastAsia="Arial" w:hAnsi="Arial"/>
                <w:sz w:val="18"/>
                <w:szCs w:val="18"/>
                <w:color w:val="auto"/>
              </w:rPr>
              <w:t>Austria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Ohura Precious Metal Industry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w w:val="92"/>
              </w:rPr>
              <w:t>OJSC "The Gulidov Krasnoyarsk Non-Ferrous Metals Plant" (OJSC Krastsvetmet)</w:t>
            </w:r>
          </w:p>
        </w:tc>
        <w:tc>
          <w:tcPr>
            <w:tcW w:w="1940" w:type="dxa"/>
            <w:vAlign w:val="bottom"/>
          </w:tcPr>
          <w:p>
            <w:pPr>
              <w:ind w:left="80"/>
              <w:spacing w:after="0"/>
              <w:rPr>
                <w:sz w:val="20"/>
                <w:szCs w:val="20"/>
                <w:color w:val="auto"/>
              </w:rPr>
            </w:pPr>
            <w:r>
              <w:rPr>
                <w:rFonts w:ascii="Arial" w:cs="Arial" w:eastAsia="Arial" w:hAnsi="Arial"/>
                <w:sz w:val="18"/>
                <w:szCs w:val="18"/>
                <w:color w:val="auto"/>
              </w:rPr>
              <w:t>Russian Federation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OJSC Novosibirsk Refinery</w:t>
            </w:r>
          </w:p>
        </w:tc>
        <w:tc>
          <w:tcPr>
            <w:tcW w:w="1940" w:type="dxa"/>
            <w:vAlign w:val="bottom"/>
          </w:tcPr>
          <w:p>
            <w:pPr>
              <w:ind w:left="80"/>
              <w:spacing w:after="0"/>
              <w:rPr>
                <w:sz w:val="20"/>
                <w:szCs w:val="20"/>
                <w:color w:val="auto"/>
              </w:rPr>
            </w:pPr>
            <w:r>
              <w:rPr>
                <w:rFonts w:ascii="Arial" w:cs="Arial" w:eastAsia="Arial" w:hAnsi="Arial"/>
                <w:sz w:val="18"/>
                <w:szCs w:val="18"/>
                <w:color w:val="auto"/>
              </w:rPr>
              <w:t>Russian Federation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PAMP S.A.</w:t>
            </w:r>
          </w:p>
        </w:tc>
        <w:tc>
          <w:tcPr>
            <w:tcW w:w="1940" w:type="dxa"/>
            <w:vAlign w:val="bottom"/>
          </w:tcPr>
          <w:p>
            <w:pPr>
              <w:ind w:left="80"/>
              <w:spacing w:after="0"/>
              <w:rPr>
                <w:sz w:val="20"/>
                <w:szCs w:val="20"/>
                <w:color w:val="auto"/>
              </w:rPr>
            </w:pPr>
            <w:r>
              <w:rPr>
                <w:rFonts w:ascii="Arial" w:cs="Arial" w:eastAsia="Arial" w:hAnsi="Arial"/>
                <w:sz w:val="18"/>
                <w:szCs w:val="18"/>
                <w:color w:val="auto"/>
              </w:rPr>
              <w:t>Switzerland</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Planta Recuperadora de Metales SpA</w:t>
            </w:r>
          </w:p>
        </w:tc>
        <w:tc>
          <w:tcPr>
            <w:tcW w:w="1940" w:type="dxa"/>
            <w:vAlign w:val="bottom"/>
          </w:tcPr>
          <w:p>
            <w:pPr>
              <w:ind w:left="80"/>
              <w:spacing w:after="0"/>
              <w:rPr>
                <w:sz w:val="20"/>
                <w:szCs w:val="20"/>
                <w:color w:val="auto"/>
              </w:rPr>
            </w:pPr>
            <w:r>
              <w:rPr>
                <w:rFonts w:ascii="Arial" w:cs="Arial" w:eastAsia="Arial" w:hAnsi="Arial"/>
                <w:sz w:val="18"/>
                <w:szCs w:val="18"/>
                <w:color w:val="auto"/>
              </w:rPr>
              <w:t>Chile</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Prioksky Plant of Non-Ferrous Metals</w:t>
            </w:r>
          </w:p>
        </w:tc>
        <w:tc>
          <w:tcPr>
            <w:tcW w:w="1940" w:type="dxa"/>
            <w:vAlign w:val="bottom"/>
          </w:tcPr>
          <w:p>
            <w:pPr>
              <w:ind w:left="80"/>
              <w:spacing w:after="0"/>
              <w:rPr>
                <w:sz w:val="20"/>
                <w:szCs w:val="20"/>
                <w:color w:val="auto"/>
              </w:rPr>
            </w:pPr>
            <w:r>
              <w:rPr>
                <w:rFonts w:ascii="Arial" w:cs="Arial" w:eastAsia="Arial" w:hAnsi="Arial"/>
                <w:sz w:val="18"/>
                <w:szCs w:val="18"/>
                <w:color w:val="auto"/>
              </w:rPr>
              <w:t>Russian Federation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PT Aneka Tambang (Persero) Tbk</w:t>
            </w:r>
          </w:p>
        </w:tc>
        <w:tc>
          <w:tcPr>
            <w:tcW w:w="1940" w:type="dxa"/>
            <w:vAlign w:val="bottom"/>
          </w:tcPr>
          <w:p>
            <w:pPr>
              <w:ind w:left="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PX Precinox S.A.</w:t>
            </w:r>
          </w:p>
        </w:tc>
        <w:tc>
          <w:tcPr>
            <w:tcW w:w="1940" w:type="dxa"/>
            <w:vAlign w:val="bottom"/>
          </w:tcPr>
          <w:p>
            <w:pPr>
              <w:ind w:left="80"/>
              <w:spacing w:after="0"/>
              <w:rPr>
                <w:sz w:val="20"/>
                <w:szCs w:val="20"/>
                <w:color w:val="auto"/>
              </w:rPr>
            </w:pPr>
            <w:r>
              <w:rPr>
                <w:rFonts w:ascii="Arial" w:cs="Arial" w:eastAsia="Arial" w:hAnsi="Arial"/>
                <w:sz w:val="18"/>
                <w:szCs w:val="18"/>
                <w:color w:val="auto"/>
              </w:rPr>
              <w:t>Switzerland</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Rand Refinery (Pty) Ltd.</w:t>
            </w:r>
          </w:p>
        </w:tc>
        <w:tc>
          <w:tcPr>
            <w:tcW w:w="1940" w:type="dxa"/>
            <w:vAlign w:val="bottom"/>
          </w:tcPr>
          <w:p>
            <w:pPr>
              <w:ind w:left="80"/>
              <w:spacing w:after="0"/>
              <w:rPr>
                <w:sz w:val="20"/>
                <w:szCs w:val="20"/>
                <w:color w:val="auto"/>
              </w:rPr>
            </w:pPr>
            <w:r>
              <w:rPr>
                <w:rFonts w:ascii="Arial" w:cs="Arial" w:eastAsia="Arial" w:hAnsi="Arial"/>
                <w:sz w:val="18"/>
                <w:szCs w:val="18"/>
                <w:color w:val="auto"/>
              </w:rPr>
              <w:t>South Africa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REMONDIS PMR B.V.</w:t>
            </w:r>
          </w:p>
        </w:tc>
        <w:tc>
          <w:tcPr>
            <w:tcW w:w="1940" w:type="dxa"/>
            <w:vAlign w:val="bottom"/>
          </w:tcPr>
          <w:p>
            <w:pPr>
              <w:ind w:left="80"/>
              <w:spacing w:after="0"/>
              <w:rPr>
                <w:sz w:val="20"/>
                <w:szCs w:val="20"/>
                <w:color w:val="auto"/>
              </w:rPr>
            </w:pPr>
            <w:r>
              <w:rPr>
                <w:rFonts w:ascii="Arial" w:cs="Arial" w:eastAsia="Arial" w:hAnsi="Arial"/>
                <w:sz w:val="18"/>
                <w:szCs w:val="18"/>
                <w:color w:val="auto"/>
              </w:rPr>
              <w:t>Netherlands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Royal Canadian Mint</w:t>
            </w:r>
          </w:p>
        </w:tc>
        <w:tc>
          <w:tcPr>
            <w:tcW w:w="1940" w:type="dxa"/>
            <w:vAlign w:val="bottom"/>
          </w:tcPr>
          <w:p>
            <w:pPr>
              <w:ind w:left="80"/>
              <w:spacing w:after="0"/>
              <w:rPr>
                <w:sz w:val="20"/>
                <w:szCs w:val="20"/>
                <w:color w:val="auto"/>
              </w:rPr>
            </w:pPr>
            <w:r>
              <w:rPr>
                <w:rFonts w:ascii="Arial" w:cs="Arial" w:eastAsia="Arial" w:hAnsi="Arial"/>
                <w:sz w:val="18"/>
                <w:szCs w:val="18"/>
                <w:color w:val="auto"/>
              </w:rPr>
              <w:t>Canada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SAAMP</w:t>
            </w:r>
          </w:p>
        </w:tc>
        <w:tc>
          <w:tcPr>
            <w:tcW w:w="1940" w:type="dxa"/>
            <w:vAlign w:val="bottom"/>
          </w:tcPr>
          <w:p>
            <w:pPr>
              <w:ind w:left="80"/>
              <w:spacing w:after="0"/>
              <w:rPr>
                <w:sz w:val="20"/>
                <w:szCs w:val="20"/>
                <w:color w:val="auto"/>
              </w:rPr>
            </w:pPr>
            <w:r>
              <w:rPr>
                <w:rFonts w:ascii="Arial" w:cs="Arial" w:eastAsia="Arial" w:hAnsi="Arial"/>
                <w:sz w:val="18"/>
                <w:szCs w:val="18"/>
                <w:color w:val="auto"/>
              </w:rPr>
              <w:t>France</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Safimet S.p.A</w:t>
            </w:r>
          </w:p>
        </w:tc>
        <w:tc>
          <w:tcPr>
            <w:tcW w:w="1940" w:type="dxa"/>
            <w:vAlign w:val="bottom"/>
          </w:tcPr>
          <w:p>
            <w:pPr>
              <w:ind w:left="80"/>
              <w:spacing w:after="0"/>
              <w:rPr>
                <w:sz w:val="20"/>
                <w:szCs w:val="20"/>
                <w:color w:val="auto"/>
              </w:rPr>
            </w:pPr>
            <w:r>
              <w:rPr>
                <w:rFonts w:ascii="Arial" w:cs="Arial" w:eastAsia="Arial" w:hAnsi="Arial"/>
                <w:sz w:val="18"/>
                <w:szCs w:val="18"/>
                <w:color w:val="auto"/>
              </w:rPr>
              <w:t>Italy</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SAXONIA Edelmetalle GmbH</w:t>
            </w:r>
          </w:p>
        </w:tc>
        <w:tc>
          <w:tcPr>
            <w:tcW w:w="1940" w:type="dxa"/>
            <w:vAlign w:val="bottom"/>
          </w:tcPr>
          <w:p>
            <w:pPr>
              <w:ind w:left="80"/>
              <w:spacing w:after="0"/>
              <w:rPr>
                <w:sz w:val="20"/>
                <w:szCs w:val="20"/>
                <w:color w:val="auto"/>
              </w:rPr>
            </w:pPr>
            <w:r>
              <w:rPr>
                <w:rFonts w:ascii="Arial" w:cs="Arial" w:eastAsia="Arial" w:hAnsi="Arial"/>
                <w:sz w:val="18"/>
                <w:szCs w:val="18"/>
                <w:color w:val="auto"/>
              </w:rPr>
              <w:t>Germany</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SEMPSA Joyeria Plateria S.A.</w:t>
            </w:r>
          </w:p>
        </w:tc>
        <w:tc>
          <w:tcPr>
            <w:tcW w:w="1940" w:type="dxa"/>
            <w:vAlign w:val="bottom"/>
          </w:tcPr>
          <w:p>
            <w:pPr>
              <w:ind w:left="80"/>
              <w:spacing w:after="0"/>
              <w:rPr>
                <w:sz w:val="20"/>
                <w:szCs w:val="20"/>
                <w:color w:val="auto"/>
              </w:rPr>
            </w:pPr>
            <w:r>
              <w:rPr>
                <w:rFonts w:ascii="Arial" w:cs="Arial" w:eastAsia="Arial" w:hAnsi="Arial"/>
                <w:sz w:val="18"/>
                <w:szCs w:val="18"/>
                <w:color w:val="auto"/>
              </w:rPr>
              <w:t>Spain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Shandong Zhaojin Gold &amp; Silver Refinery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Sichuan Tianze Precious Metals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Singway Technology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Taiwan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SOE Shyolkovsky Factory of Secondary Precious Metals</w:t>
            </w:r>
          </w:p>
        </w:tc>
        <w:tc>
          <w:tcPr>
            <w:tcW w:w="1940" w:type="dxa"/>
            <w:vAlign w:val="bottom"/>
          </w:tcPr>
          <w:p>
            <w:pPr>
              <w:ind w:left="80"/>
              <w:spacing w:after="0"/>
              <w:rPr>
                <w:sz w:val="20"/>
                <w:szCs w:val="20"/>
                <w:color w:val="auto"/>
              </w:rPr>
            </w:pPr>
            <w:r>
              <w:rPr>
                <w:rFonts w:ascii="Arial" w:cs="Arial" w:eastAsia="Arial" w:hAnsi="Arial"/>
                <w:sz w:val="18"/>
                <w:szCs w:val="18"/>
                <w:color w:val="auto"/>
              </w:rPr>
              <w:t>Russian Federation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Solar Applied Materials Technology Corp.</w:t>
            </w:r>
          </w:p>
        </w:tc>
        <w:tc>
          <w:tcPr>
            <w:tcW w:w="1940" w:type="dxa"/>
            <w:vAlign w:val="bottom"/>
          </w:tcPr>
          <w:p>
            <w:pPr>
              <w:ind w:left="80"/>
              <w:spacing w:after="0"/>
              <w:rPr>
                <w:sz w:val="20"/>
                <w:szCs w:val="20"/>
                <w:color w:val="auto"/>
              </w:rPr>
            </w:pPr>
            <w:r>
              <w:rPr>
                <w:rFonts w:ascii="Arial" w:cs="Arial" w:eastAsia="Arial" w:hAnsi="Arial"/>
                <w:sz w:val="18"/>
                <w:szCs w:val="18"/>
                <w:color w:val="auto"/>
              </w:rPr>
              <w:t>Taiwan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Sumitomo Metal Mining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SungEel HiMetal Co., Ltd.</w:t>
            </w:r>
          </w:p>
        </w:tc>
        <w:tc>
          <w:tcPr>
            <w:tcW w:w="1940" w:type="dxa"/>
            <w:vAlign w:val="bottom"/>
          </w:tcPr>
          <w:p>
            <w:pPr>
              <w:ind w:left="80"/>
              <w:spacing w:after="0"/>
              <w:rPr>
                <w:sz w:val="20"/>
                <w:szCs w:val="20"/>
                <w:color w:val="auto"/>
              </w:rPr>
            </w:pPr>
            <w:r>
              <w:rPr>
                <w:rFonts w:ascii="Arial" w:cs="Arial" w:eastAsia="Arial" w:hAnsi="Arial"/>
                <w:sz w:val="18"/>
                <w:szCs w:val="18"/>
                <w:color w:val="auto"/>
              </w:rPr>
              <w:t>Korea, Republic of</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920" w:type="dxa"/>
            <w:vAlign w:val="bottom"/>
          </w:tcPr>
          <w:p>
            <w:pPr>
              <w:ind w:left="80"/>
              <w:spacing w:after="0"/>
              <w:rPr>
                <w:sz w:val="20"/>
                <w:szCs w:val="20"/>
                <w:color w:val="auto"/>
              </w:rPr>
            </w:pPr>
            <w:r>
              <w:rPr>
                <w:rFonts w:ascii="Arial" w:cs="Arial" w:eastAsia="Arial" w:hAnsi="Arial"/>
                <w:sz w:val="18"/>
                <w:szCs w:val="18"/>
                <w:color w:val="auto"/>
              </w:rPr>
              <w:t>Gold</w:t>
            </w:r>
          </w:p>
        </w:tc>
        <w:tc>
          <w:tcPr>
            <w:tcW w:w="6440" w:type="dxa"/>
            <w:vAlign w:val="bottom"/>
          </w:tcPr>
          <w:p>
            <w:pPr>
              <w:ind w:left="400"/>
              <w:spacing w:after="0"/>
              <w:rPr>
                <w:sz w:val="20"/>
                <w:szCs w:val="20"/>
                <w:color w:val="auto"/>
              </w:rPr>
            </w:pPr>
            <w:r>
              <w:rPr>
                <w:rFonts w:ascii="Arial" w:cs="Arial" w:eastAsia="Arial" w:hAnsi="Arial"/>
                <w:sz w:val="18"/>
                <w:szCs w:val="18"/>
                <w:color w:val="auto"/>
              </w:rPr>
              <w:t>T.C.A S.p.A</w:t>
            </w:r>
          </w:p>
        </w:tc>
        <w:tc>
          <w:tcPr>
            <w:tcW w:w="1940" w:type="dxa"/>
            <w:vAlign w:val="bottom"/>
          </w:tcPr>
          <w:p>
            <w:pPr>
              <w:ind w:left="80"/>
              <w:spacing w:after="0"/>
              <w:rPr>
                <w:sz w:val="20"/>
                <w:szCs w:val="20"/>
                <w:color w:val="auto"/>
              </w:rPr>
            </w:pPr>
            <w:r>
              <w:rPr>
                <w:rFonts w:ascii="Arial" w:cs="Arial" w:eastAsia="Arial" w:hAnsi="Arial"/>
                <w:sz w:val="18"/>
                <w:szCs w:val="18"/>
                <w:color w:val="auto"/>
              </w:rPr>
              <w:t>Italy</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00" w:top="891" w:right="299" w:bottom="395"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00"/>
          </w:cols>
          <w:pgMar w:left="300" w:top="891" w:right="299" w:bottom="395"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0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Metal</w:t>
            </w:r>
          </w:p>
        </w:tc>
        <w:tc>
          <w:tcPr>
            <w:tcW w:w="53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Facility Name</w:t>
            </w:r>
          </w:p>
        </w:tc>
        <w:tc>
          <w:tcPr>
            <w:tcW w:w="290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Country</w:t>
            </w:r>
          </w:p>
        </w:tc>
        <w:tc>
          <w:tcPr>
            <w:tcW w:w="2000" w:type="dxa"/>
            <w:vAlign w:val="bottom"/>
          </w:tcPr>
          <w:p>
            <w:pPr>
              <w:ind w:left="500"/>
              <w:spacing w:after="0"/>
              <w:rPr>
                <w:sz w:val="20"/>
                <w:szCs w:val="20"/>
                <w:color w:val="auto"/>
              </w:rPr>
            </w:pPr>
            <w:r>
              <w:rPr>
                <w:rFonts w:ascii="Arial" w:cs="Arial" w:eastAsia="Arial" w:hAnsi="Arial"/>
                <w:sz w:val="18"/>
                <w:szCs w:val="18"/>
                <w:b w:val="1"/>
                <w:bCs w:val="1"/>
                <w:color w:val="auto"/>
              </w:rPr>
              <w:t>Conformance</w:t>
            </w: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5360" w:type="dxa"/>
            <w:vAlign w:val="bottom"/>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200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Tanaka Kikinzoku Kogyo K.K.</w:t>
            </w:r>
          </w:p>
        </w:tc>
        <w:tc>
          <w:tcPr>
            <w:tcW w:w="2900" w:type="dxa"/>
            <w:vAlign w:val="bottom"/>
          </w:tcPr>
          <w:p>
            <w:pPr>
              <w:ind w:left="104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The Refinery of Shandong Gold Mining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Tokuriki Honten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Torecom</w:t>
            </w:r>
          </w:p>
        </w:tc>
        <w:tc>
          <w:tcPr>
            <w:tcW w:w="2900" w:type="dxa"/>
            <w:vAlign w:val="bottom"/>
          </w:tcPr>
          <w:p>
            <w:pPr>
              <w:ind w:left="1040"/>
              <w:spacing w:after="0"/>
              <w:rPr>
                <w:sz w:val="20"/>
                <w:szCs w:val="20"/>
                <w:color w:val="auto"/>
              </w:rPr>
            </w:pPr>
            <w:r>
              <w:rPr>
                <w:rFonts w:ascii="Arial" w:cs="Arial" w:eastAsia="Arial" w:hAnsi="Arial"/>
                <w:sz w:val="18"/>
                <w:szCs w:val="18"/>
                <w:color w:val="auto"/>
              </w:rPr>
              <w:t>Korea, Republic of</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Umicore Brasil Ltda.</w:t>
            </w:r>
          </w:p>
        </w:tc>
        <w:tc>
          <w:tcPr>
            <w:tcW w:w="2900" w:type="dxa"/>
            <w:vAlign w:val="bottom"/>
          </w:tcPr>
          <w:p>
            <w:pPr>
              <w:ind w:left="1040"/>
              <w:spacing w:after="0"/>
              <w:rPr>
                <w:sz w:val="20"/>
                <w:szCs w:val="20"/>
                <w:color w:val="auto"/>
              </w:rPr>
            </w:pPr>
            <w:r>
              <w:rPr>
                <w:rFonts w:ascii="Arial" w:cs="Arial" w:eastAsia="Arial" w:hAnsi="Arial"/>
                <w:sz w:val="18"/>
                <w:szCs w:val="18"/>
                <w:color w:val="auto"/>
              </w:rPr>
              <w:t>Brazil</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Umicore Precious Metals Thailand</w:t>
            </w:r>
          </w:p>
        </w:tc>
        <w:tc>
          <w:tcPr>
            <w:tcW w:w="2900" w:type="dxa"/>
            <w:vAlign w:val="bottom"/>
          </w:tcPr>
          <w:p>
            <w:pPr>
              <w:ind w:left="1040"/>
              <w:spacing w:after="0"/>
              <w:rPr>
                <w:sz w:val="20"/>
                <w:szCs w:val="20"/>
                <w:color w:val="auto"/>
              </w:rPr>
            </w:pPr>
            <w:r>
              <w:rPr>
                <w:rFonts w:ascii="Arial" w:cs="Arial" w:eastAsia="Arial" w:hAnsi="Arial"/>
                <w:sz w:val="18"/>
                <w:szCs w:val="18"/>
                <w:color w:val="auto"/>
              </w:rPr>
              <w:t>Thailand</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Umicore S.A. Business Unit Precious Metals Refining</w:t>
            </w:r>
          </w:p>
        </w:tc>
        <w:tc>
          <w:tcPr>
            <w:tcW w:w="2900" w:type="dxa"/>
            <w:vAlign w:val="bottom"/>
          </w:tcPr>
          <w:p>
            <w:pPr>
              <w:ind w:left="1040"/>
              <w:spacing w:after="0"/>
              <w:rPr>
                <w:sz w:val="20"/>
                <w:szCs w:val="20"/>
                <w:color w:val="auto"/>
              </w:rPr>
            </w:pPr>
            <w:r>
              <w:rPr>
                <w:rFonts w:ascii="Arial" w:cs="Arial" w:eastAsia="Arial" w:hAnsi="Arial"/>
                <w:sz w:val="18"/>
                <w:szCs w:val="18"/>
                <w:color w:val="auto"/>
              </w:rPr>
              <w:t>Belgium</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United Precious Metal Refining, Inc.</w:t>
            </w:r>
          </w:p>
        </w:tc>
        <w:tc>
          <w:tcPr>
            <w:tcW w:w="2900" w:type="dxa"/>
            <w:vAlign w:val="bottom"/>
          </w:tcPr>
          <w:p>
            <w:pPr>
              <w:ind w:left="104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Valcambi S.A.</w:t>
            </w:r>
          </w:p>
        </w:tc>
        <w:tc>
          <w:tcPr>
            <w:tcW w:w="2900" w:type="dxa"/>
            <w:vAlign w:val="bottom"/>
          </w:tcPr>
          <w:p>
            <w:pPr>
              <w:ind w:left="1040"/>
              <w:spacing w:after="0"/>
              <w:rPr>
                <w:sz w:val="20"/>
                <w:szCs w:val="20"/>
                <w:color w:val="auto"/>
              </w:rPr>
            </w:pPr>
            <w:r>
              <w:rPr>
                <w:rFonts w:ascii="Arial" w:cs="Arial" w:eastAsia="Arial" w:hAnsi="Arial"/>
                <w:sz w:val="18"/>
                <w:szCs w:val="18"/>
                <w:color w:val="auto"/>
              </w:rPr>
              <w:t>Switzerland</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Western Australian Mint (T/a The Perth Mint)</w:t>
            </w:r>
          </w:p>
        </w:tc>
        <w:tc>
          <w:tcPr>
            <w:tcW w:w="2900" w:type="dxa"/>
            <w:vAlign w:val="bottom"/>
          </w:tcPr>
          <w:p>
            <w:pPr>
              <w:ind w:left="1040"/>
              <w:spacing w:after="0"/>
              <w:rPr>
                <w:sz w:val="20"/>
                <w:szCs w:val="20"/>
                <w:color w:val="auto"/>
              </w:rPr>
            </w:pPr>
            <w:r>
              <w:rPr>
                <w:rFonts w:ascii="Arial" w:cs="Arial" w:eastAsia="Arial" w:hAnsi="Arial"/>
                <w:sz w:val="18"/>
                <w:szCs w:val="18"/>
                <w:color w:val="auto"/>
              </w:rPr>
              <w:t>Australia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WIELAND Edelmetalle GmbH</w:t>
            </w:r>
          </w:p>
        </w:tc>
        <w:tc>
          <w:tcPr>
            <w:tcW w:w="2900" w:type="dxa"/>
            <w:vAlign w:val="bottom"/>
          </w:tcPr>
          <w:p>
            <w:pPr>
              <w:ind w:left="1040"/>
              <w:spacing w:after="0"/>
              <w:rPr>
                <w:sz w:val="20"/>
                <w:szCs w:val="20"/>
                <w:color w:val="auto"/>
              </w:rPr>
            </w:pPr>
            <w:r>
              <w:rPr>
                <w:rFonts w:ascii="Arial" w:cs="Arial" w:eastAsia="Arial" w:hAnsi="Arial"/>
                <w:sz w:val="18"/>
                <w:szCs w:val="18"/>
                <w:color w:val="auto"/>
              </w:rPr>
              <w:t>Germany</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Yamakin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Yokohama Metal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Gold</w:t>
            </w:r>
          </w:p>
        </w:tc>
        <w:tc>
          <w:tcPr>
            <w:tcW w:w="5360" w:type="dxa"/>
            <w:vAlign w:val="bottom"/>
          </w:tcPr>
          <w:p>
            <w:pPr>
              <w:ind w:left="280"/>
              <w:spacing w:after="0"/>
              <w:rPr>
                <w:sz w:val="20"/>
                <w:szCs w:val="20"/>
                <w:color w:val="auto"/>
              </w:rPr>
            </w:pPr>
            <w:r>
              <w:rPr>
                <w:rFonts w:ascii="Arial" w:cs="Arial" w:eastAsia="Arial" w:hAnsi="Arial"/>
                <w:sz w:val="18"/>
                <w:szCs w:val="18"/>
                <w:color w:val="auto"/>
              </w:rPr>
              <w:t>Zhongyuan Gold Smelter of Zhongjin Gold Corporation</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Asaka Riken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Changsha South Tantalum Niobium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D Block Metals, LLC</w:t>
            </w:r>
          </w:p>
        </w:tc>
        <w:tc>
          <w:tcPr>
            <w:tcW w:w="2900" w:type="dxa"/>
            <w:vAlign w:val="bottom"/>
          </w:tcPr>
          <w:p>
            <w:pPr>
              <w:ind w:left="104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Exotech Inc.</w:t>
            </w:r>
          </w:p>
        </w:tc>
        <w:tc>
          <w:tcPr>
            <w:tcW w:w="2900" w:type="dxa"/>
            <w:vAlign w:val="bottom"/>
          </w:tcPr>
          <w:p>
            <w:pPr>
              <w:ind w:left="104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F&amp;X Electro-Materials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FIR Metals &amp; Resource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Global Advanced Metals Aizu</w:t>
            </w:r>
          </w:p>
        </w:tc>
        <w:tc>
          <w:tcPr>
            <w:tcW w:w="2900" w:type="dxa"/>
            <w:vAlign w:val="bottom"/>
          </w:tcPr>
          <w:p>
            <w:pPr>
              <w:ind w:left="104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Global Advanced Metals Boyertown</w:t>
            </w:r>
          </w:p>
        </w:tc>
        <w:tc>
          <w:tcPr>
            <w:tcW w:w="2900" w:type="dxa"/>
            <w:vAlign w:val="bottom"/>
          </w:tcPr>
          <w:p>
            <w:pPr>
              <w:ind w:left="104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Guangdong Rising Rare Metals-EO Materials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Guangdong Zhiyuan New Material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H.C. Starck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Thailand</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H.C. Starck Hermsdorf GmbH</w:t>
            </w:r>
          </w:p>
        </w:tc>
        <w:tc>
          <w:tcPr>
            <w:tcW w:w="2900" w:type="dxa"/>
            <w:vAlign w:val="bottom"/>
          </w:tcPr>
          <w:p>
            <w:pPr>
              <w:ind w:left="1040"/>
              <w:spacing w:after="0"/>
              <w:rPr>
                <w:sz w:val="20"/>
                <w:szCs w:val="20"/>
                <w:color w:val="auto"/>
              </w:rPr>
            </w:pPr>
            <w:r>
              <w:rPr>
                <w:rFonts w:ascii="Arial" w:cs="Arial" w:eastAsia="Arial" w:hAnsi="Arial"/>
                <w:sz w:val="18"/>
                <w:szCs w:val="18"/>
                <w:color w:val="auto"/>
              </w:rPr>
              <w:t>Germany</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H.C. Starck Inc.</w:t>
            </w:r>
          </w:p>
        </w:tc>
        <w:tc>
          <w:tcPr>
            <w:tcW w:w="2900" w:type="dxa"/>
            <w:vAlign w:val="bottom"/>
          </w:tcPr>
          <w:p>
            <w:pPr>
              <w:ind w:left="104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H.C. Starck Ltd.</w:t>
            </w:r>
          </w:p>
        </w:tc>
        <w:tc>
          <w:tcPr>
            <w:tcW w:w="2900" w:type="dxa"/>
            <w:vAlign w:val="bottom"/>
          </w:tcPr>
          <w:p>
            <w:pPr>
              <w:ind w:left="104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H.C. Starck Smelting GmbH &amp; Co. KG</w:t>
            </w:r>
          </w:p>
        </w:tc>
        <w:tc>
          <w:tcPr>
            <w:tcW w:w="2900" w:type="dxa"/>
            <w:vAlign w:val="bottom"/>
          </w:tcPr>
          <w:p>
            <w:pPr>
              <w:ind w:left="1040"/>
              <w:spacing w:after="0"/>
              <w:rPr>
                <w:sz w:val="20"/>
                <w:szCs w:val="20"/>
                <w:color w:val="auto"/>
              </w:rPr>
            </w:pPr>
            <w:r>
              <w:rPr>
                <w:rFonts w:ascii="Arial" w:cs="Arial" w:eastAsia="Arial" w:hAnsi="Arial"/>
                <w:sz w:val="18"/>
                <w:szCs w:val="18"/>
                <w:color w:val="auto"/>
              </w:rPr>
              <w:t>Germany</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H.C. Starck Tantalum and Niobium GmbH</w:t>
            </w:r>
          </w:p>
        </w:tc>
        <w:tc>
          <w:tcPr>
            <w:tcW w:w="2900" w:type="dxa"/>
            <w:vAlign w:val="bottom"/>
          </w:tcPr>
          <w:p>
            <w:pPr>
              <w:ind w:left="1040"/>
              <w:spacing w:after="0"/>
              <w:rPr>
                <w:sz w:val="20"/>
                <w:szCs w:val="20"/>
                <w:color w:val="auto"/>
              </w:rPr>
            </w:pPr>
            <w:r>
              <w:rPr>
                <w:rFonts w:ascii="Arial" w:cs="Arial" w:eastAsia="Arial" w:hAnsi="Arial"/>
                <w:sz w:val="18"/>
                <w:szCs w:val="18"/>
                <w:color w:val="auto"/>
              </w:rPr>
              <w:t>Germany</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Hengyang King Xing Lifeng New Materials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Jiangxi Dinghai Tantalum &amp; Niobium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Jiangxi Tuohong New Raw Material</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Jiujiang Janny New Material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JiuJiang JinXin Nonferrous Metals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Jiujiang Tanbre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Jiujiang Zhongao Tantalum &amp; Niobium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KEMET Blue Metals</w:t>
            </w:r>
          </w:p>
        </w:tc>
        <w:tc>
          <w:tcPr>
            <w:tcW w:w="2900" w:type="dxa"/>
            <w:vAlign w:val="bottom"/>
          </w:tcPr>
          <w:p>
            <w:pPr>
              <w:ind w:left="1040"/>
              <w:spacing w:after="0"/>
              <w:rPr>
                <w:sz w:val="20"/>
                <w:szCs w:val="20"/>
                <w:color w:val="auto"/>
              </w:rPr>
            </w:pPr>
            <w:r>
              <w:rPr>
                <w:rFonts w:ascii="Arial" w:cs="Arial" w:eastAsia="Arial" w:hAnsi="Arial"/>
                <w:sz w:val="18"/>
                <w:szCs w:val="18"/>
                <w:color w:val="auto"/>
              </w:rPr>
              <w:t>Mexico</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KEMET Blue Powder</w:t>
            </w:r>
          </w:p>
        </w:tc>
        <w:tc>
          <w:tcPr>
            <w:tcW w:w="2900" w:type="dxa"/>
            <w:vAlign w:val="bottom"/>
          </w:tcPr>
          <w:p>
            <w:pPr>
              <w:ind w:left="104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LSM Brasil S.A.</w:t>
            </w:r>
          </w:p>
        </w:tc>
        <w:tc>
          <w:tcPr>
            <w:tcW w:w="2900" w:type="dxa"/>
            <w:vAlign w:val="bottom"/>
          </w:tcPr>
          <w:p>
            <w:pPr>
              <w:ind w:left="1040"/>
              <w:spacing w:after="0"/>
              <w:rPr>
                <w:sz w:val="20"/>
                <w:szCs w:val="20"/>
                <w:color w:val="auto"/>
              </w:rPr>
            </w:pPr>
            <w:r>
              <w:rPr>
                <w:rFonts w:ascii="Arial" w:cs="Arial" w:eastAsia="Arial" w:hAnsi="Arial"/>
                <w:sz w:val="18"/>
                <w:szCs w:val="18"/>
                <w:color w:val="auto"/>
              </w:rPr>
              <w:t>Brazil</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Metallurgical Products India Pvt., Ltd.</w:t>
            </w:r>
          </w:p>
        </w:tc>
        <w:tc>
          <w:tcPr>
            <w:tcW w:w="2900" w:type="dxa"/>
            <w:vAlign w:val="bottom"/>
          </w:tcPr>
          <w:p>
            <w:pPr>
              <w:ind w:left="1040"/>
              <w:spacing w:after="0"/>
              <w:rPr>
                <w:sz w:val="20"/>
                <w:szCs w:val="20"/>
                <w:color w:val="auto"/>
              </w:rPr>
            </w:pPr>
            <w:r>
              <w:rPr>
                <w:rFonts w:ascii="Arial" w:cs="Arial" w:eastAsia="Arial" w:hAnsi="Arial"/>
                <w:sz w:val="18"/>
                <w:szCs w:val="18"/>
                <w:color w:val="auto"/>
              </w:rPr>
              <w:t>India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Mineracao Taboca S.A.</w:t>
            </w:r>
          </w:p>
        </w:tc>
        <w:tc>
          <w:tcPr>
            <w:tcW w:w="2900" w:type="dxa"/>
            <w:vAlign w:val="bottom"/>
          </w:tcPr>
          <w:p>
            <w:pPr>
              <w:ind w:left="1040"/>
              <w:spacing w:after="0"/>
              <w:rPr>
                <w:sz w:val="20"/>
                <w:szCs w:val="20"/>
                <w:color w:val="auto"/>
              </w:rPr>
            </w:pPr>
            <w:r>
              <w:rPr>
                <w:rFonts w:ascii="Arial" w:cs="Arial" w:eastAsia="Arial" w:hAnsi="Arial"/>
                <w:sz w:val="18"/>
                <w:szCs w:val="18"/>
                <w:color w:val="auto"/>
              </w:rPr>
              <w:t>Brazil</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Mitsui Mining and Smelting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Ningxia Orient Tantalum Industry Co., Ltd.</w:t>
            </w:r>
          </w:p>
        </w:tc>
        <w:tc>
          <w:tcPr>
            <w:tcW w:w="2900" w:type="dxa"/>
            <w:vAlign w:val="bottom"/>
          </w:tcPr>
          <w:p>
            <w:pPr>
              <w:ind w:left="104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NPM Silmet AS</w:t>
            </w:r>
          </w:p>
        </w:tc>
        <w:tc>
          <w:tcPr>
            <w:tcW w:w="2900" w:type="dxa"/>
            <w:vAlign w:val="bottom"/>
          </w:tcPr>
          <w:p>
            <w:pPr>
              <w:ind w:left="1040"/>
              <w:spacing w:after="0"/>
              <w:rPr>
                <w:sz w:val="20"/>
                <w:szCs w:val="20"/>
                <w:color w:val="auto"/>
              </w:rPr>
            </w:pPr>
            <w:r>
              <w:rPr>
                <w:rFonts w:ascii="Arial" w:cs="Arial" w:eastAsia="Arial" w:hAnsi="Arial"/>
                <w:sz w:val="18"/>
                <w:szCs w:val="18"/>
                <w:color w:val="auto"/>
              </w:rPr>
              <w:t>Estonia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Power Resources Ltd.</w:t>
            </w:r>
          </w:p>
        </w:tc>
        <w:tc>
          <w:tcPr>
            <w:tcW w:w="2900" w:type="dxa"/>
            <w:vAlign w:val="bottom"/>
          </w:tcPr>
          <w:p>
            <w:pPr>
              <w:ind w:left="1040"/>
              <w:spacing w:after="0"/>
              <w:rPr>
                <w:sz w:val="20"/>
                <w:szCs w:val="20"/>
                <w:color w:val="auto"/>
              </w:rPr>
            </w:pPr>
            <w:r>
              <w:rPr>
                <w:rFonts w:ascii="Arial" w:cs="Arial" w:eastAsia="Arial" w:hAnsi="Arial"/>
                <w:sz w:val="18"/>
                <w:szCs w:val="18"/>
                <w:color w:val="auto"/>
              </w:rPr>
              <w:t>Macedonia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QuantumClean</w:t>
            </w:r>
          </w:p>
        </w:tc>
        <w:tc>
          <w:tcPr>
            <w:tcW w:w="2900" w:type="dxa"/>
            <w:vAlign w:val="bottom"/>
          </w:tcPr>
          <w:p>
            <w:pPr>
              <w:ind w:left="104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360" w:type="dxa"/>
            <w:vAlign w:val="bottom"/>
          </w:tcPr>
          <w:p>
            <w:pPr>
              <w:ind w:left="280"/>
              <w:spacing w:after="0"/>
              <w:rPr>
                <w:sz w:val="20"/>
                <w:szCs w:val="20"/>
                <w:color w:val="auto"/>
              </w:rPr>
            </w:pPr>
            <w:r>
              <w:rPr>
                <w:rFonts w:ascii="Arial" w:cs="Arial" w:eastAsia="Arial" w:hAnsi="Arial"/>
                <w:sz w:val="18"/>
                <w:szCs w:val="18"/>
                <w:color w:val="auto"/>
              </w:rPr>
              <w:t>Resind Industria e Comercio Ltda.</w:t>
            </w:r>
          </w:p>
        </w:tc>
        <w:tc>
          <w:tcPr>
            <w:tcW w:w="2900" w:type="dxa"/>
            <w:vAlign w:val="bottom"/>
          </w:tcPr>
          <w:p>
            <w:pPr>
              <w:ind w:left="1040"/>
              <w:spacing w:after="0"/>
              <w:rPr>
                <w:sz w:val="20"/>
                <w:szCs w:val="20"/>
                <w:color w:val="auto"/>
              </w:rPr>
            </w:pPr>
            <w:r>
              <w:rPr>
                <w:rFonts w:ascii="Arial" w:cs="Arial" w:eastAsia="Arial" w:hAnsi="Arial"/>
                <w:sz w:val="18"/>
                <w:szCs w:val="18"/>
                <w:color w:val="auto"/>
              </w:rPr>
              <w:t>Brazil</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00" w:top="891" w:right="299" w:bottom="98"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00"/>
          </w:cols>
          <w:pgMar w:left="300" w:top="891" w:right="299" w:bottom="98"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Metal</w:t>
            </w:r>
          </w:p>
        </w:tc>
        <w:tc>
          <w:tcPr>
            <w:tcW w:w="54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Facility Name</w:t>
            </w:r>
          </w:p>
        </w:tc>
        <w:tc>
          <w:tcPr>
            <w:tcW w:w="2840" w:type="dxa"/>
            <w:vAlign w:val="bottom"/>
            <w:vMerge w:val="restart"/>
          </w:tcPr>
          <w:p>
            <w:pPr>
              <w:ind w:left="980"/>
              <w:spacing w:after="0"/>
              <w:rPr>
                <w:sz w:val="20"/>
                <w:szCs w:val="20"/>
                <w:color w:val="auto"/>
              </w:rPr>
            </w:pPr>
            <w:r>
              <w:rPr>
                <w:rFonts w:ascii="Arial" w:cs="Arial" w:eastAsia="Arial" w:hAnsi="Arial"/>
                <w:sz w:val="18"/>
                <w:szCs w:val="18"/>
                <w:b w:val="1"/>
                <w:bCs w:val="1"/>
                <w:color w:val="auto"/>
              </w:rPr>
              <w:t>Country</w:t>
            </w:r>
          </w:p>
        </w:tc>
        <w:tc>
          <w:tcPr>
            <w:tcW w:w="2000" w:type="dxa"/>
            <w:vAlign w:val="bottom"/>
          </w:tcPr>
          <w:p>
            <w:pPr>
              <w:ind w:left="500"/>
              <w:spacing w:after="0"/>
              <w:rPr>
                <w:sz w:val="20"/>
                <w:szCs w:val="20"/>
                <w:color w:val="auto"/>
              </w:rPr>
            </w:pPr>
            <w:r>
              <w:rPr>
                <w:rFonts w:ascii="Arial" w:cs="Arial" w:eastAsia="Arial" w:hAnsi="Arial"/>
                <w:sz w:val="18"/>
                <w:szCs w:val="18"/>
                <w:b w:val="1"/>
                <w:bCs w:val="1"/>
                <w:color w:val="auto"/>
              </w:rPr>
              <w:t>Conformance</w:t>
            </w: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542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200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420" w:type="dxa"/>
            <w:vAlign w:val="bottom"/>
          </w:tcPr>
          <w:p>
            <w:pPr>
              <w:ind w:left="280"/>
              <w:spacing w:after="0"/>
              <w:rPr>
                <w:sz w:val="20"/>
                <w:szCs w:val="20"/>
                <w:color w:val="auto"/>
              </w:rPr>
            </w:pPr>
            <w:r>
              <w:rPr>
                <w:rFonts w:ascii="Arial" w:cs="Arial" w:eastAsia="Arial" w:hAnsi="Arial"/>
                <w:sz w:val="18"/>
                <w:szCs w:val="18"/>
                <w:color w:val="auto"/>
              </w:rPr>
              <w:t>Solikamsk Magnesium Works OAO</w:t>
            </w:r>
          </w:p>
        </w:tc>
        <w:tc>
          <w:tcPr>
            <w:tcW w:w="2840" w:type="dxa"/>
            <w:vAlign w:val="bottom"/>
          </w:tcPr>
          <w:p>
            <w:pPr>
              <w:ind w:left="980"/>
              <w:spacing w:after="0"/>
              <w:rPr>
                <w:sz w:val="20"/>
                <w:szCs w:val="20"/>
                <w:color w:val="auto"/>
              </w:rPr>
            </w:pPr>
            <w:r>
              <w:rPr>
                <w:rFonts w:ascii="Arial" w:cs="Arial" w:eastAsia="Arial" w:hAnsi="Arial"/>
                <w:sz w:val="18"/>
                <w:szCs w:val="18"/>
                <w:color w:val="auto"/>
              </w:rPr>
              <w:t>Russian Federation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420" w:type="dxa"/>
            <w:vAlign w:val="bottom"/>
          </w:tcPr>
          <w:p>
            <w:pPr>
              <w:ind w:left="280"/>
              <w:spacing w:after="0"/>
              <w:rPr>
                <w:sz w:val="20"/>
                <w:szCs w:val="20"/>
                <w:color w:val="auto"/>
              </w:rPr>
            </w:pPr>
            <w:r>
              <w:rPr>
                <w:rFonts w:ascii="Arial" w:cs="Arial" w:eastAsia="Arial" w:hAnsi="Arial"/>
                <w:sz w:val="18"/>
                <w:szCs w:val="18"/>
                <w:color w:val="auto"/>
              </w:rPr>
              <w:t>Taki Chemical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420" w:type="dxa"/>
            <w:vAlign w:val="bottom"/>
          </w:tcPr>
          <w:p>
            <w:pPr>
              <w:ind w:left="280"/>
              <w:spacing w:after="0"/>
              <w:rPr>
                <w:sz w:val="20"/>
                <w:szCs w:val="20"/>
                <w:color w:val="auto"/>
              </w:rPr>
            </w:pPr>
            <w:r>
              <w:rPr>
                <w:rFonts w:ascii="Arial" w:cs="Arial" w:eastAsia="Arial" w:hAnsi="Arial"/>
                <w:sz w:val="18"/>
                <w:szCs w:val="18"/>
                <w:color w:val="auto"/>
              </w:rPr>
              <w:t>Telex Metals</w:t>
            </w:r>
          </w:p>
        </w:tc>
        <w:tc>
          <w:tcPr>
            <w:tcW w:w="2840" w:type="dxa"/>
            <w:vAlign w:val="bottom"/>
          </w:tcPr>
          <w:p>
            <w:pPr>
              <w:ind w:left="98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420" w:type="dxa"/>
            <w:vAlign w:val="bottom"/>
          </w:tcPr>
          <w:p>
            <w:pPr>
              <w:ind w:left="280"/>
              <w:spacing w:after="0"/>
              <w:rPr>
                <w:sz w:val="20"/>
                <w:szCs w:val="20"/>
                <w:color w:val="auto"/>
              </w:rPr>
            </w:pPr>
            <w:r>
              <w:rPr>
                <w:rFonts w:ascii="Arial" w:cs="Arial" w:eastAsia="Arial" w:hAnsi="Arial"/>
                <w:sz w:val="18"/>
                <w:szCs w:val="18"/>
                <w:color w:val="auto"/>
              </w:rPr>
              <w:t>Ulba Metallurgical Plant JSC</w:t>
            </w:r>
          </w:p>
        </w:tc>
        <w:tc>
          <w:tcPr>
            <w:tcW w:w="2840" w:type="dxa"/>
            <w:vAlign w:val="bottom"/>
          </w:tcPr>
          <w:p>
            <w:pPr>
              <w:ind w:left="980"/>
              <w:spacing w:after="0"/>
              <w:rPr>
                <w:sz w:val="20"/>
                <w:szCs w:val="20"/>
                <w:color w:val="auto"/>
              </w:rPr>
            </w:pPr>
            <w:r>
              <w:rPr>
                <w:rFonts w:ascii="Arial" w:cs="Arial" w:eastAsia="Arial" w:hAnsi="Arial"/>
                <w:sz w:val="18"/>
                <w:szCs w:val="18"/>
                <w:color w:val="auto"/>
              </w:rPr>
              <w:t>Kazakhstan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420" w:type="dxa"/>
            <w:vAlign w:val="bottom"/>
          </w:tcPr>
          <w:p>
            <w:pPr>
              <w:ind w:left="280"/>
              <w:spacing w:after="0"/>
              <w:rPr>
                <w:sz w:val="20"/>
                <w:szCs w:val="20"/>
                <w:color w:val="auto"/>
              </w:rPr>
            </w:pPr>
            <w:r>
              <w:rPr>
                <w:rFonts w:ascii="Arial" w:cs="Arial" w:eastAsia="Arial" w:hAnsi="Arial"/>
                <w:sz w:val="18"/>
                <w:szCs w:val="18"/>
                <w:color w:val="auto"/>
              </w:rPr>
              <w:t>XinXing HaoRong Electronic Material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Tantalum</w:t>
            </w:r>
          </w:p>
        </w:tc>
        <w:tc>
          <w:tcPr>
            <w:tcW w:w="5420" w:type="dxa"/>
            <w:vAlign w:val="bottom"/>
          </w:tcPr>
          <w:p>
            <w:pPr>
              <w:ind w:left="280"/>
              <w:spacing w:after="0"/>
              <w:rPr>
                <w:sz w:val="20"/>
                <w:szCs w:val="20"/>
                <w:color w:val="auto"/>
              </w:rPr>
            </w:pPr>
            <w:r>
              <w:rPr>
                <w:rFonts w:ascii="Arial" w:cs="Arial" w:eastAsia="Arial" w:hAnsi="Arial"/>
                <w:sz w:val="18"/>
                <w:szCs w:val="18"/>
                <w:color w:val="auto"/>
              </w:rPr>
              <w:t>Yanling Jincheng Tantalum &amp; Niobium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Alpha</w:t>
            </w:r>
          </w:p>
        </w:tc>
        <w:tc>
          <w:tcPr>
            <w:tcW w:w="2840" w:type="dxa"/>
            <w:vAlign w:val="bottom"/>
          </w:tcPr>
          <w:p>
            <w:pPr>
              <w:ind w:left="98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Chenzhou Yunxiang Mining and Metallurgy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Chifeng Dajingzi Tin Industry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China Tin Group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CV Ayi Jaya</w:t>
            </w:r>
          </w:p>
        </w:tc>
        <w:tc>
          <w:tcPr>
            <w:tcW w:w="2840" w:type="dxa"/>
            <w:vAlign w:val="bottom"/>
          </w:tcPr>
          <w:p>
            <w:pPr>
              <w:ind w:left="9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CV Dua Sekawan</w:t>
            </w:r>
          </w:p>
        </w:tc>
        <w:tc>
          <w:tcPr>
            <w:tcW w:w="2840" w:type="dxa"/>
            <w:vAlign w:val="bottom"/>
          </w:tcPr>
          <w:p>
            <w:pPr>
              <w:ind w:left="9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CV Gita Pesona</w:t>
            </w:r>
          </w:p>
        </w:tc>
        <w:tc>
          <w:tcPr>
            <w:tcW w:w="2840" w:type="dxa"/>
            <w:vAlign w:val="bottom"/>
          </w:tcPr>
          <w:p>
            <w:pPr>
              <w:ind w:left="9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CV United Smelting</w:t>
            </w:r>
          </w:p>
        </w:tc>
        <w:tc>
          <w:tcPr>
            <w:tcW w:w="2840" w:type="dxa"/>
            <w:vAlign w:val="bottom"/>
          </w:tcPr>
          <w:p>
            <w:pPr>
              <w:ind w:left="9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CV Venus Inti Perkasa</w:t>
            </w:r>
          </w:p>
        </w:tc>
        <w:tc>
          <w:tcPr>
            <w:tcW w:w="2840" w:type="dxa"/>
            <w:vAlign w:val="bottom"/>
          </w:tcPr>
          <w:p>
            <w:pPr>
              <w:ind w:left="9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Dongguan CiEXPO Environmental Engineering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In Process</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Dowa</w:t>
            </w:r>
          </w:p>
        </w:tc>
        <w:tc>
          <w:tcPr>
            <w:tcW w:w="2840" w:type="dxa"/>
            <w:vAlign w:val="bottom"/>
          </w:tcPr>
          <w:p>
            <w:pPr>
              <w:ind w:left="98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EM Vinto</w:t>
            </w:r>
          </w:p>
        </w:tc>
        <w:tc>
          <w:tcPr>
            <w:tcW w:w="2840" w:type="dxa"/>
            <w:vAlign w:val="bottom"/>
          </w:tcPr>
          <w:p>
            <w:pPr>
              <w:ind w:left="980"/>
              <w:spacing w:after="0"/>
              <w:rPr>
                <w:sz w:val="20"/>
                <w:szCs w:val="20"/>
                <w:color w:val="auto"/>
              </w:rPr>
            </w:pPr>
            <w:r>
              <w:rPr>
                <w:rFonts w:ascii="Arial" w:cs="Arial" w:eastAsia="Arial" w:hAnsi="Arial"/>
                <w:sz w:val="18"/>
                <w:szCs w:val="18"/>
                <w:color w:val="auto"/>
              </w:rPr>
              <w:t>Bolivia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Fenix Metals</w:t>
            </w:r>
          </w:p>
        </w:tc>
        <w:tc>
          <w:tcPr>
            <w:tcW w:w="2840" w:type="dxa"/>
            <w:vAlign w:val="bottom"/>
          </w:tcPr>
          <w:p>
            <w:pPr>
              <w:ind w:left="980"/>
              <w:spacing w:after="0"/>
              <w:rPr>
                <w:sz w:val="20"/>
                <w:szCs w:val="20"/>
                <w:color w:val="auto"/>
              </w:rPr>
            </w:pPr>
            <w:r>
              <w:rPr>
                <w:rFonts w:ascii="Arial" w:cs="Arial" w:eastAsia="Arial" w:hAnsi="Arial"/>
                <w:sz w:val="18"/>
                <w:szCs w:val="18"/>
                <w:color w:val="auto"/>
              </w:rPr>
              <w:t>Poland</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Gejiu Fengming Metallurgy Chemical Plant</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Gejiu Jinye Mineral Company</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Gejiu Kai Meng Industry and Trade LLC</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Gejiu Non-Ferrous Metal Processing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Gejiu Yunxin Nonferrous Electrolysis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Gejiu Zili Mining And Metallurgy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Guangdong Hanhe Non-Ferrous Metal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Guanyang Guida Nonferrous Metal Smelting Plant</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HuiChang Hill Tin Industry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Huichang Jinshunda Tin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Jiangxi New Nanshan Technology Ltd.</w:t>
            </w:r>
          </w:p>
        </w:tc>
        <w:tc>
          <w:tcPr>
            <w:tcW w:w="2840" w:type="dxa"/>
            <w:vAlign w:val="bottom"/>
          </w:tcPr>
          <w:p>
            <w:pPr>
              <w:ind w:left="98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Magnu's Minerais Metais e Ligas Ltda.</w:t>
            </w:r>
          </w:p>
        </w:tc>
        <w:tc>
          <w:tcPr>
            <w:tcW w:w="2840" w:type="dxa"/>
            <w:vAlign w:val="bottom"/>
          </w:tcPr>
          <w:p>
            <w:pPr>
              <w:ind w:left="980"/>
              <w:spacing w:after="0"/>
              <w:rPr>
                <w:sz w:val="20"/>
                <w:szCs w:val="20"/>
                <w:color w:val="auto"/>
              </w:rPr>
            </w:pPr>
            <w:r>
              <w:rPr>
                <w:rFonts w:ascii="Arial" w:cs="Arial" w:eastAsia="Arial" w:hAnsi="Arial"/>
                <w:sz w:val="18"/>
                <w:szCs w:val="18"/>
                <w:color w:val="auto"/>
              </w:rPr>
              <w:t>Brazil</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Malaysia Smelting Corporation (MSC)</w:t>
            </w:r>
          </w:p>
        </w:tc>
        <w:tc>
          <w:tcPr>
            <w:tcW w:w="2840" w:type="dxa"/>
            <w:vAlign w:val="bottom"/>
          </w:tcPr>
          <w:p>
            <w:pPr>
              <w:ind w:left="980"/>
              <w:spacing w:after="0"/>
              <w:rPr>
                <w:sz w:val="20"/>
                <w:szCs w:val="20"/>
                <w:color w:val="auto"/>
              </w:rPr>
            </w:pPr>
            <w:r>
              <w:rPr>
                <w:rFonts w:ascii="Arial" w:cs="Arial" w:eastAsia="Arial" w:hAnsi="Arial"/>
                <w:sz w:val="18"/>
                <w:szCs w:val="18"/>
                <w:color w:val="auto"/>
              </w:rPr>
              <w:t>Malaysia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Melt Metais e Ligas S.A.</w:t>
            </w:r>
          </w:p>
        </w:tc>
        <w:tc>
          <w:tcPr>
            <w:tcW w:w="2840" w:type="dxa"/>
            <w:vAlign w:val="bottom"/>
          </w:tcPr>
          <w:p>
            <w:pPr>
              <w:ind w:left="980"/>
              <w:spacing w:after="0"/>
              <w:rPr>
                <w:sz w:val="20"/>
                <w:szCs w:val="20"/>
                <w:color w:val="auto"/>
              </w:rPr>
            </w:pPr>
            <w:r>
              <w:rPr>
                <w:rFonts w:ascii="Arial" w:cs="Arial" w:eastAsia="Arial" w:hAnsi="Arial"/>
                <w:sz w:val="18"/>
                <w:szCs w:val="18"/>
                <w:color w:val="auto"/>
              </w:rPr>
              <w:t>Brazil</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Metallic Resources, Inc.</w:t>
            </w:r>
          </w:p>
        </w:tc>
        <w:tc>
          <w:tcPr>
            <w:tcW w:w="2840" w:type="dxa"/>
            <w:vAlign w:val="bottom"/>
          </w:tcPr>
          <w:p>
            <w:pPr>
              <w:ind w:left="98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Metallo Belgium N.V.</w:t>
            </w:r>
          </w:p>
        </w:tc>
        <w:tc>
          <w:tcPr>
            <w:tcW w:w="2840" w:type="dxa"/>
            <w:vAlign w:val="bottom"/>
          </w:tcPr>
          <w:p>
            <w:pPr>
              <w:ind w:left="980"/>
              <w:spacing w:after="0"/>
              <w:rPr>
                <w:sz w:val="20"/>
                <w:szCs w:val="20"/>
                <w:color w:val="auto"/>
              </w:rPr>
            </w:pPr>
            <w:r>
              <w:rPr>
                <w:rFonts w:ascii="Arial" w:cs="Arial" w:eastAsia="Arial" w:hAnsi="Arial"/>
                <w:sz w:val="18"/>
                <w:szCs w:val="18"/>
                <w:color w:val="auto"/>
              </w:rPr>
              <w:t>Belgium</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Metallo Spain S.L.U.</w:t>
            </w:r>
          </w:p>
        </w:tc>
        <w:tc>
          <w:tcPr>
            <w:tcW w:w="2840" w:type="dxa"/>
            <w:vAlign w:val="bottom"/>
          </w:tcPr>
          <w:p>
            <w:pPr>
              <w:ind w:left="980"/>
              <w:spacing w:after="0"/>
              <w:rPr>
                <w:sz w:val="20"/>
                <w:szCs w:val="20"/>
                <w:color w:val="auto"/>
              </w:rPr>
            </w:pPr>
            <w:r>
              <w:rPr>
                <w:rFonts w:ascii="Arial" w:cs="Arial" w:eastAsia="Arial" w:hAnsi="Arial"/>
                <w:sz w:val="18"/>
                <w:szCs w:val="18"/>
                <w:color w:val="auto"/>
              </w:rPr>
              <w:t>Spain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Mineracao Taboca S.A.</w:t>
            </w:r>
          </w:p>
        </w:tc>
        <w:tc>
          <w:tcPr>
            <w:tcW w:w="2840" w:type="dxa"/>
            <w:vAlign w:val="bottom"/>
          </w:tcPr>
          <w:p>
            <w:pPr>
              <w:ind w:left="980"/>
              <w:spacing w:after="0"/>
              <w:rPr>
                <w:sz w:val="20"/>
                <w:szCs w:val="20"/>
                <w:color w:val="auto"/>
              </w:rPr>
            </w:pPr>
            <w:r>
              <w:rPr>
                <w:rFonts w:ascii="Arial" w:cs="Arial" w:eastAsia="Arial" w:hAnsi="Arial"/>
                <w:sz w:val="18"/>
                <w:szCs w:val="18"/>
                <w:color w:val="auto"/>
              </w:rPr>
              <w:t>Brazil</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Minsur</w:t>
            </w:r>
          </w:p>
        </w:tc>
        <w:tc>
          <w:tcPr>
            <w:tcW w:w="2840" w:type="dxa"/>
            <w:vAlign w:val="bottom"/>
          </w:tcPr>
          <w:p>
            <w:pPr>
              <w:ind w:left="980"/>
              <w:spacing w:after="0"/>
              <w:rPr>
                <w:sz w:val="20"/>
                <w:szCs w:val="20"/>
                <w:color w:val="auto"/>
              </w:rPr>
            </w:pPr>
            <w:r>
              <w:rPr>
                <w:rFonts w:ascii="Arial" w:cs="Arial" w:eastAsia="Arial" w:hAnsi="Arial"/>
                <w:sz w:val="18"/>
                <w:szCs w:val="18"/>
                <w:color w:val="auto"/>
              </w:rPr>
              <w:t>Peru</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Mitsubishi Materials Corporation</w:t>
            </w:r>
          </w:p>
        </w:tc>
        <w:tc>
          <w:tcPr>
            <w:tcW w:w="2840" w:type="dxa"/>
            <w:vAlign w:val="bottom"/>
          </w:tcPr>
          <w:p>
            <w:pPr>
              <w:ind w:left="98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Modeltech Sdn Bhd</w:t>
            </w:r>
          </w:p>
        </w:tc>
        <w:tc>
          <w:tcPr>
            <w:tcW w:w="2840" w:type="dxa"/>
            <w:vAlign w:val="bottom"/>
          </w:tcPr>
          <w:p>
            <w:pPr>
              <w:ind w:left="980"/>
              <w:spacing w:after="0"/>
              <w:rPr>
                <w:sz w:val="20"/>
                <w:szCs w:val="20"/>
                <w:color w:val="auto"/>
              </w:rPr>
            </w:pPr>
            <w:r>
              <w:rPr>
                <w:rFonts w:ascii="Arial" w:cs="Arial" w:eastAsia="Arial" w:hAnsi="Arial"/>
                <w:sz w:val="18"/>
                <w:szCs w:val="18"/>
                <w:color w:val="auto"/>
              </w:rPr>
              <w:t>Malaysia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O.M. Manufacturing (Thailand) Co., Ltd.</w:t>
            </w:r>
          </w:p>
        </w:tc>
        <w:tc>
          <w:tcPr>
            <w:tcW w:w="2840" w:type="dxa"/>
            <w:vAlign w:val="bottom"/>
          </w:tcPr>
          <w:p>
            <w:pPr>
              <w:ind w:left="980"/>
              <w:spacing w:after="0"/>
              <w:rPr>
                <w:sz w:val="20"/>
                <w:szCs w:val="20"/>
                <w:color w:val="auto"/>
              </w:rPr>
            </w:pPr>
            <w:r>
              <w:rPr>
                <w:rFonts w:ascii="Arial" w:cs="Arial" w:eastAsia="Arial" w:hAnsi="Arial"/>
                <w:sz w:val="18"/>
                <w:szCs w:val="18"/>
                <w:color w:val="auto"/>
              </w:rPr>
              <w:t>Thailand</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O.M. Manufacturing Philippines, Inc.</w:t>
            </w:r>
          </w:p>
        </w:tc>
        <w:tc>
          <w:tcPr>
            <w:tcW w:w="2840" w:type="dxa"/>
            <w:vAlign w:val="bottom"/>
          </w:tcPr>
          <w:p>
            <w:pPr>
              <w:ind w:left="980"/>
              <w:spacing w:after="0"/>
              <w:rPr>
                <w:sz w:val="20"/>
                <w:szCs w:val="20"/>
                <w:color w:val="auto"/>
              </w:rPr>
            </w:pPr>
            <w:r>
              <w:rPr>
                <w:rFonts w:ascii="Arial" w:cs="Arial" w:eastAsia="Arial" w:hAnsi="Arial"/>
                <w:sz w:val="18"/>
                <w:szCs w:val="18"/>
                <w:color w:val="auto"/>
              </w:rPr>
              <w:t>Philippines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Operaciones Metalurgicas S.A.</w:t>
            </w:r>
          </w:p>
        </w:tc>
        <w:tc>
          <w:tcPr>
            <w:tcW w:w="2840" w:type="dxa"/>
            <w:vAlign w:val="bottom"/>
          </w:tcPr>
          <w:p>
            <w:pPr>
              <w:ind w:left="980"/>
              <w:spacing w:after="0"/>
              <w:rPr>
                <w:sz w:val="20"/>
                <w:szCs w:val="20"/>
                <w:color w:val="auto"/>
              </w:rPr>
            </w:pPr>
            <w:r>
              <w:rPr>
                <w:rFonts w:ascii="Arial" w:cs="Arial" w:eastAsia="Arial" w:hAnsi="Arial"/>
                <w:sz w:val="18"/>
                <w:szCs w:val="18"/>
                <w:color w:val="auto"/>
              </w:rPr>
              <w:t>Bolivia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PT Aries Kencana Sejahtera</w:t>
            </w:r>
          </w:p>
        </w:tc>
        <w:tc>
          <w:tcPr>
            <w:tcW w:w="2840" w:type="dxa"/>
            <w:vAlign w:val="bottom"/>
          </w:tcPr>
          <w:p>
            <w:pPr>
              <w:ind w:left="9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PT Artha Cipta Langgeng</w:t>
            </w:r>
          </w:p>
        </w:tc>
        <w:tc>
          <w:tcPr>
            <w:tcW w:w="2840" w:type="dxa"/>
            <w:vAlign w:val="bottom"/>
          </w:tcPr>
          <w:p>
            <w:pPr>
              <w:ind w:left="9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PT ATD Makmur Mandiri Jaya</w:t>
            </w:r>
          </w:p>
        </w:tc>
        <w:tc>
          <w:tcPr>
            <w:tcW w:w="2840" w:type="dxa"/>
            <w:vAlign w:val="bottom"/>
          </w:tcPr>
          <w:p>
            <w:pPr>
              <w:ind w:left="9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PT Babel Inti Perkasa</w:t>
            </w:r>
          </w:p>
        </w:tc>
        <w:tc>
          <w:tcPr>
            <w:tcW w:w="2840" w:type="dxa"/>
            <w:vAlign w:val="bottom"/>
          </w:tcPr>
          <w:p>
            <w:pPr>
              <w:ind w:left="9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420" w:type="dxa"/>
            <w:vAlign w:val="bottom"/>
          </w:tcPr>
          <w:p>
            <w:pPr>
              <w:ind w:left="280"/>
              <w:spacing w:after="0"/>
              <w:rPr>
                <w:sz w:val="20"/>
                <w:szCs w:val="20"/>
                <w:color w:val="auto"/>
              </w:rPr>
            </w:pPr>
            <w:r>
              <w:rPr>
                <w:rFonts w:ascii="Arial" w:cs="Arial" w:eastAsia="Arial" w:hAnsi="Arial"/>
                <w:sz w:val="18"/>
                <w:szCs w:val="18"/>
                <w:color w:val="auto"/>
              </w:rPr>
              <w:t>PT Babel Surya Alam Lestari</w:t>
            </w:r>
          </w:p>
        </w:tc>
        <w:tc>
          <w:tcPr>
            <w:tcW w:w="2840" w:type="dxa"/>
            <w:vAlign w:val="bottom"/>
          </w:tcPr>
          <w:p>
            <w:pPr>
              <w:ind w:left="980"/>
              <w:spacing w:after="0"/>
              <w:rPr>
                <w:sz w:val="20"/>
                <w:szCs w:val="20"/>
                <w:color w:val="auto"/>
              </w:rPr>
            </w:pPr>
            <w:r>
              <w:rPr>
                <w:rFonts w:ascii="Arial" w:cs="Arial" w:eastAsia="Arial" w:hAnsi="Arial"/>
                <w:sz w:val="18"/>
                <w:szCs w:val="18"/>
                <w:color w:val="auto"/>
              </w:rPr>
              <w:t>Indonesia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00" w:top="891" w:right="299" w:bottom="109"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00"/>
          </w:cols>
          <w:pgMar w:left="300" w:top="891" w:right="299" w:bottom="109"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10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Metal</w:t>
            </w:r>
          </w:p>
        </w:tc>
        <w:tc>
          <w:tcPr>
            <w:tcW w:w="51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Facility Name</w:t>
            </w:r>
          </w:p>
        </w:tc>
        <w:tc>
          <w:tcPr>
            <w:tcW w:w="296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Country</w:t>
            </w:r>
          </w:p>
        </w:tc>
        <w:tc>
          <w:tcPr>
            <w:tcW w:w="2200" w:type="dxa"/>
            <w:vAlign w:val="bottom"/>
          </w:tcPr>
          <w:p>
            <w:pPr>
              <w:ind w:left="700"/>
              <w:spacing w:after="0"/>
              <w:rPr>
                <w:sz w:val="20"/>
                <w:szCs w:val="20"/>
                <w:color w:val="auto"/>
              </w:rPr>
            </w:pPr>
            <w:r>
              <w:rPr>
                <w:rFonts w:ascii="Arial" w:cs="Arial" w:eastAsia="Arial" w:hAnsi="Arial"/>
                <w:sz w:val="18"/>
                <w:szCs w:val="18"/>
                <w:b w:val="1"/>
                <w:bCs w:val="1"/>
                <w:color w:val="auto"/>
              </w:rPr>
              <w:t>Conformance</w:t>
            </w: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5100" w:type="dxa"/>
            <w:vAlign w:val="bottom"/>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220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51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Bangka Prima Tin</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Bangka Serumpun</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Bangka Tin Industry</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Belitung Industri Sejahtera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Bukit Timah</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DS Jaya Abadi</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Inti Stania Prima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Karimun Mining</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Kijang Jaya Mandiri</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Lautan Harmonis Sejahtera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Menara Cipta Mulia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Mitra Stania Prima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Panca Mega Persada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Premium Tin Indonesia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Prima Timah Utama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Rajawali Rimba Perkasa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Rajehan Ariq</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Refined Bangka Tin</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Sariwiguna Binasentosa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Stanindo Inti Perkasa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Sukses Inti Makmur</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Sumber Jaya Indah</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Timah Tbk Kundur</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Timah Tbk Mentok</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Tinindo Inter Nusa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Tirus Putra Mandiri</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PT Tommy Utama</w:t>
            </w:r>
          </w:p>
        </w:tc>
        <w:tc>
          <w:tcPr>
            <w:tcW w:w="296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Resind Industria e Comercio Ltda.</w:t>
            </w:r>
          </w:p>
        </w:tc>
        <w:tc>
          <w:tcPr>
            <w:tcW w:w="2960" w:type="dxa"/>
            <w:vAlign w:val="bottom"/>
          </w:tcPr>
          <w:p>
            <w:pPr>
              <w:ind w:left="1300"/>
              <w:spacing w:after="0"/>
              <w:rPr>
                <w:sz w:val="20"/>
                <w:szCs w:val="20"/>
                <w:color w:val="auto"/>
              </w:rPr>
            </w:pPr>
            <w:r>
              <w:rPr>
                <w:rFonts w:ascii="Arial" w:cs="Arial" w:eastAsia="Arial" w:hAnsi="Arial"/>
                <w:sz w:val="18"/>
                <w:szCs w:val="18"/>
                <w:color w:val="auto"/>
              </w:rPr>
              <w:t>Brazil</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Rui Da Hung</w:t>
            </w:r>
          </w:p>
        </w:tc>
        <w:tc>
          <w:tcPr>
            <w:tcW w:w="2960" w:type="dxa"/>
            <w:vAlign w:val="bottom"/>
          </w:tcPr>
          <w:p>
            <w:pPr>
              <w:ind w:left="1300"/>
              <w:spacing w:after="0"/>
              <w:rPr>
                <w:sz w:val="20"/>
                <w:szCs w:val="20"/>
                <w:color w:val="auto"/>
              </w:rPr>
            </w:pPr>
            <w:r>
              <w:rPr>
                <w:rFonts w:ascii="Arial" w:cs="Arial" w:eastAsia="Arial" w:hAnsi="Arial"/>
                <w:sz w:val="18"/>
                <w:szCs w:val="18"/>
                <w:color w:val="auto"/>
              </w:rPr>
              <w:t>Taiwan</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Soft Metais Ltda.</w:t>
            </w:r>
          </w:p>
        </w:tc>
        <w:tc>
          <w:tcPr>
            <w:tcW w:w="2960" w:type="dxa"/>
            <w:vAlign w:val="bottom"/>
          </w:tcPr>
          <w:p>
            <w:pPr>
              <w:ind w:left="1300"/>
              <w:spacing w:after="0"/>
              <w:rPr>
                <w:sz w:val="20"/>
                <w:szCs w:val="20"/>
                <w:color w:val="auto"/>
              </w:rPr>
            </w:pPr>
            <w:r>
              <w:rPr>
                <w:rFonts w:ascii="Arial" w:cs="Arial" w:eastAsia="Arial" w:hAnsi="Arial"/>
                <w:sz w:val="18"/>
                <w:szCs w:val="18"/>
                <w:color w:val="auto"/>
              </w:rPr>
              <w:t>Brazil</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Thai Nguyen Mining and Metallurgy Co., Ltd.</w:t>
            </w:r>
          </w:p>
        </w:tc>
        <w:tc>
          <w:tcPr>
            <w:tcW w:w="2960" w:type="dxa"/>
            <w:vAlign w:val="bottom"/>
          </w:tcPr>
          <w:p>
            <w:pPr>
              <w:ind w:left="1300"/>
              <w:spacing w:after="0"/>
              <w:rPr>
                <w:sz w:val="20"/>
                <w:szCs w:val="20"/>
                <w:color w:val="auto"/>
              </w:rPr>
            </w:pPr>
            <w:r>
              <w:rPr>
                <w:rFonts w:ascii="Arial" w:cs="Arial" w:eastAsia="Arial" w:hAnsi="Arial"/>
                <w:sz w:val="18"/>
                <w:szCs w:val="18"/>
                <w:color w:val="auto"/>
              </w:rPr>
              <w:t>Viet Nam</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Thaisarco</w:t>
            </w:r>
          </w:p>
        </w:tc>
        <w:tc>
          <w:tcPr>
            <w:tcW w:w="2960" w:type="dxa"/>
            <w:vAlign w:val="bottom"/>
          </w:tcPr>
          <w:p>
            <w:pPr>
              <w:ind w:left="1300"/>
              <w:spacing w:after="0"/>
              <w:rPr>
                <w:sz w:val="20"/>
                <w:szCs w:val="20"/>
                <w:color w:val="auto"/>
              </w:rPr>
            </w:pPr>
            <w:r>
              <w:rPr>
                <w:rFonts w:ascii="Arial" w:cs="Arial" w:eastAsia="Arial" w:hAnsi="Arial"/>
                <w:sz w:val="18"/>
                <w:szCs w:val="18"/>
                <w:color w:val="auto"/>
              </w:rPr>
              <w:t>Thailand</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Tin Technology &amp; Refining</w:t>
            </w:r>
          </w:p>
        </w:tc>
        <w:tc>
          <w:tcPr>
            <w:tcW w:w="2960" w:type="dxa"/>
            <w:vAlign w:val="bottom"/>
          </w:tcPr>
          <w:p>
            <w:pPr>
              <w:ind w:left="1300"/>
              <w:spacing w:after="0"/>
              <w:rPr>
                <w:sz w:val="20"/>
                <w:szCs w:val="20"/>
                <w:color w:val="auto"/>
              </w:rPr>
            </w:pPr>
            <w:r>
              <w:rPr>
                <w:rFonts w:ascii="Arial" w:cs="Arial" w:eastAsia="Arial" w:hAnsi="Arial"/>
                <w:sz w:val="18"/>
                <w:szCs w:val="18"/>
                <w:color w:val="auto"/>
              </w:rPr>
              <w:t>United States</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White Solder Metalurgia e Mineracao Ltda.</w:t>
            </w:r>
          </w:p>
        </w:tc>
        <w:tc>
          <w:tcPr>
            <w:tcW w:w="2960" w:type="dxa"/>
            <w:vAlign w:val="bottom"/>
          </w:tcPr>
          <w:p>
            <w:pPr>
              <w:ind w:left="1300"/>
              <w:spacing w:after="0"/>
              <w:rPr>
                <w:sz w:val="20"/>
                <w:szCs w:val="20"/>
                <w:color w:val="auto"/>
              </w:rPr>
            </w:pPr>
            <w:r>
              <w:rPr>
                <w:rFonts w:ascii="Arial" w:cs="Arial" w:eastAsia="Arial" w:hAnsi="Arial"/>
                <w:sz w:val="18"/>
                <w:szCs w:val="18"/>
                <w:color w:val="auto"/>
              </w:rPr>
              <w:t>Brazil</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Yunnan Chengfeng Non-ferrous Metals Co., Ltd.</w:t>
            </w:r>
          </w:p>
        </w:tc>
        <w:tc>
          <w:tcPr>
            <w:tcW w:w="2960" w:type="dxa"/>
            <w:vAlign w:val="bottom"/>
          </w:tcPr>
          <w:p>
            <w:pPr>
              <w:ind w:left="1300"/>
              <w:spacing w:after="0"/>
              <w:rPr>
                <w:sz w:val="20"/>
                <w:szCs w:val="20"/>
                <w:color w:val="auto"/>
              </w:rPr>
            </w:pPr>
            <w:r>
              <w:rPr>
                <w:rFonts w:ascii="Arial" w:cs="Arial" w:eastAsia="Arial" w:hAnsi="Arial"/>
                <w:sz w:val="18"/>
                <w:szCs w:val="18"/>
                <w:color w:val="auto"/>
              </w:rPr>
              <w:t>China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Tin</w:t>
            </w:r>
          </w:p>
        </w:tc>
        <w:tc>
          <w:tcPr>
            <w:tcW w:w="5100" w:type="dxa"/>
            <w:vAlign w:val="bottom"/>
          </w:tcPr>
          <w:p>
            <w:pPr>
              <w:ind w:left="280"/>
              <w:spacing w:after="0"/>
              <w:rPr>
                <w:sz w:val="20"/>
                <w:szCs w:val="20"/>
                <w:color w:val="auto"/>
              </w:rPr>
            </w:pPr>
            <w:r>
              <w:rPr>
                <w:rFonts w:ascii="Arial" w:cs="Arial" w:eastAsia="Arial" w:hAnsi="Arial"/>
                <w:sz w:val="18"/>
                <w:szCs w:val="18"/>
                <w:color w:val="auto"/>
              </w:rPr>
              <w:t>Yunnan Tin Company Limited</w:t>
            </w:r>
          </w:p>
        </w:tc>
        <w:tc>
          <w:tcPr>
            <w:tcW w:w="2960" w:type="dxa"/>
            <w:vAlign w:val="bottom"/>
          </w:tcPr>
          <w:p>
            <w:pPr>
              <w:ind w:left="1300"/>
              <w:spacing w:after="0"/>
              <w:rPr>
                <w:sz w:val="20"/>
                <w:szCs w:val="20"/>
                <w:color w:val="auto"/>
              </w:rPr>
            </w:pPr>
            <w:r>
              <w:rPr>
                <w:rFonts w:ascii="Arial" w:cs="Arial" w:eastAsia="Arial" w:hAnsi="Arial"/>
                <w:sz w:val="18"/>
                <w:szCs w:val="18"/>
                <w:color w:val="auto"/>
              </w:rPr>
              <w:t>China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A.L.M.T. Corp.</w:t>
            </w:r>
          </w:p>
        </w:tc>
        <w:tc>
          <w:tcPr>
            <w:tcW w:w="2960" w:type="dxa"/>
            <w:vAlign w:val="bottom"/>
          </w:tcPr>
          <w:p>
            <w:pPr>
              <w:ind w:left="1300"/>
              <w:spacing w:after="0"/>
              <w:rPr>
                <w:sz w:val="20"/>
                <w:szCs w:val="20"/>
                <w:color w:val="auto"/>
              </w:rPr>
            </w:pPr>
            <w:r>
              <w:rPr>
                <w:rFonts w:ascii="Arial" w:cs="Arial" w:eastAsia="Arial" w:hAnsi="Arial"/>
                <w:sz w:val="18"/>
                <w:szCs w:val="18"/>
                <w:color w:val="auto"/>
              </w:rPr>
              <w:t>Japan</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ACL Metais Eireli</w:t>
            </w:r>
          </w:p>
        </w:tc>
        <w:tc>
          <w:tcPr>
            <w:tcW w:w="2960" w:type="dxa"/>
            <w:vAlign w:val="bottom"/>
          </w:tcPr>
          <w:p>
            <w:pPr>
              <w:ind w:left="1300"/>
              <w:spacing w:after="0"/>
              <w:rPr>
                <w:sz w:val="20"/>
                <w:szCs w:val="20"/>
                <w:color w:val="auto"/>
              </w:rPr>
            </w:pPr>
            <w:r>
              <w:rPr>
                <w:rFonts w:ascii="Arial" w:cs="Arial" w:eastAsia="Arial" w:hAnsi="Arial"/>
                <w:sz w:val="18"/>
                <w:szCs w:val="18"/>
                <w:color w:val="auto"/>
              </w:rPr>
              <w:t>Brazil</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Asia Tungsten Products Vietnam Ltd.</w:t>
            </w:r>
          </w:p>
        </w:tc>
        <w:tc>
          <w:tcPr>
            <w:tcW w:w="2960" w:type="dxa"/>
            <w:vAlign w:val="bottom"/>
          </w:tcPr>
          <w:p>
            <w:pPr>
              <w:ind w:left="1300"/>
              <w:spacing w:after="0"/>
              <w:rPr>
                <w:sz w:val="20"/>
                <w:szCs w:val="20"/>
                <w:color w:val="auto"/>
              </w:rPr>
            </w:pPr>
            <w:r>
              <w:rPr>
                <w:rFonts w:ascii="Arial" w:cs="Arial" w:eastAsia="Arial" w:hAnsi="Arial"/>
                <w:sz w:val="18"/>
                <w:szCs w:val="18"/>
                <w:color w:val="auto"/>
              </w:rPr>
              <w:t>Viet Nam</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Chenzhou Diamond Tungsten Products Co., Ltd.</w:t>
            </w:r>
          </w:p>
        </w:tc>
        <w:tc>
          <w:tcPr>
            <w:tcW w:w="2960" w:type="dxa"/>
            <w:vAlign w:val="bottom"/>
          </w:tcPr>
          <w:p>
            <w:pPr>
              <w:ind w:left="1300"/>
              <w:spacing w:after="0"/>
              <w:rPr>
                <w:sz w:val="20"/>
                <w:szCs w:val="20"/>
                <w:color w:val="auto"/>
              </w:rPr>
            </w:pPr>
            <w:r>
              <w:rPr>
                <w:rFonts w:ascii="Arial" w:cs="Arial" w:eastAsia="Arial" w:hAnsi="Arial"/>
                <w:sz w:val="18"/>
                <w:szCs w:val="18"/>
                <w:color w:val="auto"/>
              </w:rPr>
              <w:t>China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Chongyi Zhangyuan Tungsten Co., Ltd.</w:t>
            </w:r>
          </w:p>
        </w:tc>
        <w:tc>
          <w:tcPr>
            <w:tcW w:w="2960" w:type="dxa"/>
            <w:vAlign w:val="bottom"/>
          </w:tcPr>
          <w:p>
            <w:pPr>
              <w:ind w:left="1300"/>
              <w:spacing w:after="0"/>
              <w:rPr>
                <w:sz w:val="20"/>
                <w:szCs w:val="20"/>
                <w:color w:val="auto"/>
              </w:rPr>
            </w:pPr>
            <w:r>
              <w:rPr>
                <w:rFonts w:ascii="Arial" w:cs="Arial" w:eastAsia="Arial" w:hAnsi="Arial"/>
                <w:sz w:val="18"/>
                <w:szCs w:val="18"/>
                <w:color w:val="auto"/>
              </w:rPr>
              <w:t>China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Fujian Jinxin Tungsten Co., Ltd.</w:t>
            </w:r>
          </w:p>
        </w:tc>
        <w:tc>
          <w:tcPr>
            <w:tcW w:w="2960" w:type="dxa"/>
            <w:vAlign w:val="bottom"/>
          </w:tcPr>
          <w:p>
            <w:pPr>
              <w:ind w:left="1300"/>
              <w:spacing w:after="0"/>
              <w:rPr>
                <w:sz w:val="20"/>
                <w:szCs w:val="20"/>
                <w:color w:val="auto"/>
              </w:rPr>
            </w:pPr>
            <w:r>
              <w:rPr>
                <w:rFonts w:ascii="Arial" w:cs="Arial" w:eastAsia="Arial" w:hAnsi="Arial"/>
                <w:sz w:val="18"/>
                <w:szCs w:val="18"/>
                <w:color w:val="auto"/>
              </w:rPr>
              <w:t>China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Ganzhou Haichuang Tungsten Co., Ltd.</w:t>
            </w:r>
          </w:p>
        </w:tc>
        <w:tc>
          <w:tcPr>
            <w:tcW w:w="2960" w:type="dxa"/>
            <w:vAlign w:val="bottom"/>
          </w:tcPr>
          <w:p>
            <w:pPr>
              <w:ind w:left="1300"/>
              <w:spacing w:after="0"/>
              <w:rPr>
                <w:sz w:val="20"/>
                <w:szCs w:val="20"/>
                <w:color w:val="auto"/>
              </w:rPr>
            </w:pPr>
            <w:r>
              <w:rPr>
                <w:rFonts w:ascii="Arial" w:cs="Arial" w:eastAsia="Arial" w:hAnsi="Arial"/>
                <w:sz w:val="18"/>
                <w:szCs w:val="18"/>
                <w:color w:val="auto"/>
              </w:rPr>
              <w:t>China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Ganzhou Huaxing Tungsten Products Co., Ltd.</w:t>
            </w:r>
          </w:p>
        </w:tc>
        <w:tc>
          <w:tcPr>
            <w:tcW w:w="2960" w:type="dxa"/>
            <w:vAlign w:val="bottom"/>
          </w:tcPr>
          <w:p>
            <w:pPr>
              <w:ind w:left="1300"/>
              <w:spacing w:after="0"/>
              <w:rPr>
                <w:sz w:val="20"/>
                <w:szCs w:val="20"/>
                <w:color w:val="auto"/>
              </w:rPr>
            </w:pPr>
            <w:r>
              <w:rPr>
                <w:rFonts w:ascii="Arial" w:cs="Arial" w:eastAsia="Arial" w:hAnsi="Arial"/>
                <w:sz w:val="18"/>
                <w:szCs w:val="18"/>
                <w:color w:val="auto"/>
              </w:rPr>
              <w:t>China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Ganzhou Jiangwu Ferrotungsten Co., Ltd.</w:t>
            </w:r>
          </w:p>
        </w:tc>
        <w:tc>
          <w:tcPr>
            <w:tcW w:w="2960" w:type="dxa"/>
            <w:vAlign w:val="bottom"/>
          </w:tcPr>
          <w:p>
            <w:pPr>
              <w:ind w:left="1300"/>
              <w:spacing w:after="0"/>
              <w:rPr>
                <w:sz w:val="20"/>
                <w:szCs w:val="20"/>
                <w:color w:val="auto"/>
              </w:rPr>
            </w:pPr>
            <w:r>
              <w:rPr>
                <w:rFonts w:ascii="Arial" w:cs="Arial" w:eastAsia="Arial" w:hAnsi="Arial"/>
                <w:sz w:val="18"/>
                <w:szCs w:val="18"/>
                <w:color w:val="auto"/>
              </w:rPr>
              <w:t>China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Ganzhou Seadragon W &amp; Mo Co., Ltd.</w:t>
            </w:r>
          </w:p>
        </w:tc>
        <w:tc>
          <w:tcPr>
            <w:tcW w:w="2960" w:type="dxa"/>
            <w:vAlign w:val="bottom"/>
          </w:tcPr>
          <w:p>
            <w:pPr>
              <w:ind w:left="1300"/>
              <w:spacing w:after="0"/>
              <w:rPr>
                <w:sz w:val="20"/>
                <w:szCs w:val="20"/>
                <w:color w:val="auto"/>
              </w:rPr>
            </w:pPr>
            <w:r>
              <w:rPr>
                <w:rFonts w:ascii="Arial" w:cs="Arial" w:eastAsia="Arial" w:hAnsi="Arial"/>
                <w:sz w:val="18"/>
                <w:szCs w:val="18"/>
                <w:color w:val="auto"/>
              </w:rPr>
              <w:t>China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Global Tungsten &amp; Powders Corp.</w:t>
            </w:r>
          </w:p>
        </w:tc>
        <w:tc>
          <w:tcPr>
            <w:tcW w:w="2960" w:type="dxa"/>
            <w:vAlign w:val="bottom"/>
          </w:tcPr>
          <w:p>
            <w:pPr>
              <w:ind w:left="1300"/>
              <w:spacing w:after="0"/>
              <w:rPr>
                <w:sz w:val="20"/>
                <w:szCs w:val="20"/>
                <w:color w:val="auto"/>
              </w:rPr>
            </w:pPr>
            <w:r>
              <w:rPr>
                <w:rFonts w:ascii="Arial" w:cs="Arial" w:eastAsia="Arial" w:hAnsi="Arial"/>
                <w:sz w:val="18"/>
                <w:szCs w:val="18"/>
                <w:color w:val="auto"/>
              </w:rPr>
              <w:t>United States</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100" w:type="dxa"/>
            <w:vAlign w:val="bottom"/>
          </w:tcPr>
          <w:p>
            <w:pPr>
              <w:ind w:left="280"/>
              <w:spacing w:after="0"/>
              <w:rPr>
                <w:sz w:val="20"/>
                <w:szCs w:val="20"/>
                <w:color w:val="auto"/>
              </w:rPr>
            </w:pPr>
            <w:r>
              <w:rPr>
                <w:rFonts w:ascii="Arial" w:cs="Arial" w:eastAsia="Arial" w:hAnsi="Arial"/>
                <w:sz w:val="18"/>
                <w:szCs w:val="18"/>
                <w:color w:val="auto"/>
              </w:rPr>
              <w:t>Guangdong Xianglu Tungsten Co., Ltd.</w:t>
            </w:r>
          </w:p>
        </w:tc>
        <w:tc>
          <w:tcPr>
            <w:tcW w:w="2960" w:type="dxa"/>
            <w:vAlign w:val="bottom"/>
          </w:tcPr>
          <w:p>
            <w:pPr>
              <w:ind w:left="1300"/>
              <w:spacing w:after="0"/>
              <w:rPr>
                <w:sz w:val="20"/>
                <w:szCs w:val="20"/>
                <w:color w:val="auto"/>
              </w:rPr>
            </w:pPr>
            <w:r>
              <w:rPr>
                <w:rFonts w:ascii="Arial" w:cs="Arial" w:eastAsia="Arial" w:hAnsi="Arial"/>
                <w:sz w:val="18"/>
                <w:szCs w:val="18"/>
                <w:color w:val="auto"/>
              </w:rPr>
              <w:t>China</w:t>
            </w:r>
          </w:p>
        </w:tc>
        <w:tc>
          <w:tcPr>
            <w:tcW w:w="2200" w:type="dxa"/>
            <w:vAlign w:val="bottom"/>
          </w:tcPr>
          <w:p>
            <w:pPr>
              <w:ind w:left="7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300" w:top="891" w:right="299" w:bottom="109"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00"/>
          </w:cols>
          <w:pgMar w:left="300" w:top="891" w:right="299" w:bottom="109"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0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Metal</w:t>
            </w:r>
          </w:p>
        </w:tc>
        <w:tc>
          <w:tcPr>
            <w:tcW w:w="57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Facility Name</w:t>
            </w:r>
          </w:p>
        </w:tc>
        <w:tc>
          <w:tcPr>
            <w:tcW w:w="252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Country</w:t>
            </w:r>
          </w:p>
        </w:tc>
        <w:tc>
          <w:tcPr>
            <w:tcW w:w="2000" w:type="dxa"/>
            <w:vAlign w:val="bottom"/>
          </w:tcPr>
          <w:p>
            <w:pPr>
              <w:ind w:left="500"/>
              <w:spacing w:after="0"/>
              <w:rPr>
                <w:sz w:val="20"/>
                <w:szCs w:val="20"/>
                <w:color w:val="auto"/>
              </w:rPr>
            </w:pPr>
            <w:r>
              <w:rPr>
                <w:rFonts w:ascii="Arial" w:cs="Arial" w:eastAsia="Arial" w:hAnsi="Arial"/>
                <w:sz w:val="18"/>
                <w:szCs w:val="18"/>
                <w:b w:val="1"/>
                <w:bCs w:val="1"/>
                <w:color w:val="auto"/>
              </w:rPr>
              <w:t>Conformance</w:t>
            </w: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574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200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574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H.C. Starck Smelting GmbH &amp; Co. KG</w:t>
            </w:r>
          </w:p>
        </w:tc>
        <w:tc>
          <w:tcPr>
            <w:tcW w:w="2520" w:type="dxa"/>
            <w:vAlign w:val="bottom"/>
          </w:tcPr>
          <w:p>
            <w:pPr>
              <w:ind w:left="660"/>
              <w:spacing w:after="0"/>
              <w:rPr>
                <w:sz w:val="20"/>
                <w:szCs w:val="20"/>
                <w:color w:val="auto"/>
              </w:rPr>
            </w:pPr>
            <w:r>
              <w:rPr>
                <w:rFonts w:ascii="Arial" w:cs="Arial" w:eastAsia="Arial" w:hAnsi="Arial"/>
                <w:sz w:val="18"/>
                <w:szCs w:val="18"/>
                <w:color w:val="auto"/>
              </w:rPr>
              <w:t>Germany</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H.C. Starck Tungsten GmbH</w:t>
            </w:r>
          </w:p>
        </w:tc>
        <w:tc>
          <w:tcPr>
            <w:tcW w:w="2520" w:type="dxa"/>
            <w:vAlign w:val="bottom"/>
          </w:tcPr>
          <w:p>
            <w:pPr>
              <w:ind w:left="660"/>
              <w:spacing w:after="0"/>
              <w:rPr>
                <w:sz w:val="20"/>
                <w:szCs w:val="20"/>
                <w:color w:val="auto"/>
              </w:rPr>
            </w:pPr>
            <w:r>
              <w:rPr>
                <w:rFonts w:ascii="Arial" w:cs="Arial" w:eastAsia="Arial" w:hAnsi="Arial"/>
                <w:sz w:val="18"/>
                <w:szCs w:val="18"/>
                <w:color w:val="auto"/>
              </w:rPr>
              <w:t>Germany</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Hunan Chenzhou Mining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Hunan Chuangda Vanadium Tungsten Co., Ltd. Wuji</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Hunan Chunchang Nonferrous Metals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Hunan Litian Tungsten Industry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In Process</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Hydrometallurg, JSC</w:t>
            </w:r>
          </w:p>
        </w:tc>
        <w:tc>
          <w:tcPr>
            <w:tcW w:w="2520" w:type="dxa"/>
            <w:vAlign w:val="bottom"/>
          </w:tcPr>
          <w:p>
            <w:pPr>
              <w:ind w:left="660"/>
              <w:spacing w:after="0"/>
              <w:rPr>
                <w:sz w:val="20"/>
                <w:szCs w:val="20"/>
                <w:color w:val="auto"/>
              </w:rPr>
            </w:pPr>
            <w:r>
              <w:rPr>
                <w:rFonts w:ascii="Arial" w:cs="Arial" w:eastAsia="Arial" w:hAnsi="Arial"/>
                <w:sz w:val="18"/>
                <w:szCs w:val="18"/>
                <w:color w:val="auto"/>
              </w:rPr>
              <w:t>Russian Federation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Japan New Metals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Japan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Jiangwu H.C. Starck Tungsten Products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Jiangxi Gan Bei Tungsten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Jiangxi Tonggu Non-ferrous Metallurgical &amp; Chemical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Jiangxi Xinsheng Tungsten Industry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Jiangxi Yaosheng Tungsten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Kennametal Fallon</w:t>
            </w:r>
          </w:p>
        </w:tc>
        <w:tc>
          <w:tcPr>
            <w:tcW w:w="2520" w:type="dxa"/>
            <w:vAlign w:val="bottom"/>
          </w:tcPr>
          <w:p>
            <w:pPr>
              <w:ind w:left="66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Kennametal Huntsville</w:t>
            </w:r>
          </w:p>
        </w:tc>
        <w:tc>
          <w:tcPr>
            <w:tcW w:w="2520" w:type="dxa"/>
            <w:vAlign w:val="bottom"/>
          </w:tcPr>
          <w:p>
            <w:pPr>
              <w:ind w:left="66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KGETS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Korea, Republic of</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Malipo Haiyu Tungsten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Masan Tungsten Chemical LLC (MTC)</w:t>
            </w:r>
          </w:p>
        </w:tc>
        <w:tc>
          <w:tcPr>
            <w:tcW w:w="2520" w:type="dxa"/>
            <w:vAlign w:val="bottom"/>
          </w:tcPr>
          <w:p>
            <w:pPr>
              <w:ind w:left="660"/>
              <w:spacing w:after="0"/>
              <w:rPr>
                <w:sz w:val="20"/>
                <w:szCs w:val="20"/>
                <w:color w:val="auto"/>
              </w:rPr>
            </w:pPr>
            <w:r>
              <w:rPr>
                <w:rFonts w:ascii="Arial" w:cs="Arial" w:eastAsia="Arial" w:hAnsi="Arial"/>
                <w:sz w:val="18"/>
                <w:szCs w:val="18"/>
                <w:color w:val="auto"/>
              </w:rPr>
              <w:t>Viet Nam</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Moliren Ltd.</w:t>
            </w:r>
          </w:p>
        </w:tc>
        <w:tc>
          <w:tcPr>
            <w:tcW w:w="2520" w:type="dxa"/>
            <w:vAlign w:val="bottom"/>
          </w:tcPr>
          <w:p>
            <w:pPr>
              <w:ind w:left="660"/>
              <w:spacing w:after="0"/>
              <w:rPr>
                <w:sz w:val="20"/>
                <w:szCs w:val="20"/>
                <w:color w:val="auto"/>
              </w:rPr>
            </w:pPr>
            <w:r>
              <w:rPr>
                <w:rFonts w:ascii="Arial" w:cs="Arial" w:eastAsia="Arial" w:hAnsi="Arial"/>
                <w:sz w:val="18"/>
                <w:szCs w:val="18"/>
                <w:color w:val="auto"/>
              </w:rPr>
              <w:t>Russian Federation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Niagara Refining LLC</w:t>
            </w:r>
          </w:p>
        </w:tc>
        <w:tc>
          <w:tcPr>
            <w:tcW w:w="2520" w:type="dxa"/>
            <w:vAlign w:val="bottom"/>
          </w:tcPr>
          <w:p>
            <w:pPr>
              <w:ind w:left="660"/>
              <w:spacing w:after="0"/>
              <w:rPr>
                <w:sz w:val="20"/>
                <w:szCs w:val="20"/>
                <w:color w:val="auto"/>
              </w:rPr>
            </w:pPr>
            <w:r>
              <w:rPr>
                <w:rFonts w:ascii="Arial" w:cs="Arial" w:eastAsia="Arial" w:hAnsi="Arial"/>
                <w:sz w:val="18"/>
                <w:szCs w:val="18"/>
                <w:color w:val="auto"/>
              </w:rPr>
              <w:t>United States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Philippine Chuangxin Industrial Co., Inc.</w:t>
            </w:r>
          </w:p>
        </w:tc>
        <w:tc>
          <w:tcPr>
            <w:tcW w:w="2520" w:type="dxa"/>
            <w:vAlign w:val="bottom"/>
          </w:tcPr>
          <w:p>
            <w:pPr>
              <w:ind w:left="660"/>
              <w:spacing w:after="0"/>
              <w:rPr>
                <w:sz w:val="20"/>
                <w:szCs w:val="20"/>
                <w:color w:val="auto"/>
              </w:rPr>
            </w:pPr>
            <w:r>
              <w:rPr>
                <w:rFonts w:ascii="Arial" w:cs="Arial" w:eastAsia="Arial" w:hAnsi="Arial"/>
                <w:sz w:val="18"/>
                <w:szCs w:val="18"/>
                <w:color w:val="auto"/>
              </w:rPr>
              <w:t>Philippines</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South-East Nonferrous Metal Company Limited of Hengyang City</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Tejing (Vietnam) Tungsten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Viet Nam</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Unecha Refractory metals plant</w:t>
            </w:r>
          </w:p>
        </w:tc>
        <w:tc>
          <w:tcPr>
            <w:tcW w:w="2520" w:type="dxa"/>
            <w:vAlign w:val="bottom"/>
          </w:tcPr>
          <w:p>
            <w:pPr>
              <w:ind w:left="660"/>
              <w:spacing w:after="0"/>
              <w:rPr>
                <w:sz w:val="20"/>
                <w:szCs w:val="20"/>
                <w:color w:val="auto"/>
              </w:rPr>
            </w:pPr>
            <w:r>
              <w:rPr>
                <w:rFonts w:ascii="Arial" w:cs="Arial" w:eastAsia="Arial" w:hAnsi="Arial"/>
                <w:sz w:val="18"/>
                <w:szCs w:val="18"/>
                <w:color w:val="auto"/>
              </w:rPr>
              <w:t>Russian Federation</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Wolfram Bergbau und Hutten AG</w:t>
            </w:r>
          </w:p>
        </w:tc>
        <w:tc>
          <w:tcPr>
            <w:tcW w:w="2520" w:type="dxa"/>
            <w:vAlign w:val="bottom"/>
          </w:tcPr>
          <w:p>
            <w:pPr>
              <w:ind w:left="660"/>
              <w:spacing w:after="0"/>
              <w:rPr>
                <w:sz w:val="20"/>
                <w:szCs w:val="20"/>
                <w:color w:val="auto"/>
              </w:rPr>
            </w:pPr>
            <w:r>
              <w:rPr>
                <w:rFonts w:ascii="Arial" w:cs="Arial" w:eastAsia="Arial" w:hAnsi="Arial"/>
                <w:sz w:val="18"/>
                <w:szCs w:val="18"/>
                <w:color w:val="auto"/>
              </w:rPr>
              <w:t>Austria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Woltech Korea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Korea, Republic of</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Xiamen Tungsten (H.C.)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Xiamen Tungsten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Xinfeng Huarui Tungsten &amp; Molybdenum New Material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color w:val="auto"/>
              </w:rPr>
              <w:t>Tungsten</w:t>
            </w:r>
          </w:p>
        </w:tc>
        <w:tc>
          <w:tcPr>
            <w:tcW w:w="5740" w:type="dxa"/>
            <w:vAlign w:val="bottom"/>
          </w:tcPr>
          <w:p>
            <w:pPr>
              <w:ind w:left="280"/>
              <w:spacing w:after="0"/>
              <w:rPr>
                <w:sz w:val="20"/>
                <w:szCs w:val="20"/>
                <w:color w:val="auto"/>
              </w:rPr>
            </w:pPr>
            <w:r>
              <w:rPr>
                <w:rFonts w:ascii="Arial" w:cs="Arial" w:eastAsia="Arial" w:hAnsi="Arial"/>
                <w:sz w:val="18"/>
                <w:szCs w:val="18"/>
                <w:color w:val="auto"/>
              </w:rPr>
              <w:t>Xinhai Rendan Shaoguan Tungsten Co., Ltd.</w:t>
            </w:r>
          </w:p>
        </w:tc>
        <w:tc>
          <w:tcPr>
            <w:tcW w:w="2520" w:type="dxa"/>
            <w:vAlign w:val="bottom"/>
          </w:tcPr>
          <w:p>
            <w:pPr>
              <w:ind w:left="660"/>
              <w:spacing w:after="0"/>
              <w:rPr>
                <w:sz w:val="20"/>
                <w:szCs w:val="20"/>
                <w:color w:val="auto"/>
              </w:rPr>
            </w:pPr>
            <w:r>
              <w:rPr>
                <w:rFonts w:ascii="Arial" w:cs="Arial" w:eastAsia="Arial" w:hAnsi="Arial"/>
                <w:sz w:val="18"/>
                <w:szCs w:val="18"/>
                <w:color w:val="auto"/>
              </w:rPr>
              <w:t>China</w:t>
            </w:r>
          </w:p>
        </w:tc>
        <w:tc>
          <w:tcPr>
            <w:tcW w:w="2000" w:type="dxa"/>
            <w:vAlign w:val="bottom"/>
          </w:tcPr>
          <w:p>
            <w:pPr>
              <w:ind w:left="5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300"/>
      </w:cols>
      <w:pgMar w:left="300" w:top="89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1"/>
    </w:lvl>
    <w:lvl w:ilvl="1">
      <w:lvlJc w:val="left"/>
      <w:lvlText w:val="%2."/>
      <w:numFmt w:val="lowerLetter"/>
      <w:start w:val="4"/>
    </w:lvl>
  </w:abstractNum>
  <w:abstractNum w:abstractNumId="3">
    <w:nsid w:val="3D1B58BA"/>
    <w:multiLevelType w:val="hybridMultilevel"/>
    <w:lvl w:ilvl="0">
      <w:lvlJc w:val="left"/>
      <w:lvlText w:val="%1."/>
      <w:numFmt w:val="decimal"/>
      <w:start w:val="2"/>
    </w:lvl>
    <w:lvl w:ilvl="1">
      <w:lvlJc w:val="left"/>
      <w:lvlText w:val="%2"/>
      <w:numFmt w:val="lowerLetter"/>
      <w:start w:val="1"/>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2019-12-02T05:20:18Z</dcterms:created>
  <dcterms:modified xsi:type="dcterms:W3CDTF">2019-12-02T05:20:18Z</dcterms:modified>
</cp:coreProperties>
</file>