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8652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8652510"/>
                    </a:xfrm>
                    <a:prstGeom prst="rect">
                      <a:avLst/>
                    </a:prstGeom>
                    <a:noFill/>
                  </pic:spPr>
                </pic:pic>
              </a:graphicData>
            </a:graphic>
          </wp:anchor>
        </w:drawing>
      </w:r>
    </w:p>
    <w:p>
      <w:pPr>
        <w:sectPr>
          <w:pgSz w:w="11900" w:h="16845"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gridSpan w:val="3"/>
            <w:vMerge w:val="restart"/>
          </w:tcPr>
          <w:p>
            <w:pPr>
              <w:spacing w:after="0"/>
              <w:rPr>
                <w:rFonts w:ascii="Arial" w:cs="Arial" w:eastAsia="Arial" w:hAnsi="Arial"/>
                <w:sz w:val="22"/>
                <w:szCs w:val="22"/>
                <w:color w:val="0000EE"/>
                <w:w w:val="89"/>
              </w:rPr>
            </w:pPr>
            <w:hyperlink r:id="rId11">
              <w:r>
                <w:rPr>
                  <w:rFonts w:ascii="Arial" w:cs="Arial" w:eastAsia="Arial" w:hAnsi="Arial"/>
                  <w:sz w:val="22"/>
                  <w:szCs w:val="22"/>
                  <w:color w:val="0000EE"/>
                  <w:w w:val="89"/>
                </w:rPr>
                <w:t>EuclidSR Partners, L.P.</w:t>
              </w:r>
            </w:hyperlink>
          </w:p>
        </w:tc>
        <w:tc>
          <w:tcPr>
            <w:tcW w:w="1120" w:type="dxa"/>
            <w:vAlign w:val="bottom"/>
          </w:tcPr>
          <w:p>
            <w:pPr>
              <w:spacing w:after="0"/>
              <w:rPr>
                <w:sz w:val="11"/>
                <w:szCs w:val="11"/>
                <w:color w:val="auto"/>
              </w:rPr>
            </w:pPr>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02/09/2011</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(Last)</w:t>
            </w:r>
          </w:p>
        </w:tc>
        <w:tc>
          <w:tcPr>
            <w:tcW w:w="108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120" w:type="dxa"/>
            <w:vAlign w:val="bottom"/>
          </w:tcPr>
          <w:p>
            <w:pPr>
              <w:ind w:left="8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0000FF"/>
                <w:w w:val="97"/>
              </w:rPr>
              <w:t>45 ROCKEFELLER PLAZA, SUITE 1410</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60" w:type="dxa"/>
            <w:vAlign w:val="bottom"/>
            <w:gridSpan w:val="3"/>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NEW YORK</w:t>
            </w:r>
          </w:p>
        </w:tc>
        <w:tc>
          <w:tcPr>
            <w:tcW w:w="108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120" w:type="dxa"/>
            <w:vAlign w:val="bottom"/>
          </w:tcPr>
          <w:p>
            <w:pPr>
              <w:ind w:left="80"/>
              <w:spacing w:after="0"/>
              <w:rPr>
                <w:sz w:val="20"/>
                <w:szCs w:val="20"/>
                <w:color w:val="auto"/>
              </w:rPr>
            </w:pPr>
            <w:r>
              <w:rPr>
                <w:rFonts w:ascii="Arial" w:cs="Arial" w:eastAsia="Arial" w:hAnsi="Arial"/>
                <w:sz w:val="18"/>
                <w:szCs w:val="18"/>
                <w:color w:val="0000FF"/>
              </w:rPr>
              <w:t>10111</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120" w:type="dxa"/>
            <w:vAlign w:val="bottom"/>
          </w:tcPr>
          <w:p>
            <w:pPr>
              <w:ind w:left="80"/>
              <w:spacing w:after="0"/>
              <w:rPr>
                <w:sz w:val="20"/>
                <w:szCs w:val="20"/>
                <w:color w:val="auto"/>
              </w:rPr>
            </w:pPr>
            <w:r>
              <w:rPr>
                <w:rFonts w:ascii="Arial" w:cs="Arial" w:eastAsia="Arial" w:hAnsi="Arial"/>
                <w:sz w:val="14"/>
                <w:szCs w:val="14"/>
                <w:color w:val="auto"/>
              </w:rPr>
              <w:t>(Zip)</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83"/>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15"/>
                <w:szCs w:val="15"/>
                <w:color w:val="auto"/>
              </w:rPr>
            </w:pPr>
          </w:p>
        </w:tc>
        <w:tc>
          <w:tcPr>
            <w:tcW w:w="2680" w:type="dxa"/>
            <w:vAlign w:val="bottom"/>
            <w:tcBorders>
              <w:bottom w:val="single" w:sz="8" w:color="2C2C2C"/>
            </w:tcBorders>
          </w:tcPr>
          <w:p>
            <w:pPr>
              <w:spacing w:after="0"/>
              <w:rPr>
                <w:sz w:val="15"/>
                <w:szCs w:val="15"/>
                <w:color w:val="auto"/>
              </w:rPr>
            </w:pPr>
          </w:p>
        </w:tc>
      </w:tr>
      <w:tr>
        <w:trPr>
          <w:trHeight w:val="216"/>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5"/>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bl>
    <w:p>
      <w:pPr>
        <w:spacing w:after="0" w:line="1"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22" w:lineRule="exact"/>
        <w:rPr>
          <w:sz w:val="24"/>
          <w:szCs w:val="24"/>
          <w:color w:val="auto"/>
        </w:rPr>
      </w:pPr>
    </w:p>
    <w:p>
      <w:pPr>
        <w:sectPr>
          <w:pgSz w:w="11900" w:h="16845"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spacing w:after="0"/>
              <w:rPr>
                <w:sz w:val="20"/>
                <w:szCs w:val="20"/>
                <w:color w:val="auto"/>
              </w:rPr>
            </w:pPr>
            <w:r>
              <w:rPr>
                <w:rFonts w:ascii="Arial" w:cs="Arial" w:eastAsia="Arial" w:hAnsi="Arial"/>
                <w:sz w:val="14"/>
                <w:szCs w:val="14"/>
                <w:b w:val="1"/>
                <w:bCs w:val="1"/>
                <w:color w:val="auto"/>
              </w:rPr>
              <w:t>2. Date Exercisable and</w:t>
            </w:r>
          </w:p>
        </w:tc>
        <w:tc>
          <w:tcPr>
            <w:tcW w:w="290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Expiration Date</w:t>
            </w:r>
          </w:p>
        </w:tc>
        <w:tc>
          <w:tcPr>
            <w:tcW w:w="2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(Month/Day/Year)</w:t>
            </w:r>
          </w:p>
        </w:tc>
        <w:tc>
          <w:tcPr>
            <w:tcW w:w="1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10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4"/>
                <w:szCs w:val="14"/>
                <w:b w:val="1"/>
                <w:bCs w:val="1"/>
                <w:color w:val="auto"/>
              </w:rPr>
              <w:t>Exercisable</w:t>
            </w:r>
          </w:p>
        </w:tc>
        <w:tc>
          <w:tcPr>
            <w:tcW w:w="800" w:type="dxa"/>
            <w:vAlign w:val="bottom"/>
            <w:gridSpan w:val="4"/>
          </w:tcPr>
          <w:p>
            <w:pPr>
              <w:ind w:left="60"/>
              <w:spacing w:after="0"/>
              <w:rPr>
                <w:sz w:val="20"/>
                <w:szCs w:val="20"/>
                <w:color w:val="auto"/>
              </w:rPr>
            </w:pPr>
            <w:r>
              <w:rPr>
                <w:rFonts w:ascii="Arial" w:cs="Arial" w:eastAsia="Arial" w:hAnsi="Arial"/>
                <w:sz w:val="14"/>
                <w:szCs w:val="14"/>
                <w:b w:val="1"/>
                <w:bCs w:val="1"/>
                <w:color w:val="auto"/>
              </w:rPr>
              <w:t>Date</w:t>
            </w:r>
          </w:p>
        </w:tc>
        <w:tc>
          <w:tcPr>
            <w:tcW w:w="1820" w:type="dxa"/>
            <w:vAlign w:val="bottom"/>
            <w:vMerge w:val="continue"/>
          </w:tcPr>
          <w:p>
            <w:pPr>
              <w:spacing w:after="0"/>
              <w:rPr>
                <w:sz w:val="15"/>
                <w:szCs w:val="15"/>
                <w:color w:val="auto"/>
              </w:rPr>
            </w:pPr>
          </w:p>
        </w:tc>
        <w:tc>
          <w:tcPr>
            <w:tcW w:w="108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8"/>
              </w:rPr>
              <w:t>Series E Preferred Warrant (Right to Buy)</w:t>
            </w:r>
          </w:p>
        </w:tc>
        <w:tc>
          <w:tcPr>
            <w:tcW w:w="1280" w:type="dxa"/>
            <w:vAlign w:val="bottom"/>
            <w:tcBorders>
              <w:bottom w:val="single" w:sz="8" w:color="2C2C2C"/>
            </w:tcBorders>
            <w:gridSpan w:val="3"/>
          </w:tcPr>
          <w:p>
            <w:pPr>
              <w:jc w:val="right"/>
              <w:ind w:right="312"/>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1"/>
                <w:szCs w:val="11"/>
                <w:color w:val="008000"/>
              </w:rPr>
              <w:t>(2)</w:t>
            </w:r>
          </w:p>
        </w:tc>
        <w:tc>
          <w:tcPr>
            <w:tcW w:w="182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jc w:val="center"/>
              <w:ind w:left="101"/>
              <w:spacing w:after="0" w:line="324" w:lineRule="exact"/>
              <w:rPr>
                <w:sz w:val="20"/>
                <w:szCs w:val="20"/>
                <w:color w:val="auto"/>
              </w:rPr>
            </w:pPr>
            <w:r>
              <w:rPr>
                <w:rFonts w:ascii="Arial" w:cs="Arial" w:eastAsia="Arial" w:hAnsi="Arial"/>
                <w:sz w:val="35"/>
                <w:szCs w:val="35"/>
                <w:color w:val="0000FF"/>
                <w:w w:val="75"/>
                <w:vertAlign w:val="subscript"/>
              </w:rPr>
              <w:t>11,924</w:t>
            </w:r>
            <w:r>
              <w:rPr>
                <w:rFonts w:ascii="Arial" w:cs="Arial" w:eastAsia="Arial" w:hAnsi="Arial"/>
                <w:sz w:val="11"/>
                <w:szCs w:val="11"/>
                <w:color w:val="008000"/>
                <w:w w:val="75"/>
              </w:rPr>
              <w:t>(1)(3)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24.22</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Series E Preferred Stock</w:t>
            </w:r>
          </w:p>
        </w:tc>
        <w:tc>
          <w:tcPr>
            <w:tcW w:w="1280" w:type="dxa"/>
            <w:vAlign w:val="bottom"/>
            <w:tcBorders>
              <w:bottom w:val="single" w:sz="8" w:color="2C2C2C"/>
            </w:tcBorders>
            <w:gridSpan w:val="3"/>
          </w:tcPr>
          <w:p>
            <w:pPr>
              <w:jc w:val="right"/>
              <w:ind w:right="312"/>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1"/>
                <w:szCs w:val="11"/>
                <w:color w:val="008000"/>
              </w:rPr>
              <w:t>(6)</w:t>
            </w:r>
          </w:p>
        </w:tc>
        <w:tc>
          <w:tcPr>
            <w:tcW w:w="182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jc w:val="center"/>
              <w:ind w:left="101"/>
              <w:spacing w:after="0"/>
              <w:rPr>
                <w:sz w:val="20"/>
                <w:szCs w:val="20"/>
                <w:color w:val="auto"/>
              </w:rPr>
            </w:pPr>
            <w:r>
              <w:rPr>
                <w:rFonts w:ascii="Arial" w:cs="Arial" w:eastAsia="Arial" w:hAnsi="Arial"/>
                <w:sz w:val="18"/>
                <w:szCs w:val="18"/>
                <w:color w:val="0000FF"/>
                <w:w w:val="81"/>
              </w:rPr>
              <w:t>47,400</w:t>
            </w:r>
            <w:r>
              <w:rPr>
                <w:rFonts w:ascii="Arial" w:cs="Arial" w:eastAsia="Arial" w:hAnsi="Arial"/>
                <w:sz w:val="22"/>
                <w:szCs w:val="22"/>
                <w:color w:val="008000"/>
                <w:w w:val="81"/>
                <w:vertAlign w:val="superscript"/>
              </w:rPr>
              <w:t>(1)(3)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Series C Preferred Stock</w:t>
            </w:r>
          </w:p>
        </w:tc>
        <w:tc>
          <w:tcPr>
            <w:tcW w:w="1280" w:type="dxa"/>
            <w:vAlign w:val="bottom"/>
            <w:tcBorders>
              <w:bottom w:val="single" w:sz="8" w:color="2C2C2C"/>
            </w:tcBorders>
            <w:gridSpan w:val="3"/>
          </w:tcPr>
          <w:p>
            <w:pPr>
              <w:jc w:val="right"/>
              <w:ind w:right="312"/>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1"/>
                <w:szCs w:val="11"/>
                <w:color w:val="008000"/>
              </w:rPr>
              <w:t>(7)</w:t>
            </w:r>
          </w:p>
        </w:tc>
        <w:tc>
          <w:tcPr>
            <w:tcW w:w="182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jc w:val="center"/>
              <w:ind w:left="101"/>
              <w:spacing w:after="0"/>
              <w:rPr>
                <w:sz w:val="20"/>
                <w:szCs w:val="20"/>
                <w:color w:val="auto"/>
              </w:rPr>
            </w:pPr>
            <w:r>
              <w:rPr>
                <w:rFonts w:ascii="Arial" w:cs="Arial" w:eastAsia="Arial" w:hAnsi="Arial"/>
                <w:sz w:val="18"/>
                <w:szCs w:val="18"/>
                <w:color w:val="0000FF"/>
                <w:w w:val="84"/>
              </w:rPr>
              <w:t>320,063</w:t>
            </w:r>
            <w:r>
              <w:rPr>
                <w:rFonts w:ascii="Arial" w:cs="Arial" w:eastAsia="Arial" w:hAnsi="Arial"/>
                <w:sz w:val="22"/>
                <w:szCs w:val="22"/>
                <w:color w:val="008000"/>
                <w:w w:val="84"/>
                <w:vertAlign w:val="superscript"/>
              </w:rPr>
              <w:t>(3)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Series D Preferred Stock</w:t>
            </w:r>
          </w:p>
        </w:tc>
        <w:tc>
          <w:tcPr>
            <w:tcW w:w="1280" w:type="dxa"/>
            <w:vAlign w:val="bottom"/>
            <w:tcBorders>
              <w:bottom w:val="single" w:sz="8" w:color="2C2C2C"/>
            </w:tcBorders>
            <w:gridSpan w:val="3"/>
          </w:tcPr>
          <w:p>
            <w:pPr>
              <w:jc w:val="right"/>
              <w:ind w:right="312"/>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1"/>
                <w:szCs w:val="11"/>
                <w:color w:val="008000"/>
              </w:rPr>
              <w:t>(7)</w:t>
            </w:r>
          </w:p>
        </w:tc>
        <w:tc>
          <w:tcPr>
            <w:tcW w:w="182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jc w:val="center"/>
              <w:ind w:left="101"/>
              <w:spacing w:after="0"/>
              <w:rPr>
                <w:sz w:val="20"/>
                <w:szCs w:val="20"/>
                <w:color w:val="auto"/>
              </w:rPr>
            </w:pPr>
            <w:r>
              <w:rPr>
                <w:rFonts w:ascii="Arial" w:cs="Arial" w:eastAsia="Arial" w:hAnsi="Arial"/>
                <w:sz w:val="18"/>
                <w:szCs w:val="18"/>
                <w:color w:val="0000FF"/>
                <w:w w:val="84"/>
              </w:rPr>
              <w:t>66,991</w:t>
            </w:r>
            <w:r>
              <w:rPr>
                <w:rFonts w:ascii="Arial" w:cs="Arial" w:eastAsia="Arial" w:hAnsi="Arial"/>
                <w:sz w:val="22"/>
                <w:szCs w:val="22"/>
                <w:color w:val="008000"/>
                <w:w w:val="84"/>
                <w:vertAlign w:val="superscript"/>
              </w:rPr>
              <w:t>(3)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8"/>
              </w:rPr>
              <w:t>Series E Preferred Warrant (Right to Buy)</w:t>
            </w:r>
          </w:p>
        </w:tc>
        <w:tc>
          <w:tcPr>
            <w:tcW w:w="1280" w:type="dxa"/>
            <w:vAlign w:val="bottom"/>
            <w:tcBorders>
              <w:bottom w:val="single" w:sz="8" w:color="2C2C2C"/>
            </w:tcBorders>
            <w:gridSpan w:val="3"/>
          </w:tcPr>
          <w:p>
            <w:pPr>
              <w:jc w:val="right"/>
              <w:ind w:right="312"/>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1"/>
                <w:szCs w:val="11"/>
                <w:color w:val="008000"/>
              </w:rPr>
              <w:t>(2)</w:t>
            </w:r>
          </w:p>
        </w:tc>
        <w:tc>
          <w:tcPr>
            <w:tcW w:w="182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jc w:val="center"/>
              <w:ind w:left="101"/>
              <w:spacing w:after="0"/>
              <w:rPr>
                <w:sz w:val="20"/>
                <w:szCs w:val="20"/>
                <w:color w:val="auto"/>
              </w:rPr>
            </w:pPr>
            <w:r>
              <w:rPr>
                <w:rFonts w:ascii="Arial" w:cs="Arial" w:eastAsia="Arial" w:hAnsi="Arial"/>
                <w:sz w:val="18"/>
                <w:szCs w:val="18"/>
                <w:color w:val="0000FF"/>
                <w:w w:val="81"/>
              </w:rPr>
              <w:t>11,924</w:t>
            </w:r>
            <w:r>
              <w:rPr>
                <w:rFonts w:ascii="Arial" w:cs="Arial" w:eastAsia="Arial" w:hAnsi="Arial"/>
                <w:sz w:val="22"/>
                <w:szCs w:val="22"/>
                <w:color w:val="008000"/>
                <w:w w:val="81"/>
                <w:vertAlign w:val="superscript"/>
              </w:rPr>
              <w:t>(1)(3)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24.22</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Series E Preferred Stock</w:t>
            </w:r>
          </w:p>
        </w:tc>
        <w:tc>
          <w:tcPr>
            <w:tcW w:w="1280" w:type="dxa"/>
            <w:vAlign w:val="bottom"/>
            <w:tcBorders>
              <w:bottom w:val="single" w:sz="8" w:color="2C2C2C"/>
            </w:tcBorders>
            <w:gridSpan w:val="3"/>
          </w:tcPr>
          <w:p>
            <w:pPr>
              <w:jc w:val="right"/>
              <w:ind w:right="312"/>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1"/>
                <w:szCs w:val="11"/>
                <w:color w:val="008000"/>
              </w:rPr>
              <w:t>(6)</w:t>
            </w:r>
          </w:p>
        </w:tc>
        <w:tc>
          <w:tcPr>
            <w:tcW w:w="182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jc w:val="center"/>
              <w:ind w:left="101"/>
              <w:spacing w:after="0"/>
              <w:rPr>
                <w:sz w:val="20"/>
                <w:szCs w:val="20"/>
                <w:color w:val="auto"/>
              </w:rPr>
            </w:pPr>
            <w:r>
              <w:rPr>
                <w:rFonts w:ascii="Arial" w:cs="Arial" w:eastAsia="Arial" w:hAnsi="Arial"/>
                <w:sz w:val="18"/>
                <w:szCs w:val="18"/>
                <w:color w:val="0000FF"/>
                <w:w w:val="81"/>
              </w:rPr>
              <w:t>47,400</w:t>
            </w:r>
            <w:r>
              <w:rPr>
                <w:rFonts w:ascii="Arial" w:cs="Arial" w:eastAsia="Arial" w:hAnsi="Arial"/>
                <w:sz w:val="22"/>
                <w:szCs w:val="22"/>
                <w:color w:val="008000"/>
                <w:w w:val="81"/>
                <w:vertAlign w:val="superscript"/>
              </w:rPr>
              <w:t>(1)(3)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Series C Preferred Stock</w:t>
            </w:r>
          </w:p>
        </w:tc>
        <w:tc>
          <w:tcPr>
            <w:tcW w:w="1280" w:type="dxa"/>
            <w:vAlign w:val="bottom"/>
            <w:tcBorders>
              <w:bottom w:val="single" w:sz="8" w:color="2C2C2C"/>
            </w:tcBorders>
            <w:gridSpan w:val="3"/>
          </w:tcPr>
          <w:p>
            <w:pPr>
              <w:jc w:val="right"/>
              <w:ind w:right="312"/>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1"/>
                <w:szCs w:val="11"/>
                <w:color w:val="008000"/>
              </w:rPr>
              <w:t>(7)</w:t>
            </w:r>
          </w:p>
        </w:tc>
        <w:tc>
          <w:tcPr>
            <w:tcW w:w="182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jc w:val="center"/>
              <w:ind w:left="101"/>
              <w:spacing w:after="0"/>
              <w:rPr>
                <w:sz w:val="20"/>
                <w:szCs w:val="20"/>
                <w:color w:val="auto"/>
              </w:rPr>
            </w:pPr>
            <w:r>
              <w:rPr>
                <w:rFonts w:ascii="Arial" w:cs="Arial" w:eastAsia="Arial" w:hAnsi="Arial"/>
                <w:sz w:val="18"/>
                <w:szCs w:val="18"/>
                <w:color w:val="0000FF"/>
                <w:w w:val="84"/>
              </w:rPr>
              <w:t>320,063</w:t>
            </w:r>
            <w:r>
              <w:rPr>
                <w:rFonts w:ascii="Arial" w:cs="Arial" w:eastAsia="Arial" w:hAnsi="Arial"/>
                <w:sz w:val="22"/>
                <w:szCs w:val="22"/>
                <w:color w:val="008000"/>
                <w:w w:val="84"/>
                <w:vertAlign w:val="superscript"/>
              </w:rPr>
              <w:t>(3)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Series D Preferred Stock</w:t>
            </w:r>
          </w:p>
        </w:tc>
        <w:tc>
          <w:tcPr>
            <w:tcW w:w="1280" w:type="dxa"/>
            <w:vAlign w:val="bottom"/>
            <w:tcBorders>
              <w:bottom w:val="single" w:sz="8" w:color="2C2C2C"/>
            </w:tcBorders>
            <w:gridSpan w:val="3"/>
          </w:tcPr>
          <w:p>
            <w:pPr>
              <w:jc w:val="right"/>
              <w:ind w:right="312"/>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1"/>
                <w:szCs w:val="11"/>
                <w:color w:val="008000"/>
              </w:rPr>
              <w:t>(7)</w:t>
            </w:r>
          </w:p>
        </w:tc>
        <w:tc>
          <w:tcPr>
            <w:tcW w:w="182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jc w:val="center"/>
              <w:ind w:left="101"/>
              <w:spacing w:after="0"/>
              <w:rPr>
                <w:sz w:val="20"/>
                <w:szCs w:val="20"/>
                <w:color w:val="auto"/>
              </w:rPr>
            </w:pPr>
            <w:r>
              <w:rPr>
                <w:rFonts w:ascii="Arial" w:cs="Arial" w:eastAsia="Arial" w:hAnsi="Arial"/>
                <w:sz w:val="18"/>
                <w:szCs w:val="18"/>
                <w:color w:val="0000FF"/>
                <w:w w:val="84"/>
              </w:rPr>
              <w:t>66,991</w:t>
            </w:r>
            <w:r>
              <w:rPr>
                <w:rFonts w:ascii="Arial" w:cs="Arial" w:eastAsia="Arial" w:hAnsi="Arial"/>
                <w:sz w:val="22"/>
                <w:szCs w:val="22"/>
                <w:color w:val="008000"/>
                <w:w w:val="84"/>
                <w:vertAlign w:val="superscript"/>
              </w:rPr>
              <w:t>(3)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(5)(8)</w:t>
            </w: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0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3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gridSpan w:val="3"/>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EuclidSR Partners, L.P.</w:t>
              </w:r>
            </w:hyperlink>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84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280" w:type="dxa"/>
            <w:vAlign w:val="bottom"/>
            <w:gridSpan w:val="3"/>
          </w:tcPr>
          <w:p>
            <w:pPr>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6"/>
          </w:tcPr>
          <w:p>
            <w:pPr>
              <w:spacing w:after="0"/>
              <w:rPr>
                <w:sz w:val="20"/>
                <w:szCs w:val="20"/>
                <w:color w:val="auto"/>
              </w:rPr>
            </w:pPr>
            <w:r>
              <w:rPr>
                <w:rFonts w:ascii="Arial" w:cs="Arial" w:eastAsia="Arial" w:hAnsi="Arial"/>
                <w:sz w:val="18"/>
                <w:szCs w:val="18"/>
                <w:color w:val="0000FF"/>
              </w:rPr>
              <w:t>45 ROCKEFELLER PLAZA, SUITE 1410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72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460" w:type="dxa"/>
            <w:vAlign w:val="bottom"/>
            <w:gridSpan w:val="2"/>
          </w:tcPr>
          <w:p>
            <w:pPr>
              <w:spacing w:after="0"/>
              <w:rPr>
                <w:sz w:val="20"/>
                <w:szCs w:val="20"/>
                <w:color w:val="auto"/>
              </w:rPr>
            </w:pPr>
            <w:r>
              <w:rPr>
                <w:rFonts w:ascii="Arial" w:cs="Arial" w:eastAsia="Arial" w:hAnsi="Arial"/>
                <w:sz w:val="18"/>
                <w:szCs w:val="18"/>
                <w:color w:val="0000FF"/>
                <w:w w:val="87"/>
              </w:rPr>
              <w:t>10111</w:t>
            </w: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gridSpan w:val="2"/>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280" w:type="dxa"/>
            <w:vAlign w:val="bottom"/>
            <w:gridSpan w:val="3"/>
          </w:tcPr>
          <w:p>
            <w:pPr>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gridSpan w:val="2"/>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0" w:type="dxa"/>
            <w:vAlign w:val="bottom"/>
            <w:gridSpan w:val="6"/>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EuclidSR Biotechnology Partners, L.P.</w:t>
              </w:r>
            </w:hyperlink>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84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280" w:type="dxa"/>
            <w:vAlign w:val="bottom"/>
            <w:gridSpan w:val="3"/>
          </w:tcPr>
          <w:p>
            <w:pPr>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6"/>
          </w:tcPr>
          <w:p>
            <w:pPr>
              <w:spacing w:after="0"/>
              <w:rPr>
                <w:sz w:val="20"/>
                <w:szCs w:val="20"/>
                <w:color w:val="auto"/>
              </w:rPr>
            </w:pPr>
            <w:r>
              <w:rPr>
                <w:rFonts w:ascii="Arial" w:cs="Arial" w:eastAsia="Arial" w:hAnsi="Arial"/>
                <w:sz w:val="18"/>
                <w:szCs w:val="18"/>
                <w:color w:val="0000FF"/>
              </w:rPr>
              <w:t>45 ROCKEFELLER PLAZA, SUITE 1410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72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460" w:type="dxa"/>
            <w:vAlign w:val="bottom"/>
            <w:gridSpan w:val="2"/>
          </w:tcPr>
          <w:p>
            <w:pPr>
              <w:spacing w:after="0"/>
              <w:rPr>
                <w:sz w:val="20"/>
                <w:szCs w:val="20"/>
                <w:color w:val="auto"/>
              </w:rPr>
            </w:pPr>
            <w:r>
              <w:rPr>
                <w:rFonts w:ascii="Arial" w:cs="Arial" w:eastAsia="Arial" w:hAnsi="Arial"/>
                <w:sz w:val="18"/>
                <w:szCs w:val="18"/>
                <w:color w:val="0000FF"/>
                <w:w w:val="87"/>
              </w:rPr>
              <w:t>10111</w:t>
            </w: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gridSpan w:val="2"/>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280" w:type="dxa"/>
            <w:vAlign w:val="bottom"/>
            <w:gridSpan w:val="3"/>
          </w:tcPr>
          <w:p>
            <w:pPr>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the automatic conversion of each share of Series E Preferred Stock into 1.3 shares of Common Stock to occur upon the closing of the Issuer's initial public offering.</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Expires immediately prior to the closing of the Issuer's initial public offering.</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 1-for-1.73 reverse stock split of the Issuer's outstanding shares effected February 3, 2011</w:t>
      </w:r>
    </w:p>
    <w:p>
      <w:pPr>
        <w:sectPr>
          <w:pgSz w:w="11900" w:h="16845" w:orient="portrait"/>
          <w:cols w:equalWidth="0" w:num="1">
            <w:col w:w="11420"/>
          </w:cols>
          <w:pgMar w:left="240" w:top="226" w:right="239" w:bottom="0" w:gutter="0" w:footer="0" w:header="0"/>
          <w:type w:val="continuous"/>
        </w:sectPr>
      </w:pPr>
    </w:p>
    <w:bookmarkStart w:id="1" w:name="page2"/>
    <w:bookmarkEnd w:id="1"/>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EuclidSR Partners, L.P., is the record holder of the securities reported on Lines 1, 2, 3 and 4 of Table 2.</w:t>
      </w:r>
    </w:p>
    <w:p>
      <w:pPr>
        <w:spacing w:after="0" w:line="41" w:lineRule="exact"/>
        <w:rPr>
          <w:rFonts w:ascii="Arial" w:cs="Arial" w:eastAsia="Arial" w:hAnsi="Arial"/>
          <w:sz w:val="14"/>
          <w:szCs w:val="14"/>
          <w:color w:val="008000"/>
        </w:rPr>
      </w:pPr>
    </w:p>
    <w:p>
      <w:pPr>
        <w:ind w:firstLine="9"/>
        <w:spacing w:after="0" w:line="288"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Mr. Whitaker, the reporting person who is a member of the Board of Directors of the Issuer shares voting and investment power with Graham D.S. Anderson, Milton J. Pappas and Stephen K. Reidy, each of whom are General Partners of EuclidSR Associates, L.P., the General Partner of EuclidSR Partners and EuclidSR Biotechnology Associates, L.P., the General Partner of EuclidSR Biotechnology Partners. Each General Partner of EuclidSR Associates, L.P. and EuclidSR Biotechnology Associates, L.P. disclaims beneficial ownership of the shares except to the extent of their pecuniary interest therein</w:t>
      </w:r>
    </w:p>
    <w:p>
      <w:pPr>
        <w:spacing w:after="0" w:line="2" w:lineRule="exact"/>
        <w:rPr>
          <w:rFonts w:ascii="Arial" w:cs="Arial" w:eastAsia="Arial" w:hAnsi="Arial"/>
          <w:sz w:val="12"/>
          <w:szCs w:val="12"/>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share has no expiration date.</w:t>
      </w:r>
    </w:p>
    <w:p>
      <w:pPr>
        <w:spacing w:after="0" w:line="41" w:lineRule="exact"/>
        <w:rPr>
          <w:rFonts w:ascii="Arial" w:cs="Arial" w:eastAsia="Arial" w:hAnsi="Arial"/>
          <w:sz w:val="14"/>
          <w:szCs w:val="14"/>
          <w:color w:val="008000"/>
        </w:rPr>
      </w:pPr>
    </w:p>
    <w:p>
      <w:pPr>
        <w:ind w:right="28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the automatic conversion of each share of Series C Preferred Stock and Series D Preferred Stock into one share of Common Stock to occur upon the closing of the Issuer's initial public offering. Each share has no expiration date.</w:t>
      </w:r>
    </w:p>
    <w:p>
      <w:pPr>
        <w:spacing w:after="0" w:line="30"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EuclidSR Biotechnology Partners, L.P., is the record holder of the securities reported on Lines 5, 6, 7 and 8 of Table 2.</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Exhibit List -------------- Exhibit 24.1 - Power of Attorney Exhibit 24.2 - Power of Attorney</w:t>
      </w:r>
    </w:p>
    <w:p>
      <w:pPr>
        <w:spacing w:after="0" w:line="4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Gajus V. Worthington,</w:t>
            </w:r>
          </w:p>
        </w:tc>
        <w:tc>
          <w:tcPr>
            <w:tcW w:w="320" w:type="dxa"/>
            <w:vAlign w:val="bottom"/>
          </w:tcPr>
          <w:p>
            <w:pPr>
              <w:spacing w:after="0"/>
              <w:rPr>
                <w:sz w:val="17"/>
                <w:szCs w:val="17"/>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02/09/2011</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Gajus V. Worthington,</w:t>
            </w:r>
          </w:p>
        </w:tc>
        <w:tc>
          <w:tcPr>
            <w:tcW w:w="320" w:type="dxa"/>
            <w:vAlign w:val="bottom"/>
          </w:tcPr>
          <w:p>
            <w:pPr>
              <w:spacing w:after="0"/>
              <w:rPr>
                <w:sz w:val="21"/>
                <w:szCs w:val="21"/>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02/09/2011</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20"/>
          </w:cols>
          <w:pgMar w:left="280" w:top="129" w:right="299" w:bottom="1440" w:gutter="0" w:footer="0" w:header="0"/>
        </w:sectPr>
      </w:pPr>
    </w:p>
    <w:bookmarkStart w:id="2" w:name="page3"/>
    <w:bookmarkEnd w:id="2"/>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The undersigned, as a Section 16 reporting person of Fluidigm Corporation (the "Company"), hereby constitutes and appoints the officers of the Company and the responsible attorneys and paralegals of Wilson Sonsini Goodrich &amp; Rosati, P.C., and each of them, the undersigned's true and lawful attorney-in-fact to:</w:t>
      </w:r>
    </w:p>
    <w:p>
      <w:pPr>
        <w:spacing w:after="0" w:line="182" w:lineRule="exact"/>
        <w:rPr>
          <w:sz w:val="20"/>
          <w:szCs w:val="20"/>
          <w:color w:val="auto"/>
        </w:rPr>
      </w:pPr>
    </w:p>
    <w:p>
      <w:pPr>
        <w:ind w:left="1060" w:right="1999" w:hanging="525"/>
        <w:spacing w:after="0" w:line="271" w:lineRule="auto"/>
        <w:tabs>
          <w:tab w:leader="none" w:pos="10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 and execute Forms ID, 3,4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87" w:lineRule="exact"/>
        <w:rPr>
          <w:rFonts w:ascii="Courier New" w:cs="Courier New" w:eastAsia="Courier New" w:hAnsi="Courier New"/>
          <w:sz w:val="16"/>
          <w:szCs w:val="16"/>
          <w:color w:val="auto"/>
        </w:rPr>
      </w:pPr>
    </w:p>
    <w:p>
      <w:pPr>
        <w:ind w:left="1060" w:right="1879" w:hanging="525"/>
        <w:spacing w:after="0" w:line="237"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undersigned hereby ratifies and confirms all that said attorney-in-fact and agents shall do or cause to be done by virtue hereof. The undersigned acknowledges that the foregoing attorney-in-fact, in serving in such capacity at the request of the undersigned, are not assuming, nor is the Company assuming, any of the undersigned's responsibilities to comply with Section 16 of the Securities Exchange Act of 1934 (as amended).</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attorney-in-fact.</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4th day of February, 2011.</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Signature: /s/ Raymond J. Whitaker</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Raymond J. Whitaker</w:t>
      </w:r>
    </w:p>
    <w:p>
      <w:pPr>
        <w:ind w:left="4220"/>
        <w:spacing w:after="0" w:line="237" w:lineRule="auto"/>
        <w:rPr>
          <w:sz w:val="20"/>
          <w:szCs w:val="20"/>
          <w:color w:val="auto"/>
        </w:rPr>
      </w:pPr>
      <w:r>
        <w:rPr>
          <w:rFonts w:ascii="Courier New" w:cs="Courier New" w:eastAsia="Courier New" w:hAnsi="Courier New"/>
          <w:sz w:val="18"/>
          <w:szCs w:val="18"/>
          <w:color w:val="auto"/>
        </w:rPr>
        <w:t>General Partner</w:t>
      </w:r>
    </w:p>
    <w:p>
      <w:pPr>
        <w:ind w:left="4220"/>
        <w:spacing w:after="0" w:line="238" w:lineRule="auto"/>
        <w:rPr>
          <w:sz w:val="20"/>
          <w:szCs w:val="20"/>
          <w:color w:val="auto"/>
        </w:rPr>
      </w:pPr>
      <w:r>
        <w:rPr>
          <w:rFonts w:ascii="Courier New" w:cs="Courier New" w:eastAsia="Courier New" w:hAnsi="Courier New"/>
          <w:sz w:val="18"/>
          <w:szCs w:val="18"/>
          <w:color w:val="auto"/>
        </w:rPr>
        <w:t>EuclidSR Partners, L.P.</w:t>
      </w:r>
    </w:p>
    <w:p>
      <w:pPr>
        <w:sectPr>
          <w:pgSz w:w="11900" w:h="16838" w:orient="portrait"/>
          <w:cols w:equalWidth="0" w:num="1">
            <w:col w:w="10219"/>
          </w:cols>
          <w:pgMar w:left="240" w:top="136" w:right="1440" w:bottom="1440" w:gutter="0" w:footer="0" w:header="0"/>
        </w:sectPr>
      </w:pPr>
    </w:p>
    <w:bookmarkStart w:id="3" w:name="page4"/>
    <w:bookmarkEnd w:id="3"/>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undersigned, as a Section 16 reporting person of Fluidigm Corporation (the "Company"), hereby constitutes and appoints the officers of the Company and the responsible attorneys and paralegals of Wilson Sonsini Goodrich &amp; Rosati, P.C., and each of them, the undersigned's true and lawful attorney-in-fact to:</w:t>
      </w:r>
    </w:p>
    <w:p>
      <w:pPr>
        <w:spacing w:after="0" w:line="207" w:lineRule="exact"/>
        <w:rPr>
          <w:sz w:val="20"/>
          <w:szCs w:val="20"/>
          <w:color w:val="auto"/>
        </w:rPr>
      </w:pPr>
    </w:p>
    <w:p>
      <w:pPr>
        <w:ind w:left="1060" w:right="1999" w:hanging="525"/>
        <w:spacing w:after="0" w:line="271" w:lineRule="auto"/>
        <w:tabs>
          <w:tab w:leader="none" w:pos="10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 and execute Forms ID, 3,4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87" w:lineRule="exact"/>
        <w:rPr>
          <w:rFonts w:ascii="Courier New" w:cs="Courier New" w:eastAsia="Courier New" w:hAnsi="Courier New"/>
          <w:sz w:val="16"/>
          <w:szCs w:val="16"/>
          <w:color w:val="auto"/>
        </w:rPr>
      </w:pPr>
    </w:p>
    <w:p>
      <w:pPr>
        <w:ind w:left="1060" w:right="1879" w:hanging="525"/>
        <w:spacing w:after="0" w:line="237"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undersigned hereby ratifies and confirms all that said attorney-in-fact and agents shall do or cause to be done by virtue hereof. The undersigned acknowledges that the foregoing attorney-in-fact, in serving in such capacity at the request of the undersigned, are not assuming, nor is the Company assuming, any of the undersigned's responsibilities to comply with Section 16 of the Securities Exchange Act of 1934 (as amended).</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attorney-in-fact.</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4th day of February, 2011.</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Signature: /s/ Raymond J. Whitaker</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Raymond J. Whitaker</w:t>
      </w:r>
    </w:p>
    <w:p>
      <w:pPr>
        <w:ind w:left="4220"/>
        <w:spacing w:after="0" w:line="237" w:lineRule="auto"/>
        <w:rPr>
          <w:sz w:val="20"/>
          <w:szCs w:val="20"/>
          <w:color w:val="auto"/>
        </w:rPr>
      </w:pPr>
      <w:r>
        <w:rPr>
          <w:rFonts w:ascii="Courier New" w:cs="Courier New" w:eastAsia="Courier New" w:hAnsi="Courier New"/>
          <w:sz w:val="18"/>
          <w:szCs w:val="18"/>
          <w:color w:val="auto"/>
        </w:rPr>
        <w:t>General Partner</w:t>
      </w:r>
    </w:p>
    <w:p>
      <w:pPr>
        <w:ind w:left="4220"/>
        <w:spacing w:after="0" w:line="238" w:lineRule="auto"/>
        <w:rPr>
          <w:sz w:val="20"/>
          <w:szCs w:val="20"/>
          <w:color w:val="auto"/>
        </w:rPr>
      </w:pPr>
      <w:r>
        <w:rPr>
          <w:rFonts w:ascii="Courier New" w:cs="Courier New" w:eastAsia="Courier New" w:hAnsi="Courier New"/>
          <w:sz w:val="18"/>
          <w:szCs w:val="18"/>
          <w:color w:val="auto"/>
        </w:rPr>
        <w:t>EuclidSR Biotechnology Partners, L.P.</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17657" TargetMode="External"/><Relationship Id="rId12" Type="http://schemas.openxmlformats.org/officeDocument/2006/relationships/hyperlink" Target="http://www.sec.gov/cgi-bin/browse-edgar?action=getcompany&amp;CIK=0001162194" TargetMode="External"/><Relationship Id="rId13" Type="http://schemas.openxmlformats.org/officeDocument/2006/relationships/hyperlink" Target="http://www.sec.gov/cgi-bin/browse-edgar?action=getcompany&amp;CIK=00013189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2019-12-17T15:07:16Z</dcterms:created>
  <dcterms:modified xsi:type="dcterms:W3CDTF">2019-12-17T15:07:16Z</dcterms:modified>
</cp:coreProperties>
</file>