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__________________________</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October 29, 2015</w:t>
      </w:r>
    </w:p>
    <w:p>
      <w:pPr>
        <w:spacing w:after="0" w:line="16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82"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5460" w:type="dxa"/>
            <w:vAlign w:val="bottom"/>
          </w:tcPr>
          <w:p>
            <w:pPr>
              <w:jc w:val="right"/>
              <w:ind w:right="155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r>
        <w:trPr>
          <w:trHeight w:val="378"/>
        </w:trPr>
        <w:tc>
          <w:tcPr>
            <w:tcW w:w="2380" w:type="dxa"/>
            <w:vAlign w:val="bottom"/>
          </w:tcPr>
          <w:p>
            <w:pPr>
              <w:jc w:val="center"/>
              <w:ind w:right="662"/>
              <w:spacing w:after="0"/>
              <w:rPr>
                <w:sz w:val="20"/>
                <w:szCs w:val="20"/>
                <w:color w:val="auto"/>
              </w:rPr>
            </w:pPr>
            <w:r>
              <w:rPr>
                <w:rFonts w:ascii="Arial" w:cs="Arial" w:eastAsia="Arial" w:hAnsi="Arial"/>
                <w:sz w:val="18"/>
                <w:szCs w:val="18"/>
                <w:b w:val="1"/>
                <w:bCs w:val="1"/>
                <w:color w:val="auto"/>
                <w:w w:val="91"/>
              </w:rPr>
              <w:t>Delaware</w:t>
            </w:r>
          </w:p>
        </w:tc>
        <w:tc>
          <w:tcPr>
            <w:tcW w:w="5460" w:type="dxa"/>
            <w:vAlign w:val="bottom"/>
          </w:tcPr>
          <w:p>
            <w:pPr>
              <w:ind w:left="2340"/>
              <w:spacing w:after="0"/>
              <w:rPr>
                <w:sz w:val="20"/>
                <w:szCs w:val="20"/>
                <w:color w:val="auto"/>
              </w:rPr>
            </w:pPr>
            <w:r>
              <w:rPr>
                <w:rFonts w:ascii="Arial" w:cs="Arial" w:eastAsia="Arial" w:hAnsi="Arial"/>
                <w:sz w:val="18"/>
                <w:szCs w:val="18"/>
                <w:b w:val="1"/>
                <w:bCs w:val="1"/>
                <w:color w:val="auto"/>
              </w:rPr>
              <w:t>001-34180</w:t>
            </w:r>
          </w:p>
        </w:tc>
        <w:tc>
          <w:tcPr>
            <w:tcW w:w="2040" w:type="dxa"/>
            <w:vAlign w:val="bottom"/>
          </w:tcPr>
          <w:p>
            <w:pPr>
              <w:jc w:val="center"/>
              <w:ind w:left="842"/>
              <w:spacing w:after="0"/>
              <w:rPr>
                <w:sz w:val="20"/>
                <w:szCs w:val="20"/>
                <w:color w:val="auto"/>
              </w:rPr>
            </w:pPr>
            <w:r>
              <w:rPr>
                <w:rFonts w:ascii="Arial" w:cs="Arial" w:eastAsia="Arial" w:hAnsi="Arial"/>
                <w:sz w:val="18"/>
                <w:szCs w:val="18"/>
                <w:b w:val="1"/>
                <w:bCs w:val="1"/>
                <w:color w:val="auto"/>
                <w:w w:val="91"/>
              </w:rPr>
              <w:t>77-0513190</w:t>
            </w:r>
          </w:p>
        </w:tc>
      </w:tr>
      <w:tr>
        <w:trPr>
          <w:trHeight w:val="180"/>
        </w:trPr>
        <w:tc>
          <w:tcPr>
            <w:tcW w:w="2380" w:type="dxa"/>
            <w:vAlign w:val="bottom"/>
          </w:tcPr>
          <w:p>
            <w:pPr>
              <w:jc w:val="center"/>
              <w:ind w:right="662"/>
              <w:spacing w:after="0"/>
              <w:rPr>
                <w:sz w:val="20"/>
                <w:szCs w:val="20"/>
                <w:color w:val="auto"/>
              </w:rPr>
            </w:pPr>
            <w:r>
              <w:rPr>
                <w:rFonts w:ascii="Arial" w:cs="Arial" w:eastAsia="Arial" w:hAnsi="Arial"/>
                <w:sz w:val="14"/>
                <w:szCs w:val="14"/>
                <w:b w:val="1"/>
                <w:bCs w:val="1"/>
                <w:color w:val="auto"/>
                <w:w w:val="93"/>
              </w:rPr>
              <w:t>(State or other jurisdiction</w:t>
            </w:r>
          </w:p>
        </w:tc>
        <w:tc>
          <w:tcPr>
            <w:tcW w:w="5460" w:type="dxa"/>
            <w:vAlign w:val="bottom"/>
          </w:tcPr>
          <w:p>
            <w:pPr>
              <w:ind w:left="2320"/>
              <w:spacing w:after="0"/>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380" w:type="dxa"/>
            <w:vAlign w:val="bottom"/>
          </w:tcPr>
          <w:p>
            <w:pPr>
              <w:jc w:val="center"/>
              <w:ind w:right="682"/>
              <w:spacing w:after="0"/>
              <w:rPr>
                <w:sz w:val="20"/>
                <w:szCs w:val="20"/>
                <w:color w:val="auto"/>
              </w:rPr>
            </w:pPr>
            <w:r>
              <w:rPr>
                <w:rFonts w:ascii="Arial" w:cs="Arial" w:eastAsia="Arial" w:hAnsi="Arial"/>
                <w:sz w:val="14"/>
                <w:szCs w:val="14"/>
                <w:b w:val="1"/>
                <w:bCs w:val="1"/>
                <w:color w:val="auto"/>
                <w:w w:val="94"/>
              </w:rPr>
              <w:t>of incorporation)</w:t>
            </w:r>
          </w:p>
        </w:tc>
        <w:tc>
          <w:tcPr>
            <w:tcW w:w="5460" w:type="dxa"/>
            <w:vAlign w:val="bottom"/>
          </w:tcPr>
          <w:p>
            <w:pPr>
              <w:ind w:left="230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42"/>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380" w:type="dxa"/>
            <w:vAlign w:val="bottom"/>
          </w:tcPr>
          <w:p>
            <w:pPr>
              <w:spacing w:after="0"/>
              <w:rPr>
                <w:sz w:val="24"/>
                <w:szCs w:val="24"/>
                <w:color w:val="auto"/>
              </w:rPr>
            </w:pPr>
          </w:p>
        </w:tc>
        <w:tc>
          <w:tcPr>
            <w:tcW w:w="5460" w:type="dxa"/>
            <w:vAlign w:val="bottom"/>
          </w:tcPr>
          <w:p>
            <w:pPr>
              <w:jc w:val="center"/>
              <w:ind w:right="78"/>
              <w:spacing w:after="0"/>
              <w:rPr>
                <w:sz w:val="20"/>
                <w:szCs w:val="20"/>
                <w:color w:val="auto"/>
              </w:rPr>
            </w:pPr>
            <w:r>
              <w:rPr>
                <w:rFonts w:ascii="Arial" w:cs="Arial" w:eastAsia="Arial" w:hAnsi="Arial"/>
                <w:sz w:val="18"/>
                <w:szCs w:val="18"/>
                <w:b w:val="1"/>
                <w:bCs w:val="1"/>
                <w:color w:val="auto"/>
                <w:w w:val="89"/>
              </w:rPr>
              <w:t>7000 Shoreline Court, Suite 100</w:t>
            </w:r>
          </w:p>
        </w:tc>
        <w:tc>
          <w:tcPr>
            <w:tcW w:w="2040" w:type="dxa"/>
            <w:vAlign w:val="bottom"/>
          </w:tcPr>
          <w:p>
            <w:pPr>
              <w:spacing w:after="0"/>
              <w:rPr>
                <w:sz w:val="24"/>
                <w:szCs w:val="24"/>
                <w:color w:val="auto"/>
              </w:rPr>
            </w:pPr>
          </w:p>
        </w:tc>
      </w:tr>
      <w:tr>
        <w:trPr>
          <w:trHeight w:val="212"/>
        </w:trPr>
        <w:tc>
          <w:tcPr>
            <w:tcW w:w="2380" w:type="dxa"/>
            <w:vAlign w:val="bottom"/>
          </w:tcPr>
          <w:p>
            <w:pPr>
              <w:spacing w:after="0"/>
              <w:rPr>
                <w:sz w:val="18"/>
                <w:szCs w:val="18"/>
                <w:color w:val="auto"/>
              </w:rPr>
            </w:pPr>
          </w:p>
        </w:tc>
        <w:tc>
          <w:tcPr>
            <w:tcW w:w="54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040" w:type="dxa"/>
            <w:vAlign w:val="bottom"/>
          </w:tcPr>
          <w:p>
            <w:pPr>
              <w:spacing w:after="0"/>
              <w:rPr>
                <w:sz w:val="18"/>
                <w:szCs w:val="18"/>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040" w:type="dxa"/>
            <w:vAlign w:val="bottom"/>
          </w:tcPr>
          <w:p>
            <w:pPr>
              <w:spacing w:after="0"/>
              <w:rPr>
                <w:sz w:val="16"/>
                <w:szCs w:val="16"/>
                <w:color w:val="auto"/>
              </w:rPr>
            </w:pPr>
          </w:p>
        </w:tc>
      </w:tr>
      <w:tr>
        <w:trPr>
          <w:trHeight w:val="354"/>
        </w:trPr>
        <w:tc>
          <w:tcPr>
            <w:tcW w:w="2380" w:type="dxa"/>
            <w:vAlign w:val="bottom"/>
          </w:tcPr>
          <w:p>
            <w:pPr>
              <w:spacing w:after="0"/>
              <w:rPr>
                <w:sz w:val="24"/>
                <w:szCs w:val="24"/>
                <w:color w:val="auto"/>
              </w:rPr>
            </w:pPr>
          </w:p>
        </w:tc>
        <w:tc>
          <w:tcPr>
            <w:tcW w:w="5460" w:type="dxa"/>
            <w:vAlign w:val="bottom"/>
          </w:tcPr>
          <w:p>
            <w:pPr>
              <w:jc w:val="right"/>
              <w:ind w:right="2158"/>
              <w:spacing w:after="0"/>
              <w:rPr>
                <w:sz w:val="20"/>
                <w:szCs w:val="20"/>
                <w:color w:val="auto"/>
              </w:rPr>
            </w:pPr>
            <w:r>
              <w:rPr>
                <w:rFonts w:ascii="Arial" w:cs="Arial" w:eastAsia="Arial" w:hAnsi="Arial"/>
                <w:sz w:val="18"/>
                <w:szCs w:val="18"/>
                <w:b w:val="1"/>
                <w:bCs w:val="1"/>
                <w:color w:val="auto"/>
              </w:rPr>
              <w:t>(650) 266-6000</w:t>
            </w:r>
          </w:p>
        </w:tc>
        <w:tc>
          <w:tcPr>
            <w:tcW w:w="2040" w:type="dxa"/>
            <w:vAlign w:val="bottom"/>
          </w:tcPr>
          <w:p>
            <w:pPr>
              <w:spacing w:after="0"/>
              <w:rPr>
                <w:sz w:val="24"/>
                <w:szCs w:val="24"/>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40" w:type="dxa"/>
            <w:vAlign w:val="bottom"/>
          </w:tcPr>
          <w:p>
            <w:pPr>
              <w:spacing w:after="0"/>
              <w:rPr>
                <w:sz w:val="16"/>
                <w:szCs w:val="16"/>
                <w:color w:val="auto"/>
              </w:rPr>
            </w:pPr>
          </w:p>
        </w:tc>
      </w:tr>
      <w:tr>
        <w:trPr>
          <w:trHeight w:val="470"/>
        </w:trPr>
        <w:tc>
          <w:tcPr>
            <w:tcW w:w="2380" w:type="dxa"/>
            <w:vAlign w:val="bottom"/>
          </w:tcPr>
          <w:p>
            <w:pPr>
              <w:spacing w:after="0"/>
              <w:rPr>
                <w:sz w:val="24"/>
                <w:szCs w:val="24"/>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460" w:type="dxa"/>
            <w:vAlign w:val="bottom"/>
          </w:tcPr>
          <w:p>
            <w:pPr>
              <w:jc w:val="right"/>
              <w:ind w:right="159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bl>
    <w:p>
      <w:pPr>
        <w:spacing w:after="0" w:line="1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29, 2015, Fluidigm Corporation issued a press release reporting its financial results for the third quarter ended September 30, 2015. A copy of the press release is furnished herewith as Exhibit 99.1.</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640"/>
        <w:spacing w:after="0"/>
        <w:tabs>
          <w:tab w:leader="none" w:pos="20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354" w:lineRule="exact"/>
        <w:rPr>
          <w:sz w:val="20"/>
          <w:szCs w:val="20"/>
          <w:color w:val="auto"/>
        </w:rPr>
      </w:pPr>
    </w:p>
    <w:p>
      <w:pPr>
        <w:ind w:left="600"/>
        <w:spacing w:after="0"/>
        <w:tabs>
          <w:tab w:leader="none" w:pos="204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October 29, 2015</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380"/>
          </w:cols>
          <w:pgMar w:left="240" w:top="742" w:right="2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6660" w:val="left"/>
          <w:tab w:leader="none" w:pos="7320" w:val="left"/>
        </w:tabs>
        <w:rPr>
          <w:sz w:val="20"/>
          <w:szCs w:val="20"/>
          <w:color w:val="auto"/>
        </w:rPr>
      </w:pPr>
      <w:r>
        <w:rPr>
          <w:rFonts w:ascii="Arial" w:cs="Arial" w:eastAsia="Arial" w:hAnsi="Arial"/>
          <w:sz w:val="18"/>
          <w:szCs w:val="18"/>
          <w:color w:val="auto"/>
        </w:rPr>
        <w:t>Date: October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60"/>
          </w:cols>
          <w:pgMar w:left="240" w:top="580" w:right="49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15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354"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October 29, 2015</w:t>
      </w:r>
    </w:p>
    <w:p>
      <w:pPr>
        <w:sectPr>
          <w:pgSz w:w="11900" w:h="16838" w:orient="portrait"/>
          <w:cols w:equalWidth="0" w:num="1">
            <w:col w:w="9699"/>
          </w:cols>
          <w:pgMar w:left="76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REPORTS Q3 2015 FINANCIAL RESULTS</w:t>
      </w:r>
    </w:p>
    <w:p>
      <w:pPr>
        <w:spacing w:after="0" w:line="226"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SOUTH SAN FRANCISCO, Calif. - October 29, 2015 - Fluidigm Corporation (NASDAQ:FLDM) today announced its financial results for the third quarter ended September 30, 2015.</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Total revenue for the third quarter of 2015 was $28.6 million, a decrease of 3% from $29.6 million in the third quarter of 2014. On a constant-currency basis, total revenue increased 3% year-over-year.</w:t>
      </w:r>
    </w:p>
    <w:p>
      <w:pPr>
        <w:spacing w:after="0" w:line="175" w:lineRule="exact"/>
        <w:rPr>
          <w:sz w:val="20"/>
          <w:szCs w:val="20"/>
          <w:color w:val="auto"/>
        </w:rPr>
      </w:pPr>
    </w:p>
    <w:p>
      <w:pPr>
        <w:ind w:right="300"/>
        <w:spacing w:after="0" w:line="271" w:lineRule="auto"/>
        <w:rPr>
          <w:sz w:val="20"/>
          <w:szCs w:val="20"/>
          <w:color w:val="auto"/>
        </w:rPr>
      </w:pPr>
      <w:r>
        <w:rPr>
          <w:rFonts w:ascii="Arial" w:cs="Arial" w:eastAsia="Arial" w:hAnsi="Arial"/>
          <w:sz w:val="21"/>
          <w:szCs w:val="21"/>
          <w:color w:val="auto"/>
        </w:rPr>
        <w:t>Net loss for the third quarter of 2015 was $9.3 million, compared to a net loss of $13.8 million in the third quarter of 2014. Non-GAAP net loss for the third quarter of 2015 was $4.4 million, compared with non-GAAP net loss of $3.1 million for the third quarter of 2014 (see accompanying table for reconciliation of GAAP and non-GAAP measures).</w:t>
      </w:r>
    </w:p>
    <w:p>
      <w:pPr>
        <w:spacing w:after="0" w:line="168" w:lineRule="exact"/>
        <w:rPr>
          <w:sz w:val="20"/>
          <w:szCs w:val="20"/>
          <w:color w:val="auto"/>
        </w:rPr>
      </w:pPr>
    </w:p>
    <w:p>
      <w:pPr>
        <w:ind w:right="60"/>
        <w:spacing w:after="0" w:line="292" w:lineRule="auto"/>
        <w:rPr>
          <w:sz w:val="20"/>
          <w:szCs w:val="20"/>
          <w:color w:val="auto"/>
        </w:rPr>
      </w:pPr>
      <w:r>
        <w:rPr>
          <w:rFonts w:ascii="Arial" w:cs="Arial" w:eastAsia="Arial" w:hAnsi="Arial"/>
          <w:sz w:val="19"/>
          <w:szCs w:val="19"/>
          <w:color w:val="auto"/>
        </w:rPr>
        <w:t>“We are encouraged by our third quarter performance and improvements in our commercial execution. Last quarter, we highlighted four key assumptions incorporated in our second half of 2015 revenue guidance. Specifically, we expected growth within our single-cell proteomics product line, genomics analytical consumables pull-through to be within the range in the first half of the year, modest contribution from new products, and muted results from core single-cell genomics instrumentation. Our results in the third quarter were consistent with these expectations, and we expect these trends to continue in the fourth quarter as we continue to implement organizational changes and benefit from our increased focus. We are narrowing our 2015 total revenue guidance range to be between $111 million and $114 million,” said Gajus Worthington, Fluidigm President and Chief Executive Officer.</w:t>
      </w:r>
    </w:p>
    <w:p>
      <w:pPr>
        <w:spacing w:after="0" w:line="192"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color w:val="auto"/>
        </w:rPr>
        <w:t>“We have made substantial progress in implementing our new organizational structure, adding executive sales leadership, and re-focusing our commercial activity. We believe these key actions have stabilized our near-term performance and position us for growth in 2016 and beyond,” continued Worthington.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 and Analysis</w:t>
      </w:r>
    </w:p>
    <w:p>
      <w:pPr>
        <w:spacing w:after="0" w:line="28" w:lineRule="exact"/>
        <w:rPr>
          <w:sz w:val="20"/>
          <w:szCs w:val="20"/>
          <w:color w:val="auto"/>
        </w:rPr>
      </w:pPr>
    </w:p>
    <w:p>
      <w:pPr>
        <w:ind w:left="340" w:right="180" w:hanging="332"/>
        <w:spacing w:after="0" w:line="22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Instrument and service revenue was up 4% or $0.7 million year-on-year in the quarter, primarily due to contribution from new products, increased sales of Helios™ (CyTOF</w:t>
      </w:r>
      <w:r>
        <w:rPr>
          <w:rFonts w:ascii="Arial" w:cs="Arial" w:eastAsia="Arial" w:hAnsi="Arial"/>
          <w:sz w:val="28"/>
          <w:szCs w:val="28"/>
          <w:color w:val="auto"/>
          <w:vertAlign w:val="superscript"/>
        </w:rPr>
        <w:t>®</w:t>
      </w:r>
      <w:r>
        <w:rPr>
          <w:rFonts w:ascii="Arial" w:cs="Arial" w:eastAsia="Arial" w:hAnsi="Arial"/>
          <w:sz w:val="22"/>
          <w:szCs w:val="22"/>
          <w:color w:val="auto"/>
        </w:rPr>
        <w:t>) systems and service, partly offset by decreased sales from core genomics systems.</w:t>
      </w:r>
    </w:p>
    <w:p>
      <w:pPr>
        <w:ind w:left="980" w:right="680" w:hanging="324"/>
        <w:spacing w:after="0" w:line="243"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22"/>
          <w:szCs w:val="22"/>
          <w:color w:val="auto"/>
        </w:rPr>
        <w:t>Approximately 45% of the Biomark™ HD system sales during the quarter were motivated by single-cell biology research.</w:t>
      </w: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22"/>
          <w:szCs w:val="22"/>
          <w:color w:val="auto"/>
        </w:rPr>
        <w:t>Approximately 20% of C1™ system sales were combined with a Biomark HD system in the quarter.</w:t>
      </w:r>
    </w:p>
    <w:p>
      <w:pPr>
        <w:spacing w:after="0" w:line="3" w:lineRule="exact"/>
        <w:rPr>
          <w:rFonts w:ascii="Arial" w:cs="Arial" w:eastAsia="Arial" w:hAnsi="Arial"/>
          <w:sz w:val="18"/>
          <w:szCs w:val="18"/>
          <w:color w:val="auto"/>
        </w:rPr>
      </w:pPr>
    </w:p>
    <w:p>
      <w:pPr>
        <w:ind w:left="340" w:right="900" w:hanging="332"/>
        <w:spacing w:after="0" w:line="24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Consumables revenue declined 14% or $1.7 million year-on-year in the quarter, primarily due to decreased sales from production genomics applications.</w:t>
      </w:r>
    </w:p>
    <w:p>
      <w:pPr>
        <w:ind w:left="980" w:right="280" w:hanging="324"/>
        <w:spacing w:after="0" w:line="243"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22"/>
          <w:szCs w:val="22"/>
          <w:color w:val="auto"/>
        </w:rPr>
        <w:t>IFC (integrated fluidic circuit) pull-through in the quarter was within its revised historical range of $25,000 - $35,000 per instrument/year for genomics analytical systems and within its historical range of $15,000 - $25,000 per instrument/year for genomics preparatory systems.</w:t>
      </w:r>
    </w:p>
    <w:p>
      <w:pPr>
        <w:spacing w:after="0" w:line="1" w:lineRule="exact"/>
        <w:rPr>
          <w:rFonts w:ascii="Arial" w:cs="Arial" w:eastAsia="Arial" w:hAnsi="Arial"/>
          <w:sz w:val="18"/>
          <w:szCs w:val="18"/>
          <w:color w:val="auto"/>
        </w:rPr>
      </w:pPr>
    </w:p>
    <w:p>
      <w:pPr>
        <w:ind w:left="980" w:right="220" w:hanging="324"/>
        <w:spacing w:after="0" w:line="243"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22"/>
          <w:szCs w:val="22"/>
          <w:color w:val="auto"/>
        </w:rPr>
        <w:t>Consumables pull-through for proteomics analytical systems in the quarter was within its historical range of $50,000 - $70,000 per instrument/year.</w:t>
      </w:r>
    </w:p>
    <w:p>
      <w:pPr>
        <w:ind w:left="340" w:right="580" w:hanging="332"/>
        <w:spacing w:after="0" w:line="24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Geographic revenue as a percent of total product revenue in the third quarter of 2015 was as follows: United States -48%; Europe - 35%; Japan - 4%; Asia-Pacific -8%; and Other -5%.</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Fluidigm’s total instrument installed base was approximately 1,565 units at the end of the quarter.</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22"/>
          <w:szCs w:val="22"/>
          <w:color w:val="auto"/>
        </w:rPr>
        <w:t>Approximately 55% of the installed base was analytical versus 45% preparatory systems.</w:t>
      </w:r>
    </w:p>
    <w:p>
      <w:pPr>
        <w:sectPr>
          <w:pgSz w:w="11900" w:h="16838" w:orient="portrait"/>
          <w:cols w:equalWidth="0" w:num="1">
            <w:col w:w="11420"/>
          </w:cols>
          <w:pgMar w:left="240" w:top="585" w:right="239" w:bottom="1440" w:gutter="0" w:footer="0" w:header="0"/>
        </w:sectPr>
      </w:pPr>
    </w:p>
    <w:bookmarkStart w:id="5" w:name="page6"/>
    <w:bookmarkEnd w:id="5"/>
    <w:p>
      <w:pPr>
        <w:ind w:left="980" w:right="240" w:hanging="324"/>
        <w:spacing w:after="0" w:line="251"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22"/>
          <w:szCs w:val="22"/>
          <w:color w:val="auto"/>
        </w:rPr>
        <w:t>Single-cell biology systems (includes C1, Polaris™, Helios, CyTOF, CyTOF 2, Callisto™, Biomark and Biomark HD systems motivated by single-cell research) represented approximately 760 units.</w:t>
      </w:r>
    </w:p>
    <w:p>
      <w:pPr>
        <w:spacing w:after="0" w:line="2"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21"/>
          <w:szCs w:val="21"/>
          <w:color w:val="auto"/>
        </w:rPr>
        <w:t>GAAP product margin was 58.3% in the third quarter of 2015, versus 61.3% in the year ago period. Non-GAAP product margin was 72.1% in the third quarter of 2015, versus 74.4% in the year ago period. Non-GAAP product margin excludes the effects of amortization of developed technology, depreciation and amortization, and stock-based compensation expense (see accompanying table for reconciliation of GAAP and non-GAAP product margins).</w:t>
      </w: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21"/>
          <w:szCs w:val="21"/>
          <w:color w:val="auto"/>
        </w:rPr>
        <w:t>Fluidigm ended September 30, 2015 with approximately $114.1 million in cash, cash equivalents, and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Highlights Since Fluidigm’s Last Earnings Release</w:t>
      </w:r>
    </w:p>
    <w:p>
      <w:pPr>
        <w:spacing w:after="0" w:line="28" w:lineRule="exact"/>
        <w:rPr>
          <w:sz w:val="20"/>
          <w:szCs w:val="20"/>
          <w:color w:val="auto"/>
        </w:rPr>
      </w:pPr>
    </w:p>
    <w:p>
      <w:pPr>
        <w:ind w:left="340" w:right="280" w:hanging="332"/>
        <w:spacing w:after="0" w:line="255"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21"/>
          <w:szCs w:val="21"/>
          <w:color w:val="auto"/>
        </w:rPr>
        <w:t>Fluidigm, in partnership with Monash University, the University of Melbourne, the University of Newcastle, and the Hudson Institute of Medical Research established Australia’s first Single-Cell Genomics Centre of Excellence.</w:t>
      </w:r>
    </w:p>
    <w:p>
      <w:pPr>
        <w:ind w:left="340" w:right="280" w:hanging="332"/>
        <w:spacing w:after="0" w:line="24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We commercially launched the high throughput single-cell mRNA sequencing workflow for the C1 system, which includes a new integrated fluidic circuit (IFC) and reagent kit.</w:t>
      </w:r>
    </w:p>
    <w:p>
      <w:pPr>
        <w:ind w:left="340" w:right="440" w:hanging="332"/>
        <w:spacing w:after="0" w:line="24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Fluidigm expanded its commercial leadership team with the addition of industry veterans Fred Graff, Vice President, North America Sales; John Stark, Senior Vice President, Commercial Operations; and Pat Cooke, PhD, Vice President, Global Services.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Outlook</w:t>
      </w:r>
    </w:p>
    <w:p>
      <w:pPr>
        <w:spacing w:after="0" w:line="28" w:lineRule="exact"/>
        <w:rPr>
          <w:sz w:val="20"/>
          <w:szCs w:val="20"/>
          <w:color w:val="auto"/>
        </w:rPr>
      </w:pPr>
    </w:p>
    <w:p>
      <w:pPr>
        <w:ind w:right="280"/>
        <w:spacing w:after="0" w:line="245" w:lineRule="auto"/>
        <w:rPr>
          <w:sz w:val="20"/>
          <w:szCs w:val="20"/>
          <w:color w:val="auto"/>
        </w:rPr>
      </w:pPr>
      <w:r>
        <w:rPr>
          <w:rFonts w:ascii="Arial" w:cs="Arial" w:eastAsia="Arial" w:hAnsi="Arial"/>
          <w:sz w:val="22"/>
          <w:szCs w:val="22"/>
          <w:color w:val="auto"/>
        </w:rPr>
        <w:t>Fluidigm now projects total revenue to be between $111 million and $114 million versus prior guidance of between $110 million and $115 million. 2015 revenue projections incorporate an estimated negative currency related impact of approximately 4 to 5 percent at the midpoint of the range.</w:t>
      </w:r>
    </w:p>
    <w:p>
      <w:pPr>
        <w:spacing w:after="0" w:line="193"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The Company now projects 2015 operating expenses on a GAAP basis to be between $121 million and $124 million (excluding the gain on escrow settlement) compared to prior guidance of $123 million and $128 million. Non-GAAP operating expenses, excluding approximately $16 million of estimated stock-based compensation expense, and $4 million of estimated depreciation and amortization expense, are expected to be between $101 million and $104 million versus prior guidance of $101 million and $106 million (also, see accompanying table for reconciliation of GAAP and non-GAAP operating expenses for the third quarter results of 2015 and 2014). Interest expense is projected to be approximately $6 million and capital spending is projected to be between $4 million and $5 million compared to prior guidance of $6 million and $8 million.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Fluidigm will host a conference call today, October 29, 2015 at 2:00 p.m. PST (5:00 p.m. EST). The call can be accessed by calling</w:t>
      </w:r>
    </w:p>
    <w:p>
      <w:pPr>
        <w:spacing w:after="0" w:line="38" w:lineRule="exact"/>
        <w:rPr>
          <w:sz w:val="20"/>
          <w:szCs w:val="20"/>
          <w:color w:val="auto"/>
        </w:rPr>
      </w:pPr>
    </w:p>
    <w:p>
      <w:pPr>
        <w:ind w:right="200" w:firstLine="8"/>
        <w:spacing w:after="0" w:line="258" w:lineRule="auto"/>
        <w:tabs>
          <w:tab w:leader="none" w:pos="522" w:val="left"/>
        </w:tabs>
        <w:numPr>
          <w:ilvl w:val="0"/>
          <w:numId w:val="5"/>
        </w:numPr>
        <w:rPr>
          <w:rFonts w:ascii="Arial" w:cs="Arial" w:eastAsia="Arial" w:hAnsi="Arial"/>
          <w:sz w:val="21"/>
          <w:szCs w:val="21"/>
          <w:color w:val="auto"/>
        </w:rPr>
      </w:pPr>
      <w:r>
        <w:rPr>
          <w:rFonts w:ascii="Arial" w:cs="Arial" w:eastAsia="Arial" w:hAnsi="Arial"/>
          <w:sz w:val="21"/>
          <w:szCs w:val="21"/>
          <w:color w:val="auto"/>
        </w:rPr>
        <w:t xml:space="preserve">556-5248 (domestic toll-free) or (720) 545-0029 (international toll). Fluidigm will also provide a live stream of its Q3 2015 financial results conference call for investors at: http://investors.fluidigm.com. The link will not be active until 4:45 p.m. Eastern Time on October 29, 2015. A telephone replay of the teleconference will be available 90 minutes after the end of the call at (855) 859-2056 (domestic toll-free), or (404) 537-3406 (international toll), access code 45143274. The conference call will also be archived on the Fluidigm investor’s page at: </w:t>
      </w:r>
      <w:r>
        <w:rPr>
          <w:rFonts w:ascii="Arial" w:cs="Arial" w:eastAsia="Arial" w:hAnsi="Arial"/>
          <w:sz w:val="21"/>
          <w:szCs w:val="21"/>
          <w:u w:val="single" w:color="auto"/>
          <w:color w:val="auto"/>
        </w:rPr>
        <w:t>http://investors.fluidigm.com</w:t>
      </w:r>
      <w:r>
        <w:rPr>
          <w:rFonts w:ascii="Arial" w:cs="Arial" w:eastAsia="Arial" w:hAnsi="Arial"/>
          <w:sz w:val="21"/>
          <w:szCs w:val="2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28"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Fluidigm has presented certain financial information in accordance with GAAP and also on a non-GAAP basis for the third quarter of 2015 and 2014. Management believes that non-GAAP financial measures, taken in conjunction with GAAP financial measures, provide useful information for both management and investors by excluding certain non-cash and other expenses that are not indicative of the company’s core</w:t>
      </w:r>
    </w:p>
    <w:p>
      <w:pPr>
        <w:sectPr>
          <w:pgSz w:w="11900" w:h="16838" w:orient="portrait"/>
          <w:cols w:equalWidth="0" w:num="1">
            <w:col w:w="11420"/>
          </w:cols>
          <w:pgMar w:left="240" w:top="591" w:right="239" w:bottom="1440" w:gutter="0" w:footer="0" w:header="0"/>
        </w:sectPr>
      </w:pPr>
    </w:p>
    <w:bookmarkStart w:id="6" w:name="page7"/>
    <w:bookmarkEnd w:id="6"/>
    <w:p>
      <w:pPr>
        <w:spacing w:after="0" w:line="294" w:lineRule="auto"/>
        <w:rPr>
          <w:sz w:val="20"/>
          <w:szCs w:val="20"/>
          <w:color w:val="auto"/>
        </w:rPr>
      </w:pPr>
      <w:r>
        <w:rPr>
          <w:rFonts w:ascii="Arial" w:cs="Arial" w:eastAsia="Arial" w:hAnsi="Arial"/>
          <w:sz w:val="19"/>
          <w:szCs w:val="19"/>
          <w:color w:val="auto"/>
        </w:rPr>
        <w:t>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results are presented in the accompanying table of this release.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28"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relating to current estimates of 2015 total revenue, GAAP and non-GAAP operating expenses, stock-based compensation expense, depreciation and amortization expense, interest expense, capital spending, and currency related impact on 2015 revenue; anticipated trends relating to growth within Fluidigm’s single-cell proteomics product line, consumables pull-through range, contribution from new products, and results from core single-cell genomics instrumentation; and expectations regarding Fluidigm’s near-term performance and potential growth in 2016 and beyond. Forward-looking statements are subject to numerous risks and uncertainties that could cause actual results to differ materially from currently anticipated results, including but not limited to, risks relating to the future financial performance of Fluidigm’s product lines; challenges inherent in developing, manufacturing, launching, marketing, and selling new products; potential product performance and quality issues; the possible loss of key employees, customers, or suppliers; intellectual property risks, including risks relating to maintaining material in-licensed intellectual property rights; competition; Fluidigm’s research and development, sales, marketing, and distribution plans and capabilities;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uncertainties, and other information affecting Fluidigm’s business and operating results are contained in Fluidigm’s Quarterly Report on Form 10-Q for the quarter ended June 30, 2015, and other filings with the Securities and Exchange Commission. Additional information will also be set forth in Fluidigm’s Quarterly Report on Form 10-Q for the quarter ended September 30, 2015 to be filed with the Securities and Exchange Commission. These forward-looking statements speak only as of the date hereof. Fluidigm Corporation disclaims any obligation to update these forward-looking statements except as may be required by law.</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28" w:lineRule="exact"/>
        <w:rPr>
          <w:sz w:val="20"/>
          <w:szCs w:val="20"/>
          <w:color w:val="auto"/>
        </w:rPr>
      </w:pPr>
    </w:p>
    <w:p>
      <w:pPr>
        <w:ind w:right="180"/>
        <w:spacing w:after="0" w:line="244" w:lineRule="auto"/>
        <w:rPr>
          <w:sz w:val="20"/>
          <w:szCs w:val="20"/>
          <w:color w:val="auto"/>
        </w:rPr>
      </w:pPr>
      <w:r>
        <w:rPr>
          <w:rFonts w:ascii="Arial" w:cs="Arial" w:eastAsia="Arial" w:hAnsi="Arial"/>
          <w:sz w:val="22"/>
          <w:szCs w:val="22"/>
          <w:color w:val="auto"/>
        </w:rPr>
        <w:t>Fluidigm (NASDAQ:FLDM) develops, manufactures, and markets life science analytical and preparatory systems for growth markets such as single-cell biology and production genomics. We sell to leading academic institutions, clinical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95"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w:t>
      </w:r>
    </w:p>
    <w:p>
      <w:pPr>
        <w:sectPr>
          <w:pgSz w:w="11900" w:h="16838" w:orient="portrait"/>
          <w:cols w:equalWidth="0" w:num="1">
            <w:col w:w="11380"/>
          </w:cols>
          <w:pgMar w:left="240" w:top="591" w:right="279" w:bottom="1440" w:gutter="0" w:footer="0" w:header="0"/>
        </w:sectPr>
      </w:pPr>
    </w:p>
    <w:bookmarkStart w:id="7" w:name="page8"/>
    <w:bookmarkEnd w:id="7"/>
    <w:p>
      <w:pPr>
        <w:spacing w:after="0" w:line="263" w:lineRule="auto"/>
        <w:rPr>
          <w:sz w:val="20"/>
          <w:szCs w:val="20"/>
          <w:color w:val="auto"/>
        </w:rPr>
      </w:pPr>
      <w:r>
        <w:rPr>
          <w:rFonts w:ascii="Arial" w:cs="Arial" w:eastAsia="Arial" w:hAnsi="Arial"/>
          <w:sz w:val="22"/>
          <w:szCs w:val="22"/>
          <w:color w:val="auto"/>
        </w:rPr>
        <w:t>disclosure obligations under Regulation FD. Therefore, investors should monitor our website and our social media accounts in addition to following our press releases, SEC filings, public conference calls, and webcasts.</w:t>
      </w:r>
    </w:p>
    <w:p>
      <w:pPr>
        <w:spacing w:after="0" w:line="175"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Fluidigm, the Fluidigm logo, Helios, CyTOF, Biomark, C1, Polaris, and Callisto are trademarks or registered trademarks of Fluidigm Corporation.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Fluidigm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Ana Petrovic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Director, Investor Relations &amp; Strategy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650.243.6628 (Office)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ana.petrovic@fluidigm.com</w:t>
      </w:r>
    </w:p>
    <w:p>
      <w:pPr>
        <w:sectPr>
          <w:pgSz w:w="11900" w:h="16838" w:orient="portrait"/>
          <w:cols w:equalWidth="0" w:num="1">
            <w:col w:w="10940"/>
          </w:cols>
          <w:pgMar w:left="240" w:top="591" w:right="7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15,057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15,576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42,757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42,161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34,165</w:t>
            </w:r>
          </w:p>
        </w:tc>
        <w:tc>
          <w:tcPr>
            <w:tcW w:w="0" w:type="dxa"/>
            <w:vAlign w:val="bottom"/>
          </w:tcPr>
          <w:p>
            <w:pPr>
              <w:spacing w:after="0"/>
              <w:rPr>
                <w:sz w:val="1"/>
                <w:szCs w:val="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8"/>
                <w:szCs w:val="18"/>
                <w:color w:val="auto"/>
              </w:rPr>
              <w:t>Product revenue</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25,101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27,291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74,749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76,326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License and grant revenue</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82,966</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product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27,759</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Cost of service revenue</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31,707</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19,558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52,486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Acquisition-related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Gain on escrow settlement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124,969</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(42,003)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(45,873)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(40,436)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(41,886)</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28,758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28,085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28,677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27,613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1"/>
              </w:rPr>
              <w:t>September 30, 2015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7"/>
              </w:rPr>
              <w:t xml:space="preserve">December 31, 2014 </w:t>
            </w:r>
            <w:r>
              <w:rPr>
                <w:rFonts w:ascii="Arial" w:cs="Arial" w:eastAsia="Arial" w:hAnsi="Arial"/>
                <w:sz w:val="8"/>
                <w:szCs w:val="8"/>
                <w:b w:val="1"/>
                <w:bCs w:val="1"/>
                <w:color w:val="auto"/>
                <w:w w:val="97"/>
              </w:rPr>
              <w:t>(1)</w:t>
            </w:r>
          </w:p>
        </w:tc>
      </w:tr>
      <w:tr>
        <w:trPr>
          <w:trHeight w:val="264"/>
        </w:trPr>
        <w:tc>
          <w:tcPr>
            <w:tcW w:w="7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33,713</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68,253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81,588</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15,991</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145,450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155,897</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27,499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14,358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13,889</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93,850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102,200</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378,487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407,559</w:t>
            </w:r>
          </w:p>
        </w:tc>
      </w:tr>
      <w:tr>
        <w:trPr>
          <w:trHeight w:val="67"/>
        </w:trPr>
        <w:tc>
          <w:tcPr>
            <w:tcW w:w="77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31"/>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5,919</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6,874</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8,179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6,928</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29,385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195,626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195,455</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26,152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7,136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6,148</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257,140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124,126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150,419</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378,487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407,559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Derived from audited consolidated financial statements</w:t>
      </w:r>
    </w:p>
    <w:p>
      <w:pPr>
        <w:sectPr>
          <w:pgSz w:w="11900" w:h="16838" w:orient="portrait"/>
          <w:cols w:equalWidth="0" w:num="1">
            <w:col w:w="11420"/>
          </w:cols>
          <w:pgMar w:left="240" w:top="742"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59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(40,436)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(41,886)</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2,922</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12,850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15,280</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developed technology</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7,000</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Non-cash charges related to acquisition</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3,446</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escrow settlement</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Gain from sale of investment in Verinata</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non-cash item</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Changes in assets and liabilities, net</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(11,410)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(5,611)</w:t>
            </w:r>
          </w:p>
        </w:tc>
      </w:tr>
      <w:tr>
        <w:trPr>
          <w:trHeight w:val="27"/>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(30,329)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(19,098)</w:t>
            </w:r>
          </w:p>
        </w:tc>
      </w:tr>
      <w:tr>
        <w:trPr>
          <w:trHeight w:val="284"/>
        </w:trPr>
        <w:tc>
          <w:tcPr>
            <w:tcW w:w="7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Acquisition, net of cash acquired</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(113,190)</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(53,704)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(106,672)</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sales and maturities of investments</w:t>
            </w: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77,319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41,412</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 in Verinata</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Purchase of intangible assets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(5,919)</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20,900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(184,037)</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78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issuance of convertible notes, net</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195,212</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4,084</w:t>
            </w:r>
          </w:p>
        </w:tc>
      </w:tr>
      <w:tr>
        <w:trPr>
          <w:trHeight w:val="27"/>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199,296</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7"/>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33,713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35,261</w:t>
            </w:r>
          </w:p>
        </w:tc>
      </w:tr>
      <w:tr>
        <w:trPr>
          <w:trHeight w:val="27"/>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28,817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30,939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80" w:top="58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FLUIDIGM CORPORATION</w:t>
      </w:r>
    </w:p>
    <w:p>
      <w:pPr>
        <w:jc w:val="center"/>
        <w:ind w:right="40"/>
        <w:spacing w:after="0" w:line="204" w:lineRule="auto"/>
        <w:rPr>
          <w:sz w:val="20"/>
          <w:szCs w:val="20"/>
          <w:color w:val="auto"/>
        </w:rPr>
      </w:pPr>
      <w:r>
        <w:rPr>
          <w:rFonts w:ascii="Arial" w:cs="Arial" w:eastAsia="Arial" w:hAnsi="Arial"/>
          <w:sz w:val="18"/>
          <w:szCs w:val="18"/>
          <w:b w:val="1"/>
          <w:bCs w:val="1"/>
          <w:color w:val="auto"/>
        </w:rPr>
        <w:t>RECONCILIATION OF GAAP TO NON-GAAP FINANCIAL INFORMATION</w:t>
      </w:r>
      <w:r>
        <w:rPr>
          <w:rFonts w:ascii="Arial" w:cs="Arial" w:eastAsia="Arial" w:hAnsi="Arial"/>
          <w:sz w:val="25"/>
          <w:szCs w:val="25"/>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13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(GAAP)</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(9,269)</w:t>
            </w:r>
          </w:p>
        </w:tc>
        <w:tc>
          <w:tcPr>
            <w:tcW w:w="3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(13,790)</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(40,436)</w:t>
            </w: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(41,886)</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Acquisition-related expenses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escrow settlement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6,024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12,850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15,280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developed technology</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Non-cash charge for sale of inventory revalued at the date of acquisition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acquisition related income taxes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Gain on sale of investment in Verinata</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property and equipment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Net loss (Non-GAAP)</w:t>
            </w:r>
          </w:p>
        </w:tc>
        <w:tc>
          <w:tcPr>
            <w:tcW w:w="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(4,438)</w:t>
            </w:r>
          </w:p>
        </w:tc>
        <w:tc>
          <w:tcPr>
            <w:tcW w:w="12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(3,082)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(17,489)</w:t>
            </w:r>
          </w:p>
        </w:tc>
        <w:tc>
          <w:tcPr>
            <w:tcW w:w="10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67"/>
        </w:trPr>
        <w:tc>
          <w:tcPr>
            <w:tcW w:w="604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0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2"/>
              </w:rPr>
              <w:t>Shares used in net loss per share calculation - basic and diluted (GAAP and Non-</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28,758</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28,085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27,613</w:t>
            </w: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40"/>
              <w:spacing w:after="0"/>
              <w:rPr>
                <w:sz w:val="20"/>
                <w:szCs w:val="20"/>
                <w:color w:val="auto"/>
              </w:rPr>
            </w:pPr>
            <w:r>
              <w:rPr>
                <w:rFonts w:ascii="Arial" w:cs="Arial" w:eastAsia="Arial" w:hAnsi="Arial"/>
                <w:sz w:val="18"/>
                <w:szCs w:val="18"/>
                <w:color w:val="auto"/>
              </w:rPr>
              <w:t>Net loss per share - basic and diluted (GAAP)</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40" w:type="dxa"/>
            <w:vAlign w:val="bottom"/>
            <w:vMerge w:val="continue"/>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3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(0.49)</w:t>
            </w:r>
          </w:p>
        </w:tc>
        <w:tc>
          <w:tcPr>
            <w:tcW w:w="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67"/>
        </w:trPr>
        <w:tc>
          <w:tcPr>
            <w:tcW w:w="604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 basic and diluted (Non-GAAP)</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3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(0.61)</w:t>
            </w: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060" w:type="dxa"/>
            <w:vAlign w:val="bottom"/>
            <w:gridSpan w:val="15"/>
          </w:tcPr>
          <w:p>
            <w:pPr>
              <w:ind w:left="2060"/>
              <w:spacing w:after="0"/>
              <w:rPr>
                <w:sz w:val="20"/>
                <w:szCs w:val="20"/>
                <w:color w:val="auto"/>
              </w:rPr>
            </w:pPr>
            <w:r>
              <w:rPr>
                <w:rFonts w:ascii="Arial" w:cs="Arial" w:eastAsia="Arial" w:hAnsi="Arial"/>
                <w:sz w:val="18"/>
                <w:szCs w:val="18"/>
                <w:b w:val="1"/>
                <w:bCs w:val="1"/>
                <w:color w:val="auto"/>
              </w:rPr>
              <w:t>ITEMIZED RECONCILIATION BETWEEN GAAP AND NON-GAAP PRODUCT MARGIN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6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8"/>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211"/>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margin (GAAP)</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14,638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16,733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43,237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48,567</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Amortization of developed technology</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8,400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775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Non-cash charge for sale of inventory revalued at the date of acquisition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412</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1,420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9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 margin (Non-GAAP)</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18,110</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20,306</w:t>
            </w:r>
          </w:p>
        </w:tc>
        <w:tc>
          <w:tcPr>
            <w:tcW w:w="10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53,832</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58,166</w:t>
            </w:r>
          </w:p>
        </w:tc>
        <w:tc>
          <w:tcPr>
            <w:tcW w:w="0" w:type="dxa"/>
            <w:vAlign w:val="bottom"/>
          </w:tcPr>
          <w:p>
            <w:pPr>
              <w:spacing w:after="0"/>
              <w:rPr>
                <w:sz w:val="1"/>
                <w:szCs w:val="1"/>
                <w:color w:val="auto"/>
              </w:rPr>
            </w:pPr>
          </w:p>
        </w:tc>
      </w:tr>
      <w:tr>
        <w:trPr>
          <w:trHeight w:val="284"/>
        </w:trPr>
        <w:tc>
          <w:tcPr>
            <w:tcW w:w="60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Product margin percentage (GAAP)</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 margin percentage (Non-GAAP)</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60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ITEMIZED RECONCILIATION BETWEEN GAAP AND NON-GAAP OPERATING EXPENSES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50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Three Months Ended September 30,</w:t>
            </w:r>
          </w:p>
        </w:tc>
        <w:tc>
          <w:tcPr>
            <w:tcW w:w="180" w:type="dxa"/>
            <w:vAlign w:val="bottom"/>
          </w:tcPr>
          <w:p>
            <w:pPr>
              <w:spacing w:after="0"/>
              <w:rPr>
                <w:sz w:val="16"/>
                <w:szCs w:val="16"/>
                <w:color w:val="auto"/>
              </w:rPr>
            </w:pPr>
          </w:p>
        </w:tc>
        <w:tc>
          <w:tcPr>
            <w:tcW w:w="2440" w:type="dxa"/>
            <w:vAlign w:val="bottom"/>
            <w:gridSpan w:val="5"/>
          </w:tcPr>
          <w:p>
            <w:pPr>
              <w:jc w:val="right"/>
              <w:ind w:right="132"/>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4"/>
        </w:trPr>
        <w:tc>
          <w:tcPr>
            <w:tcW w:w="3440" w:type="dxa"/>
            <w:vAlign w:val="bottom"/>
            <w:tcBorders>
              <w:bottom w:val="single" w:sz="8" w:color="CCEEFF"/>
            </w:tcBorders>
          </w:tcPr>
          <w:p>
            <w:pPr>
              <w:spacing w:after="0"/>
              <w:rPr>
                <w:sz w:val="22"/>
                <w:szCs w:val="22"/>
                <w:color w:val="auto"/>
              </w:rPr>
            </w:pPr>
          </w:p>
        </w:tc>
        <w:tc>
          <w:tcPr>
            <w:tcW w:w="28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(GAAP)</w:t>
            </w:r>
          </w:p>
        </w:tc>
        <w:tc>
          <w:tcPr>
            <w:tcW w:w="2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94,889</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Acquisition-related expenses</w:t>
            </w:r>
          </w:p>
        </w:tc>
        <w:tc>
          <w:tcPr>
            <w:tcW w:w="2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(10,696)</w:t>
            </w:r>
          </w:p>
        </w:tc>
      </w:tr>
      <w:tr>
        <w:trPr>
          <w:trHeight w:val="27"/>
        </w:trPr>
        <w:tc>
          <w:tcPr>
            <w:tcW w:w="34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escrow settlement</w:t>
            </w:r>
          </w:p>
        </w:tc>
        <w:tc>
          <w:tcPr>
            <w:tcW w:w="2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(11,430)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(14,131)</w:t>
            </w:r>
          </w:p>
        </w:tc>
      </w:tr>
      <w:tr>
        <w:trPr>
          <w:trHeight w:val="27"/>
        </w:trPr>
        <w:tc>
          <w:tcPr>
            <w:tcW w:w="34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w w:val="96"/>
              </w:rPr>
              <w:t>Loss on disposal of property and equipment</w:t>
            </w:r>
          </w:p>
        </w:tc>
        <w:tc>
          <w:tcPr>
            <w:tcW w:w="2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(Non-GAAP)</w:t>
            </w:r>
          </w:p>
        </w:tc>
        <w:tc>
          <w:tcPr>
            <w:tcW w:w="2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24,814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67,792</w:t>
            </w:r>
          </w:p>
        </w:tc>
      </w:tr>
      <w:tr>
        <w:trPr>
          <w:trHeight w:val="20"/>
        </w:trPr>
        <w:tc>
          <w:tcPr>
            <w:tcW w:w="630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33"/>
        </w:trPr>
        <w:tc>
          <w:tcPr>
            <w:tcW w:w="8800" w:type="dxa"/>
            <w:vAlign w:val="bottom"/>
            <w:gridSpan w:val="8"/>
          </w:tcPr>
          <w:p>
            <w:pPr>
              <w:jc w:val="center"/>
              <w:ind w:left="2550"/>
              <w:spacing w:after="0"/>
              <w:rPr>
                <w:sz w:val="20"/>
                <w:szCs w:val="20"/>
                <w:color w:val="auto"/>
              </w:rPr>
            </w:pPr>
            <w:r>
              <w:rPr>
                <w:rFonts w:ascii="Arial" w:cs="Arial" w:eastAsia="Arial" w:hAnsi="Arial"/>
                <w:sz w:val="18"/>
                <w:szCs w:val="18"/>
                <w:b w:val="1"/>
                <w:bCs w:val="1"/>
                <w:color w:val="auto"/>
              </w:rPr>
              <w:t>RECONCILIATION OF GAAP TO NON-GAAP REVENUE GROWTH</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5360" w:type="dxa"/>
            <w:vAlign w:val="bottom"/>
            <w:gridSpan w:val="7"/>
          </w:tcPr>
          <w:p>
            <w:pPr>
              <w:jc w:val="center"/>
              <w:ind w:right="820"/>
              <w:spacing w:after="0"/>
              <w:rPr>
                <w:sz w:val="20"/>
                <w:szCs w:val="20"/>
                <w:color w:val="auto"/>
              </w:rPr>
            </w:pPr>
            <w:r>
              <w:rPr>
                <w:rFonts w:ascii="Arial" w:cs="Arial" w:eastAsia="Arial" w:hAnsi="Arial"/>
                <w:sz w:val="18"/>
                <w:szCs w:val="18"/>
                <w:b w:val="1"/>
                <w:bCs w:val="1"/>
                <w:color w:val="auto"/>
              </w:rPr>
              <w:t>EXCLUDING THE IMPACT OF FOREIGN EXCHANGE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p>
        </w:tc>
        <w:tc>
          <w:tcPr>
            <w:tcW w:w="412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89"/>
              </w:rPr>
              <w:t>For the three months ended September 30, 2015</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35"/>
        </w:trPr>
        <w:tc>
          <w:tcPr>
            <w:tcW w:w="34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growth, reported</w:t>
            </w:r>
          </w:p>
        </w:tc>
        <w:tc>
          <w:tcPr>
            <w:tcW w:w="2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Impact of foreign exchange</w:t>
            </w:r>
          </w:p>
        </w:tc>
        <w:tc>
          <w:tcPr>
            <w:tcW w:w="2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34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Non-GAAP revenue growth, constant currency</w:t>
            </w:r>
          </w:p>
        </w:tc>
        <w:tc>
          <w:tcPr>
            <w:tcW w:w="2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3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Acquisition-related expenses include charges for accelerated vesting of certain DVS restricted stock and options; consulting, legal, and investment banking fees; and other expenses.</w:t>
      </w:r>
    </w:p>
    <w:p>
      <w:pPr>
        <w:spacing w:after="0" w:line="378" w:lineRule="exact"/>
        <w:rPr>
          <w:sz w:val="20"/>
          <w:szCs w:val="20"/>
          <w:color w:val="auto"/>
        </w:rPr>
      </w:pPr>
    </w:p>
    <w:p>
      <w:pPr>
        <w:jc w:val="center"/>
        <w:spacing w:after="0" w:line="252" w:lineRule="auto"/>
        <w:rPr>
          <w:sz w:val="20"/>
          <w:szCs w:val="20"/>
          <w:color w:val="auto"/>
        </w:rPr>
      </w:pPr>
      <w:r>
        <w:rPr>
          <w:rFonts w:ascii="Arial" w:cs="Arial" w:eastAsia="Arial" w:hAnsi="Arial"/>
          <w:sz w:val="20"/>
          <w:szCs w:val="20"/>
          <w:b w:val="1"/>
          <w:bCs w:val="1"/>
          <w:color w:val="auto"/>
        </w:rPr>
        <w:t>RECLASSIFICATION OF PREVIOUSLY REPORTED INSTRUMENT REVENUE TO CONFORM WITH CURRENT PERIOD PRESENTATION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September 30,</w:t>
            </w:r>
          </w:p>
        </w:tc>
        <w:tc>
          <w:tcPr>
            <w:tcW w:w="24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December 31,</w:t>
            </w:r>
          </w:p>
        </w:tc>
        <w:tc>
          <w:tcPr>
            <w:tcW w:w="18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June 30,</w:t>
            </w:r>
          </w:p>
        </w:tc>
        <w:tc>
          <w:tcPr>
            <w:tcW w:w="22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1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Instruments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15,057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14,532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13,168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13,391</w:t>
            </w:r>
          </w:p>
        </w:tc>
        <w:tc>
          <w:tcPr>
            <w:tcW w:w="0" w:type="dxa"/>
            <w:vAlign w:val="bottom"/>
          </w:tcPr>
          <w:p>
            <w:pPr>
              <w:spacing w:after="0"/>
              <w:rPr>
                <w:sz w:val="1"/>
                <w:szCs w:val="1"/>
                <w:color w:val="auto"/>
              </w:rPr>
            </w:pPr>
          </w:p>
        </w:tc>
      </w:tr>
      <w:tr>
        <w:trPr>
          <w:trHeight w:val="243"/>
        </w:trPr>
        <w:tc>
          <w:tcPr>
            <w:tcW w:w="1540" w:type="dxa"/>
            <w:vAlign w:val="bottom"/>
          </w:tcPr>
          <w:p>
            <w:pPr>
              <w:ind w:left="120"/>
              <w:spacing w:after="0"/>
              <w:rPr>
                <w:sz w:val="20"/>
                <w:szCs w:val="20"/>
                <w:color w:val="auto"/>
              </w:rPr>
            </w:pPr>
            <w:r>
              <w:rPr>
                <w:rFonts w:ascii="Arial" w:cs="Arial" w:eastAsia="Arial" w:hAnsi="Arial"/>
                <w:sz w:val="18"/>
                <w:szCs w:val="18"/>
                <w:color w:val="auto"/>
              </w:rPr>
              <w:t>Consumables</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10,044</w:t>
            </w:r>
          </w:p>
        </w:tc>
        <w:tc>
          <w:tcPr>
            <w:tcW w:w="2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11,122</w:t>
            </w:r>
          </w:p>
        </w:tc>
        <w:tc>
          <w:tcPr>
            <w:tcW w:w="24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10,826</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12,653</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11,715</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12,108</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25,101</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25,654</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23,994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23,733</w:t>
            </w:r>
          </w:p>
        </w:tc>
        <w:tc>
          <w:tcPr>
            <w:tcW w:w="0" w:type="dxa"/>
            <w:vAlign w:val="bottom"/>
          </w:tcPr>
          <w:p>
            <w:pPr>
              <w:spacing w:after="0"/>
              <w:rPr>
                <w:sz w:val="1"/>
                <w:szCs w:val="1"/>
                <w:color w:val="auto"/>
              </w:rPr>
            </w:pPr>
          </w:p>
        </w:tc>
      </w:tr>
      <w:tr>
        <w:trPr>
          <w:trHeight w:val="243"/>
        </w:trPr>
        <w:tc>
          <w:tcPr>
            <w:tcW w:w="1540" w:type="dxa"/>
            <w:vAlign w:val="bottom"/>
          </w:tcPr>
          <w:p>
            <w:pPr>
              <w:ind w:left="120"/>
              <w:spacing w:after="0"/>
              <w:rPr>
                <w:sz w:val="20"/>
                <w:szCs w:val="20"/>
                <w:color w:val="auto"/>
              </w:rPr>
            </w:pPr>
            <w:r>
              <w:rPr>
                <w:rFonts w:ascii="Arial" w:cs="Arial" w:eastAsia="Arial" w:hAnsi="Arial"/>
                <w:sz w:val="18"/>
                <w:szCs w:val="18"/>
                <w:color w:val="auto"/>
              </w:rPr>
              <w:t>Service revenue</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3,487</w:t>
            </w:r>
          </w:p>
        </w:tc>
        <w:tc>
          <w:tcPr>
            <w:tcW w:w="2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2,904</w:t>
            </w:r>
          </w:p>
        </w:tc>
        <w:tc>
          <w:tcPr>
            <w:tcW w:w="24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2,652</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2,678</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2,273</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2,177</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License and grant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97"/>
        </w:trPr>
        <w:tc>
          <w:tcPr>
            <w:tcW w:w="1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28,643</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28,618</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26,729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29,635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27,607</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25,724</w:t>
            </w: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540" w:type="dxa"/>
            <w:vAlign w:val="bottom"/>
          </w:tcPr>
          <w:p>
            <w:pPr>
              <w:ind w:left="40"/>
              <w:spacing w:after="0"/>
              <w:rPr>
                <w:sz w:val="20"/>
                <w:szCs w:val="20"/>
                <w:color w:val="auto"/>
              </w:rPr>
            </w:pPr>
            <w:r>
              <w:rPr>
                <w:rFonts w:ascii="Arial" w:cs="Arial" w:eastAsia="Arial" w:hAnsi="Arial"/>
                <w:sz w:val="18"/>
                <w:szCs w:val="18"/>
                <w:color w:val="auto"/>
              </w:rPr>
              <w:t>Year-over-year</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40"/>
              <w:spacing w:after="0"/>
              <w:rPr>
                <w:sz w:val="20"/>
                <w:szCs w:val="20"/>
                <w:color w:val="auto"/>
              </w:rPr>
            </w:pPr>
            <w:r>
              <w:rPr>
                <w:rFonts w:ascii="Arial" w:cs="Arial" w:eastAsia="Arial" w:hAnsi="Arial"/>
                <w:sz w:val="18"/>
                <w:szCs w:val="18"/>
                <w:color w:val="auto"/>
                <w:w w:val="96"/>
              </w:rPr>
              <w:t>instrument revenue</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40"/>
              <w:spacing w:after="0"/>
              <w:rPr>
                <w:sz w:val="20"/>
                <w:szCs w:val="20"/>
                <w:color w:val="auto"/>
              </w:rPr>
            </w:pPr>
            <w:r>
              <w:rPr>
                <w:rFonts w:ascii="Arial" w:cs="Arial" w:eastAsia="Arial" w:hAnsi="Arial"/>
                <w:sz w:val="18"/>
                <w:szCs w:val="18"/>
                <w:color w:val="auto"/>
              </w:rPr>
              <w:t>growth</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Year-over-year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instrument and</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0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877"/>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2019-12-07T23:01:24Z</dcterms:created>
  <dcterms:modified xsi:type="dcterms:W3CDTF">2019-12-07T23:01:24Z</dcterms:modified>
</cp:coreProperties>
</file>