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001-34180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ind w:left="6040"/>
        <w:spacing w:after="0"/>
        <w:rPr>
          <w:sz w:val="20"/>
          <w:szCs w:val="20"/>
          <w:color w:val="auto"/>
        </w:rPr>
      </w:pPr>
      <w:r>
        <w:rPr>
          <w:rFonts w:ascii="Arial" w:cs="Arial" w:eastAsia="Arial" w:hAnsi="Arial"/>
          <w:sz w:val="16"/>
          <w:szCs w:val="16"/>
          <w:b w:val="1"/>
          <w:bCs w:val="1"/>
          <w:color w:val="auto"/>
        </w:rPr>
        <w:t>Rule 14a-12 under the Securities Exchange Act of 1934, as amended</w:t>
      </w:r>
    </w:p>
    <w:p>
      <w:pPr>
        <w:spacing w:after="0" w:line="32" w:lineRule="exact"/>
        <w:rPr>
          <w:sz w:val="24"/>
          <w:szCs w:val="24"/>
          <w:color w:val="auto"/>
        </w:rPr>
      </w:pPr>
    </w:p>
    <w:p>
      <w:pPr>
        <w:ind w:left="8520"/>
        <w:spacing w:after="0"/>
        <w:rPr>
          <w:sz w:val="20"/>
          <w:szCs w:val="20"/>
          <w:color w:val="auto"/>
        </w:rPr>
      </w:pPr>
      <w:r>
        <w:rPr>
          <w:rFonts w:ascii="Arial" w:cs="Arial" w:eastAsia="Arial" w:hAnsi="Arial"/>
          <w:sz w:val="16"/>
          <w:szCs w:val="16"/>
          <w:b w:val="1"/>
          <w:bCs w:val="1"/>
          <w:color w:val="auto"/>
        </w:rPr>
        <w:t>Subject Company: SomaLogic, Inc.</w:t>
      </w:r>
    </w:p>
    <w:p>
      <w:pPr>
        <w:spacing w:after="0" w:line="32" w:lineRule="exact"/>
        <w:rPr>
          <w:sz w:val="24"/>
          <w:szCs w:val="24"/>
          <w:color w:val="auto"/>
        </w:rPr>
      </w:pPr>
    </w:p>
    <w:p>
      <w:pPr>
        <w:ind w:left="8760"/>
        <w:spacing w:after="0"/>
        <w:rPr>
          <w:sz w:val="20"/>
          <w:szCs w:val="20"/>
          <w:color w:val="auto"/>
        </w:rPr>
      </w:pPr>
      <w:r>
        <w:rPr>
          <w:rFonts w:ascii="Arial" w:cs="Arial" w:eastAsia="Arial" w:hAnsi="Arial"/>
          <w:sz w:val="16"/>
          <w:szCs w:val="16"/>
          <w:b w:val="1"/>
          <w:bCs w:val="1"/>
          <w:color w:val="auto"/>
        </w:rPr>
        <w:t>Commission File No.: 001-40090</w:t>
      </w:r>
    </w:p>
    <w:p>
      <w:pPr>
        <w:spacing w:after="0" w:line="23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November 7, 2023, Standard BioTools Inc. (“Standard BioTools”) issued a press release reporting its financial results for the third quarter ended September 30, 2023 (the “Press Release”) and hosted a conference call and webcast to discuss the third quarter 2023 financial results and operational progress as well as to provide additional color on its strategic actions (the “Conference Call”), in which the following remarks were made about the pending merger with SomaLogic, Inc. (“SomaLogic”).</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Excerpts from Press Release</w:t>
      </w:r>
      <w:r>
        <w:rPr>
          <w:rFonts w:ascii="Arial" w:cs="Arial" w:eastAsia="Arial" w:hAnsi="Arial"/>
          <w:sz w:val="18"/>
          <w:szCs w:val="18"/>
          <w:color w:val="auto"/>
        </w:rPr>
        <w:t>:</w:t>
      </w:r>
    </w:p>
    <w:p>
      <w:pPr>
        <w:spacing w:after="0" w:line="229"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Egholm added, “That work is establishing a platform that will support our evolution into a diversified leader in life science tools. Our planned merger with SomaLogic not only activates and fuels our strategic objective to unlock value in a highly fragmented space, it also enhances revenue growth with new technological and commercial opportunities and creates synergies and scale that will accelerate our combined path to profitability. To truly unleash breakthroughs in human health, we believe that life science research needs a comprehensive platform of cutting-edge technology backed by a customer-focused organization with deep, large-enterprise expertise. SBI is positioning itself to best answer that call.”</w:t>
      </w:r>
    </w:p>
    <w:p>
      <w:pPr>
        <w:spacing w:after="0" w:line="176"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Corporate: On October 4, 2023, the Company announced an all-stock merger with SomaLogic (Nasdaq: SLGC), which is expected to build a diversified leader in life sciences tools. The Company expects to close the merger in the first quarter of 2024, subject to approval by both companies’ stockholders, expiration of the waiting period under the Hart-Scott-Rodino Antitrust Improvements Act of 1976 and satisfaction of other customary closing conditions.</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Excerpts from Conference Call</w:t>
      </w:r>
      <w:r>
        <w:rPr>
          <w:rFonts w:ascii="Arial" w:cs="Arial" w:eastAsia="Arial" w:hAnsi="Arial"/>
          <w:sz w:val="18"/>
          <w:szCs w:val="18"/>
          <w:color w:val="auto"/>
        </w:rPr>
        <w:t>:</w:t>
      </w:r>
    </w:p>
    <w:p>
      <w:pPr>
        <w:spacing w:after="0" w:line="22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“It has been an exciting month since we announced the transaction. We have been on the road and we are very pleased with the reception we are receiving. We are confident that investors of both companies will see the compelling long-term value proposition this transaction brings, with the expectation of near and long-term financial benefits and incremental growth through the combination of our two companies.</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We’re making important progress as we work toward close, which is on track for the first quarter of 2024. We expect to file our preliminary proxy statement in the coming days and we’re looking forward to continued conversations with our shareholders.</w:t>
      </w:r>
    </w:p>
    <w:p>
      <w:pPr>
        <w:spacing w:after="0" w:line="170"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With the third quarter now behind us, we are increasingly confident in the strategic rationale for the combination and the long-term financial and synergy targets we have provided. With SBI’s stronghold in academic research settings and SomaLogic’s stronghold in biopharmaceutical research, our customer bases overlap minimally. This paves the path toward lucrative new and expanded relationships for both of us, and an improved go-forward growth picture for both companies’ shareholders. Those benefits will fuel an expected double-digit revenue growth profile over at least the next three years.</w:t>
      </w:r>
    </w:p>
    <w:p>
      <w:pPr>
        <w:spacing w:after="0" w:line="157"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We are working closely with the SomaLogic team to drill down further and organize the synergy opportunity, which we plan to share as we get closer to closing. We expect that through the elimination of redundant public company and G&amp;A costs and the company-wide, continued application of LEAN conversion and SBS operating principles, the merger will deliver approximately $80 million in annual cost synergies by 2026 compared to our current combined operating expense run rate for the first half of 2023. And assuming a Q1 close, our combined entity is expected to have over $500 million in cash to self-fund continued organic and inorganic growth.”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November 7,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2023-11-08T05:13:16Z</dcterms:created>
  <dcterms:modified xsi:type="dcterms:W3CDTF">2023-11-08T05:13:16Z</dcterms:modified>
</cp:coreProperties>
</file>