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194310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August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FLUIDIGM CORPORATION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460" w:space="720"/>
            <w:col w:w="2380"/>
          </w:cols>
          <w:pgMar w:left="240" w:top="661" w:right="359" w:bottom="1440" w:gutter="0" w:footer="0" w:header="0"/>
          <w:type w:val="continuous"/>
        </w:sectPr>
      </w:pP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On August 1, 2017, the Tax Benefit Preservation Plan (the “Tax Plan”), dated as of November 21, 2016, between Fluidigm Corporation (the “Company”) and Computershare Inc. as rights agent, expired and all of the preferred share purchase rights (the “Rights”) distributed to the holders of the Company’s common stock pursuant to the Tax Plan expired.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dated August 2, 2017 announcing the expiration of the Tax Plan is attached hereto as Exhibit 99.1.</w:t>
      </w:r>
    </w:p>
    <w:p>
      <w:pPr>
        <w:spacing w:after="0" w:line="2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Principal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of the 2017 Employee Stock Purchase Plan</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At our annual meeting of stockholders held on August 1, 2017 (the “Annual Meeting”), our stockholders approved the 2017 Employee Stock Purchase Plan (the “Purchase Plan”). Our board of directors adopted the Purchase Plan at a meeting held on May 23, 2017, and the Purchase Plan became effective following stockholder approval at the Annual Meeting as disclosed in Item 5.07 below.</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description of the terms of the Purchase Plan can be found in “Proposal Number 4 — Approval of the 2017 Employee Stock Purchase Plan” in our definitive proxy statement as filed with the Securities and Exchange Commission (“SEC”) on June 29, 2017 (the “2017 Proxy”). The foregoing description and the description incorporated by reference from our 2017 Proxy are qualified in their entirety by reference to the Purchase Plan, a copy of which is filed as Exhibit 10.1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Retirement of Directors Evan Jones and John Young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disclosed in the 2017 Proxy, in connection with the Annual Meeting, Evan Jones and John Young retired from the board of directors. Evan Jones did not stand for re-election at the Annual Meeting, and John Young resigned effective as of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On August 1, 2017, the Company filed a Certificate of Elimination (the “Certificate of Elimination”) with the Secretary of State of the State of Delaware eliminating the Series A Participating Preferred Stock issuable upon exercise of the Rights and returning them to authorized but undesignated shares of the Company’s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 w:name="page4"/>
    <w:bookmarkEnd w:id="3"/>
    <w:p>
      <w:pPr>
        <w:ind w:right="440" w:firstLine="648"/>
        <w:spacing w:after="0" w:line="308" w:lineRule="auto"/>
        <w:rPr>
          <w:sz w:val="20"/>
          <w:szCs w:val="20"/>
          <w:color w:val="auto"/>
        </w:rPr>
      </w:pPr>
      <w:r>
        <w:rPr>
          <w:rFonts w:ascii="Arial" w:cs="Arial" w:eastAsia="Arial" w:hAnsi="Arial"/>
          <w:sz w:val="17"/>
          <w:szCs w:val="17"/>
          <w:color w:val="auto"/>
        </w:rPr>
        <w:t>The foregoing is a summary of the terms of the Certificate of Elimination. The summary does not purport to be complete and is qualified in its entirety by reference to the Certificate of Elimination, a copy of which is attached as Exhibit 3.1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held our 2017 annual meeting of stockholders on August 1, 2017. Of the 29,414,727 shares of our common stock outstanding as the record date of June 6, 2017, 26,747,777 shares were represented at the Annual Meeting, either in person or by proxy, constituting approximately 90.93% of the outstanding shares of common stock. The matters voted on at the Annual Meeting and the voting results with respect to each such matter are set forth below:</w:t>
      </w:r>
    </w:p>
    <w:p>
      <w:pPr>
        <w:spacing w:after="0" w:line="143" w:lineRule="exact"/>
        <w:rPr>
          <w:sz w:val="20"/>
          <w:szCs w:val="20"/>
          <w:color w:val="auto"/>
        </w:rPr>
      </w:pPr>
    </w:p>
    <w:p>
      <w:pPr>
        <w:ind w:right="740" w:firstLine="8"/>
        <w:spacing w:after="0" w:line="313" w:lineRule="auto"/>
        <w:tabs>
          <w:tab w:leader="none" w:pos="1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Election of Class I Directors. </w:t>
      </w:r>
      <w:r>
        <w:rPr>
          <w:rFonts w:ascii="Arial" w:cs="Arial" w:eastAsia="Arial" w:hAnsi="Arial"/>
          <w:sz w:val="17"/>
          <w:szCs w:val="17"/>
          <w:color w:val="auto"/>
        </w:rPr>
        <w:t>The following nominees were elected to serve as Class I directors, to hold office until our 2020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or until their respective successor has been duly elected and qualified or their earlier resignation or removal:</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2980" w:type="dxa"/>
            <w:vAlign w:val="bottom"/>
            <w:gridSpan w:val="3"/>
          </w:tcPr>
          <w:p>
            <w:pPr>
              <w:ind w:left="1480"/>
              <w:spacing w:after="0"/>
              <w:rPr>
                <w:sz w:val="20"/>
                <w:szCs w:val="20"/>
                <w:color w:val="auto"/>
              </w:rPr>
            </w:pPr>
            <w:r>
              <w:rPr>
                <w:rFonts w:ascii="Arial" w:cs="Arial" w:eastAsia="Arial" w:hAnsi="Arial"/>
                <w:sz w:val="18"/>
                <w:szCs w:val="18"/>
                <w:b w:val="1"/>
                <w:bCs w:val="1"/>
                <w:color w:val="auto"/>
              </w:rPr>
              <w:t>Votes For</w:t>
            </w:r>
          </w:p>
        </w:tc>
        <w:tc>
          <w:tcPr>
            <w:tcW w:w="2580" w:type="dxa"/>
            <w:vAlign w:val="bottom"/>
            <w:gridSpan w:val="3"/>
          </w:tcPr>
          <w:p>
            <w:pPr>
              <w:ind w:left="680"/>
              <w:spacing w:after="0"/>
              <w:rPr>
                <w:sz w:val="20"/>
                <w:szCs w:val="20"/>
                <w:color w:val="auto"/>
              </w:rPr>
            </w:pPr>
            <w:r>
              <w:rPr>
                <w:rFonts w:ascii="Arial" w:cs="Arial" w:eastAsia="Arial" w:hAnsi="Arial"/>
                <w:sz w:val="18"/>
                <w:szCs w:val="18"/>
                <w:b w:val="1"/>
                <w:bCs w:val="1"/>
                <w:color w:val="auto"/>
              </w:rPr>
              <w:t>Votes Withheld</w:t>
            </w:r>
          </w:p>
        </w:tc>
        <w:tc>
          <w:tcPr>
            <w:tcW w:w="2100" w:type="dxa"/>
            <w:vAlign w:val="bottom"/>
            <w:gridSpan w:val="2"/>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20"/>
        </w:trPr>
        <w:tc>
          <w:tcPr>
            <w:tcW w:w="6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64"/>
        </w:trPr>
        <w:tc>
          <w:tcPr>
            <w:tcW w:w="2920" w:type="dxa"/>
            <w:vAlign w:val="bottom"/>
            <w:gridSpan w:val="2"/>
          </w:tcPr>
          <w:p>
            <w:pPr>
              <w:spacing w:after="0"/>
              <w:rPr>
                <w:sz w:val="20"/>
                <w:szCs w:val="20"/>
                <w:color w:val="auto"/>
              </w:rPr>
            </w:pPr>
            <w:r>
              <w:rPr>
                <w:rFonts w:ascii="Arial" w:cs="Arial" w:eastAsia="Arial" w:hAnsi="Arial"/>
                <w:sz w:val="18"/>
                <w:szCs w:val="18"/>
                <w:color w:val="auto"/>
              </w:rPr>
              <w:t>Patrick S. Jones</w:t>
            </w:r>
          </w:p>
        </w:tc>
        <w:tc>
          <w:tcPr>
            <w:tcW w:w="2980" w:type="dxa"/>
            <w:vAlign w:val="bottom"/>
            <w:gridSpan w:val="3"/>
          </w:tcPr>
          <w:p>
            <w:pPr>
              <w:ind w:left="1500"/>
              <w:spacing w:after="0"/>
              <w:rPr>
                <w:sz w:val="20"/>
                <w:szCs w:val="20"/>
                <w:color w:val="auto"/>
              </w:rPr>
            </w:pPr>
            <w:r>
              <w:rPr>
                <w:rFonts w:ascii="Arial" w:cs="Arial" w:eastAsia="Arial" w:hAnsi="Arial"/>
                <w:sz w:val="18"/>
                <w:szCs w:val="18"/>
                <w:color w:val="auto"/>
              </w:rPr>
              <w:t>20,477,828</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2,631,036</w:t>
            </w:r>
          </w:p>
        </w:tc>
        <w:tc>
          <w:tcPr>
            <w:tcW w:w="720" w:type="dxa"/>
            <w:vAlign w:val="bottom"/>
          </w:tcPr>
          <w:p>
            <w:pPr>
              <w:spacing w:after="0"/>
              <w:rPr>
                <w:sz w:val="22"/>
                <w:szCs w:val="22"/>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3,638,913</w:t>
            </w:r>
          </w:p>
        </w:tc>
      </w:tr>
      <w:tr>
        <w:trPr>
          <w:trHeight w:val="243"/>
        </w:trPr>
        <w:tc>
          <w:tcPr>
            <w:tcW w:w="2920" w:type="dxa"/>
            <w:vAlign w:val="bottom"/>
            <w:gridSpan w:val="2"/>
          </w:tcPr>
          <w:p>
            <w:pPr>
              <w:spacing w:after="0"/>
              <w:rPr>
                <w:sz w:val="20"/>
                <w:szCs w:val="20"/>
                <w:color w:val="auto"/>
              </w:rPr>
            </w:pPr>
            <w:r>
              <w:rPr>
                <w:rFonts w:ascii="Arial" w:cs="Arial" w:eastAsia="Arial" w:hAnsi="Arial"/>
                <w:sz w:val="18"/>
                <w:szCs w:val="18"/>
                <w:color w:val="auto"/>
              </w:rPr>
              <w:t>Nicolas Barthelemy</w:t>
            </w:r>
          </w:p>
        </w:tc>
        <w:tc>
          <w:tcPr>
            <w:tcW w:w="2980" w:type="dxa"/>
            <w:vAlign w:val="bottom"/>
            <w:gridSpan w:val="3"/>
          </w:tcPr>
          <w:p>
            <w:pPr>
              <w:ind w:left="1500"/>
              <w:spacing w:after="0"/>
              <w:rPr>
                <w:sz w:val="20"/>
                <w:szCs w:val="20"/>
                <w:color w:val="auto"/>
              </w:rPr>
            </w:pPr>
            <w:r>
              <w:rPr>
                <w:rFonts w:ascii="Arial" w:cs="Arial" w:eastAsia="Arial" w:hAnsi="Arial"/>
                <w:sz w:val="18"/>
                <w:szCs w:val="18"/>
                <w:color w:val="auto"/>
              </w:rPr>
              <w:t>22,526,121</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582,743</w:t>
            </w:r>
          </w:p>
        </w:tc>
        <w:tc>
          <w:tcPr>
            <w:tcW w:w="720" w:type="dxa"/>
            <w:vAlign w:val="bottom"/>
          </w:tcPr>
          <w:p>
            <w:pPr>
              <w:spacing w:after="0"/>
              <w:rPr>
                <w:sz w:val="21"/>
                <w:szCs w:val="21"/>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3,638,913</w:t>
            </w:r>
          </w:p>
        </w:tc>
      </w:tr>
    </w:tbl>
    <w:p>
      <w:pPr>
        <w:spacing w:after="0" w:line="20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believe that the substantial withhold votes for director Patrick Jones relate to an initial withhold recommendation from proxy advisory firms based on a concern that we had not submitted our Tax Plan to stockholders at the Annual Meeting. The Tax Plan expired by its terms at the Annual Meeting, and our board of directors made an affirmative decision that the plan should terminate. Accordingly, the board did not submit the Tax Plan for stockholder approval. Following outreach to Institutional Shareholder Services (ISS) to explain the reason that the Tax Plan was not submitted to stockholders, ISS changed its decision with respect to Mr. Jones and recommended a vote in favor of his re-election to the board.</w:t>
      </w:r>
    </w:p>
    <w:p>
      <w:pPr>
        <w:spacing w:after="0" w:line="169" w:lineRule="exact"/>
        <w:rPr>
          <w:sz w:val="20"/>
          <w:szCs w:val="20"/>
          <w:color w:val="auto"/>
        </w:rPr>
      </w:pPr>
    </w:p>
    <w:p>
      <w:pPr>
        <w:ind w:right="300" w:firstLine="8"/>
        <w:spacing w:after="0" w:line="282"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Advisory Vote on Approval of Executive Compensation. </w:t>
      </w:r>
      <w:r>
        <w:rPr>
          <w:rFonts w:ascii="Arial" w:cs="Arial" w:eastAsia="Arial" w:hAnsi="Arial"/>
          <w:sz w:val="18"/>
          <w:szCs w:val="18"/>
          <w:color w:val="auto"/>
        </w:rPr>
        <w:t>On an advisory basis, the compensation of our named executive officers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as disclosed in our 2017 Proxy, was approved by our stockholders:</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6"/>
              </w:rPr>
              <w:t>Votes Against</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6"/>
              </w:rPr>
              <w:t>Abstentions</w:t>
            </w:r>
          </w:p>
        </w:tc>
        <w:tc>
          <w:tcPr>
            <w:tcW w:w="84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64"/>
        </w:trPr>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w w:val="86"/>
              </w:rPr>
              <w:t>22,654,843</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452,471</w:t>
            </w:r>
          </w:p>
        </w:tc>
        <w:tc>
          <w:tcPr>
            <w:tcW w:w="920" w:type="dxa"/>
            <w:vAlign w:val="bottom"/>
          </w:tcPr>
          <w:p>
            <w:pPr>
              <w:spacing w:after="0"/>
              <w:rPr>
                <w:sz w:val="22"/>
                <w:szCs w:val="22"/>
                <w:color w:val="auto"/>
              </w:rPr>
            </w:pP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1,550</w:t>
            </w:r>
          </w:p>
        </w:tc>
        <w:tc>
          <w:tcPr>
            <w:tcW w:w="840" w:type="dxa"/>
            <w:vAlign w:val="bottom"/>
          </w:tcPr>
          <w:p>
            <w:pPr>
              <w:spacing w:after="0"/>
              <w:rPr>
                <w:sz w:val="22"/>
                <w:szCs w:val="22"/>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8"/>
                <w:szCs w:val="18"/>
                <w:color w:val="auto"/>
              </w:rPr>
              <w:t>3,638,913</w:t>
            </w:r>
          </w:p>
        </w:tc>
      </w:tr>
    </w:tbl>
    <w:p>
      <w:pPr>
        <w:spacing w:after="0" w:line="198" w:lineRule="exact"/>
        <w:rPr>
          <w:sz w:val="20"/>
          <w:szCs w:val="20"/>
          <w:color w:val="auto"/>
        </w:rPr>
      </w:pPr>
    </w:p>
    <w:p>
      <w:pPr>
        <w:ind w:right="220" w:firstLine="8"/>
        <w:spacing w:after="0" w:line="282"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Advisory Vote on the Frequency of an Advisory Vote on Executive Compensation. </w:t>
      </w:r>
      <w:r>
        <w:rPr>
          <w:rFonts w:ascii="Arial" w:cs="Arial" w:eastAsia="Arial" w:hAnsi="Arial"/>
          <w:sz w:val="18"/>
          <w:szCs w:val="18"/>
          <w:color w:val="auto"/>
        </w:rPr>
        <w:t>On an advisory basis, the stockholders indicated their preference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that an advisory vote on executive compensation occur annually:</w:t>
      </w:r>
    </w:p>
    <w:p>
      <w:pPr>
        <w:spacing w:after="0" w:line="149"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One Year</w:t>
            </w: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Two Years</w:t>
            </w:r>
          </w:p>
        </w:tc>
        <w:tc>
          <w:tcPr>
            <w:tcW w:w="1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9"/>
              </w:rPr>
              <w:t>Three Years</w:t>
            </w:r>
          </w:p>
        </w:tc>
        <w:tc>
          <w:tcPr>
            <w:tcW w:w="6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Abstentions</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20"/>
        </w:trPr>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64"/>
        </w:trPr>
        <w:tc>
          <w:tcPr>
            <w:tcW w:w="1920" w:type="dxa"/>
            <w:vAlign w:val="bottom"/>
            <w:gridSpan w:val="3"/>
          </w:tcPr>
          <w:p>
            <w:pPr>
              <w:jc w:val="right"/>
              <w:ind w:right="1100"/>
              <w:spacing w:after="0"/>
              <w:rPr>
                <w:sz w:val="20"/>
                <w:szCs w:val="20"/>
                <w:color w:val="auto"/>
              </w:rPr>
            </w:pPr>
            <w:r>
              <w:rPr>
                <w:rFonts w:ascii="Arial" w:cs="Arial" w:eastAsia="Arial" w:hAnsi="Arial"/>
                <w:sz w:val="18"/>
                <w:szCs w:val="18"/>
                <w:color w:val="auto"/>
                <w:w w:val="88"/>
              </w:rPr>
              <w:t>21,960,099</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1,610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1,144,905</w:t>
            </w:r>
          </w:p>
        </w:tc>
        <w:tc>
          <w:tcPr>
            <w:tcW w:w="68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2,250</w:t>
            </w:r>
          </w:p>
        </w:tc>
        <w:tc>
          <w:tcPr>
            <w:tcW w:w="2520" w:type="dxa"/>
            <w:vAlign w:val="bottom"/>
            <w:gridSpan w:val="2"/>
          </w:tcPr>
          <w:p>
            <w:pPr>
              <w:jc w:val="right"/>
              <w:ind w:right="280"/>
              <w:spacing w:after="0"/>
              <w:rPr>
                <w:sz w:val="20"/>
                <w:szCs w:val="20"/>
                <w:color w:val="auto"/>
              </w:rPr>
            </w:pPr>
            <w:r>
              <w:rPr>
                <w:rFonts w:ascii="Arial" w:cs="Arial" w:eastAsia="Arial" w:hAnsi="Arial"/>
                <w:sz w:val="18"/>
                <w:szCs w:val="18"/>
                <w:color w:val="auto"/>
              </w:rPr>
              <w:t>3,638,913</w:t>
            </w:r>
          </w:p>
        </w:tc>
      </w:tr>
    </w:tbl>
    <w:p>
      <w:pPr>
        <w:spacing w:after="0" w:line="20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Based on the approval of one year as the frequency of an advisory vote on the compensation of our named executive officers, our board of directors has determined that it will hold an advisory vote on the compensation of our named executive officers annually until the next required vote on the frequency of such an advisory vote.</w:t>
      </w:r>
    </w:p>
    <w:p>
      <w:pPr>
        <w:spacing w:after="0" w:line="177" w:lineRule="exact"/>
        <w:rPr>
          <w:sz w:val="20"/>
          <w:szCs w:val="20"/>
          <w:color w:val="auto"/>
        </w:rPr>
      </w:pPr>
    </w:p>
    <w:p>
      <w:pPr>
        <w:ind w:right="620" w:firstLine="8"/>
        <w:spacing w:after="0" w:line="282"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Approval of the 2017 Employee Stock Purchase Plan. </w:t>
      </w:r>
      <w:r>
        <w:rPr>
          <w:rFonts w:ascii="Arial" w:cs="Arial" w:eastAsia="Arial" w:hAnsi="Arial"/>
          <w:sz w:val="18"/>
          <w:szCs w:val="18"/>
          <w:color w:val="auto"/>
        </w:rPr>
        <w:t>The 2017 Employee Stock Purchase Plan was approved by our stockholders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results of voting:</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6"/>
              </w:rPr>
              <w:t>Votes Against</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6"/>
              </w:rPr>
              <w:t>Abstentions</w:t>
            </w:r>
          </w:p>
        </w:tc>
        <w:tc>
          <w:tcPr>
            <w:tcW w:w="84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64"/>
        </w:trPr>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w w:val="86"/>
              </w:rPr>
              <w:t>23,092,117</w:t>
            </w:r>
          </w:p>
        </w:tc>
        <w:tc>
          <w:tcPr>
            <w:tcW w:w="1840" w:type="dxa"/>
            <w:vAlign w:val="bottom"/>
            <w:gridSpan w:val="2"/>
          </w:tcPr>
          <w:p>
            <w:pPr>
              <w:jc w:val="right"/>
              <w:ind w:right="150"/>
              <w:spacing w:after="0"/>
              <w:rPr>
                <w:sz w:val="20"/>
                <w:szCs w:val="20"/>
                <w:color w:val="auto"/>
              </w:rPr>
            </w:pPr>
            <w:r>
              <w:rPr>
                <w:rFonts w:ascii="Arial" w:cs="Arial" w:eastAsia="Arial" w:hAnsi="Arial"/>
                <w:sz w:val="18"/>
                <w:szCs w:val="18"/>
                <w:color w:val="auto"/>
              </w:rPr>
              <w:t>16,464</w:t>
            </w:r>
          </w:p>
        </w:tc>
        <w:tc>
          <w:tcPr>
            <w:tcW w:w="920" w:type="dxa"/>
            <w:vAlign w:val="bottom"/>
          </w:tcPr>
          <w:p>
            <w:pPr>
              <w:spacing w:after="0"/>
              <w:rPr>
                <w:sz w:val="22"/>
                <w:szCs w:val="22"/>
                <w:color w:val="auto"/>
              </w:rPr>
            </w:pPr>
          </w:p>
        </w:tc>
        <w:tc>
          <w:tcPr>
            <w:tcW w:w="1860" w:type="dxa"/>
            <w:vAlign w:val="bottom"/>
            <w:gridSpan w:val="2"/>
          </w:tcPr>
          <w:p>
            <w:pPr>
              <w:jc w:val="right"/>
              <w:ind w:right="190"/>
              <w:spacing w:after="0"/>
              <w:rPr>
                <w:sz w:val="20"/>
                <w:szCs w:val="20"/>
                <w:color w:val="auto"/>
              </w:rPr>
            </w:pPr>
            <w:r>
              <w:rPr>
                <w:rFonts w:ascii="Arial" w:cs="Arial" w:eastAsia="Arial" w:hAnsi="Arial"/>
                <w:sz w:val="18"/>
                <w:szCs w:val="18"/>
                <w:color w:val="auto"/>
              </w:rPr>
              <w:t>283</w:t>
            </w:r>
          </w:p>
        </w:tc>
        <w:tc>
          <w:tcPr>
            <w:tcW w:w="840" w:type="dxa"/>
            <w:vAlign w:val="bottom"/>
          </w:tcPr>
          <w:p>
            <w:pPr>
              <w:spacing w:after="0"/>
              <w:rPr>
                <w:sz w:val="22"/>
                <w:szCs w:val="22"/>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8"/>
                <w:szCs w:val="18"/>
                <w:color w:val="auto"/>
              </w:rPr>
              <w:t>3,638,913</w:t>
            </w:r>
          </w:p>
        </w:tc>
      </w:tr>
    </w:tbl>
    <w:p>
      <w:pPr>
        <w:spacing w:after="0" w:line="198" w:lineRule="exact"/>
        <w:rPr>
          <w:sz w:val="20"/>
          <w:szCs w:val="20"/>
          <w:color w:val="auto"/>
        </w:rPr>
      </w:pPr>
    </w:p>
    <w:p>
      <w:pPr>
        <w:ind w:firstLine="8"/>
        <w:spacing w:after="0" w:line="266"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Approval of Amendments to the Company’s Equity Compensation Plans to Allow for a One-Time Stock Option Exchange Program.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Company’s equity compensation plans (the “Amendments”) to allow for a one-time stock option exchange program were approved by our stockholders based on the following results of voting:</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6"/>
              </w:rPr>
              <w:t>Votes Against</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6"/>
              </w:rPr>
              <w:t>Abstentions</w:t>
            </w:r>
          </w:p>
        </w:tc>
        <w:tc>
          <w:tcPr>
            <w:tcW w:w="84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64"/>
        </w:trPr>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w w:val="86"/>
              </w:rPr>
              <w:t>14,435,699</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color w:val="auto"/>
              </w:rPr>
              <w:t>8,668,040</w:t>
            </w:r>
          </w:p>
        </w:tc>
        <w:tc>
          <w:tcPr>
            <w:tcW w:w="920" w:type="dxa"/>
            <w:vAlign w:val="bottom"/>
          </w:tcPr>
          <w:p>
            <w:pPr>
              <w:spacing w:after="0"/>
              <w:rPr>
                <w:sz w:val="22"/>
                <w:szCs w:val="22"/>
                <w:color w:val="auto"/>
              </w:rPr>
            </w:pP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5,125</w:t>
            </w:r>
          </w:p>
        </w:tc>
        <w:tc>
          <w:tcPr>
            <w:tcW w:w="840" w:type="dxa"/>
            <w:vAlign w:val="bottom"/>
          </w:tcPr>
          <w:p>
            <w:pPr>
              <w:spacing w:after="0"/>
              <w:rPr>
                <w:sz w:val="22"/>
                <w:szCs w:val="22"/>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8"/>
                <w:szCs w:val="18"/>
                <w:color w:val="auto"/>
              </w:rPr>
              <w:t>3,638,913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copy of the Amendments, as approved by the Company’s board and stockholders, are filed as Exhibit 10.2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4" w:name="page5"/>
    <w:bookmarkEnd w:id="4"/>
    <w:p>
      <w:pPr>
        <w:jc w:val="both"/>
        <w:ind w:right="900" w:firstLine="8"/>
        <w:spacing w:after="0" w:line="347"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Ratification of Appointment of Independent Registered Public Accounting Firm. </w:t>
      </w:r>
      <w:r>
        <w:rPr>
          <w:rFonts w:ascii="Arial" w:cs="Arial" w:eastAsia="Arial" w:hAnsi="Arial"/>
          <w:sz w:val="16"/>
          <w:szCs w:val="16"/>
          <w:color w:val="auto"/>
        </w:rPr>
        <w:t>The appointment of PricewaterhouseCoopers LLP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registered public accounting firm for the fiscal year ending December 31, 2017 was ratified based on the following results of voting:</w:t>
      </w:r>
    </w:p>
    <w:p>
      <w:pPr>
        <w:spacing w:after="0" w:line="103"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Votes Against</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Abstentions</w:t>
            </w:r>
          </w:p>
        </w:tc>
      </w:tr>
      <w:tr>
        <w:trPr>
          <w:trHeight w:val="264"/>
        </w:trPr>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w w:val="86"/>
              </w:rPr>
              <w:t>26,662,248</w:t>
            </w:r>
          </w:p>
        </w:tc>
        <w:tc>
          <w:tcPr>
            <w:tcW w:w="1840" w:type="dxa"/>
            <w:vAlign w:val="bottom"/>
            <w:gridSpan w:val="2"/>
          </w:tcPr>
          <w:p>
            <w:pPr>
              <w:jc w:val="right"/>
              <w:ind w:right="150"/>
              <w:spacing w:after="0"/>
              <w:rPr>
                <w:sz w:val="20"/>
                <w:szCs w:val="20"/>
                <w:color w:val="auto"/>
              </w:rPr>
            </w:pPr>
            <w:r>
              <w:rPr>
                <w:rFonts w:ascii="Arial" w:cs="Arial" w:eastAsia="Arial" w:hAnsi="Arial"/>
                <w:sz w:val="18"/>
                <w:szCs w:val="18"/>
                <w:color w:val="auto"/>
              </w:rPr>
              <w:t>24,772</w:t>
            </w:r>
          </w:p>
        </w:tc>
        <w:tc>
          <w:tcPr>
            <w:tcW w:w="920" w:type="dxa"/>
            <w:vAlign w:val="bottom"/>
          </w:tcPr>
          <w:p>
            <w:pPr>
              <w:spacing w:after="0"/>
              <w:rPr>
                <w:sz w:val="22"/>
                <w:szCs w:val="22"/>
                <w:color w:val="auto"/>
              </w:rPr>
            </w:pPr>
          </w:p>
        </w:tc>
        <w:tc>
          <w:tcPr>
            <w:tcW w:w="1860" w:type="dxa"/>
            <w:vAlign w:val="bottom"/>
            <w:gridSpan w:val="2"/>
          </w:tcPr>
          <w:p>
            <w:pPr>
              <w:jc w:val="right"/>
              <w:ind w:right="70"/>
              <w:spacing w:after="0"/>
              <w:rPr>
                <w:sz w:val="20"/>
                <w:szCs w:val="20"/>
                <w:color w:val="auto"/>
              </w:rPr>
            </w:pPr>
            <w:r>
              <w:rPr>
                <w:rFonts w:ascii="Arial" w:cs="Arial" w:eastAsia="Arial" w:hAnsi="Arial"/>
                <w:sz w:val="18"/>
                <w:szCs w:val="18"/>
                <w:color w:val="auto"/>
              </w:rPr>
              <w:t>60,757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17"/>
                <w:szCs w:val="17"/>
                <w:color w:val="auto"/>
              </w:rPr>
            </w:pPr>
          </w:p>
        </w:tc>
        <w:tc>
          <w:tcPr>
            <w:tcW w:w="100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240" w:type="dxa"/>
            <w:vAlign w:val="bottom"/>
          </w:tcPr>
          <w:p>
            <w:pPr>
              <w:spacing w:after="0" w:line="195" w:lineRule="exact"/>
              <w:rPr>
                <w:sz w:val="20"/>
                <w:szCs w:val="20"/>
                <w:color w:val="auto"/>
              </w:rPr>
            </w:pPr>
            <w:r>
              <w:rPr>
                <w:rFonts w:ascii="Arial" w:cs="Arial" w:eastAsia="Arial" w:hAnsi="Arial"/>
                <w:sz w:val="18"/>
                <w:szCs w:val="18"/>
                <w:color w:val="auto"/>
                <w:w w:val="87"/>
              </w:rPr>
              <w:t>3.1</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rPr>
              <w:t>Certificate of Elimination.</w:t>
            </w:r>
          </w:p>
        </w:tc>
      </w:tr>
      <w:tr>
        <w:trPr>
          <w:trHeight w:val="216"/>
        </w:trPr>
        <w:tc>
          <w:tcPr>
            <w:tcW w:w="860" w:type="dxa"/>
            <w:vAlign w:val="bottom"/>
            <w:gridSpan w:val="3"/>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Fluidigm Corporation 2017 Employee Stock Purchase Plan.</w:t>
            </w:r>
          </w:p>
        </w:tc>
      </w:tr>
      <w:tr>
        <w:trPr>
          <w:trHeight w:val="216"/>
        </w:trPr>
        <w:tc>
          <w:tcPr>
            <w:tcW w:w="860" w:type="dxa"/>
            <w:vAlign w:val="bottom"/>
            <w:gridSpan w:val="3"/>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Amendments to the Fluidigm Corporation 2011 Equity Incentive Plan, 2009 Equity Incentive Plan, and 1999 Stock Option Plan and the</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DVS Sciences, Inc. 2010 Equity Incentive Plan.</w:t>
            </w:r>
          </w:p>
        </w:tc>
      </w:tr>
      <w:tr>
        <w:trPr>
          <w:trHeight w:val="230"/>
        </w:trPr>
        <w:tc>
          <w:tcPr>
            <w:tcW w:w="860" w:type="dxa"/>
            <w:vAlign w:val="bottom"/>
            <w:gridSpan w:val="3"/>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Fluidigm Corporation Press Release dated August 2, 2017.</w:t>
            </w:r>
          </w:p>
        </w:tc>
      </w:tr>
      <w:tr>
        <w:trPr>
          <w:trHeight w:val="702"/>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FLUIDIGM CORPORATION</w:t>
            </w:r>
          </w:p>
        </w:tc>
        <w:tc>
          <w:tcPr>
            <w:tcW w:w="1140" w:type="dxa"/>
            <w:vAlign w:val="bottom"/>
          </w:tcPr>
          <w:p>
            <w:pPr>
              <w:spacing w:after="0"/>
              <w:rPr>
                <w:sz w:val="20"/>
                <w:szCs w:val="20"/>
                <w:color w:val="auto"/>
              </w:rPr>
            </w:pPr>
          </w:p>
        </w:tc>
      </w:tr>
      <w:tr>
        <w:trPr>
          <w:trHeight w:val="432"/>
        </w:trPr>
        <w:tc>
          <w:tcPr>
            <w:tcW w:w="3780" w:type="dxa"/>
            <w:vAlign w:val="bottom"/>
          </w:tcPr>
          <w:p>
            <w:pPr>
              <w:ind w:left="20"/>
              <w:spacing w:after="0"/>
              <w:rPr>
                <w:sz w:val="20"/>
                <w:szCs w:val="20"/>
                <w:color w:val="auto"/>
              </w:rPr>
            </w:pPr>
            <w:r>
              <w:rPr>
                <w:rFonts w:ascii="Arial" w:cs="Arial" w:eastAsia="Arial" w:hAnsi="Arial"/>
                <w:sz w:val="18"/>
                <w:szCs w:val="18"/>
                <w:color w:val="auto"/>
              </w:rPr>
              <w:t>Date: August 2, 2017</w:t>
            </w:r>
          </w:p>
        </w:tc>
        <w:tc>
          <w:tcPr>
            <w:tcW w:w="6500" w:type="dxa"/>
            <w:vAlign w:val="bottom"/>
            <w:gridSpan w:val="2"/>
          </w:tcPr>
          <w:p>
            <w:pPr>
              <w:ind w:left="2200"/>
              <w:spacing w:after="0"/>
              <w:rPr>
                <w:sz w:val="20"/>
                <w:szCs w:val="20"/>
                <w:color w:val="auto"/>
              </w:rPr>
            </w:pPr>
            <w:r>
              <w:rPr>
                <w:rFonts w:ascii="Arial" w:cs="Arial" w:eastAsia="Arial" w:hAnsi="Arial"/>
                <w:sz w:val="18"/>
                <w:szCs w:val="18"/>
                <w:color w:val="auto"/>
              </w:rPr>
              <w:t>By: /s/ Nicholas Khadder</w:t>
            </w:r>
          </w:p>
        </w:tc>
        <w:tc>
          <w:tcPr>
            <w:tcW w:w="11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Nicholas Khadder</w:t>
            </w:r>
          </w:p>
        </w:tc>
        <w:tc>
          <w:tcPr>
            <w:tcW w:w="114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w w:val="90"/>
              </w:rPr>
              <w:t>Senior Vice President, Legal Affairs, General Counsel,</w:t>
            </w:r>
          </w:p>
        </w:tc>
        <w:tc>
          <w:tcPr>
            <w:tcW w:w="114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and Secretary</w:t>
            </w:r>
          </w:p>
        </w:tc>
        <w:tc>
          <w:tcPr>
            <w:tcW w:w="1140" w:type="dxa"/>
            <w:vAlign w:val="bottom"/>
          </w:tcPr>
          <w:p>
            <w:pPr>
              <w:spacing w:after="0"/>
              <w:rPr>
                <w:sz w:val="20"/>
                <w:szCs w:val="20"/>
                <w:color w:val="auto"/>
              </w:rPr>
            </w:pPr>
          </w:p>
        </w:tc>
      </w:tr>
      <w:tr>
        <w:trPr>
          <w:trHeight w:val="675"/>
        </w:trPr>
        <w:tc>
          <w:tcPr>
            <w:tcW w:w="37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20" w:type="dxa"/>
            <w:vAlign w:val="bottom"/>
          </w:tcPr>
          <w:p>
            <w:pPr>
              <w:spacing w:after="0"/>
              <w:rPr>
                <w:sz w:val="24"/>
                <w:szCs w:val="24"/>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rPr>
              <w:t>Certificate of Elimination.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Fluidigm Corporation 2017 Employee Stock Purchase Plan.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Amendments to the Fluidigm Corporation 2011 Equity Incentive Plan, 2009 Equity Incentive Plan, and 1999 Stock Option Plan and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DVS Sciences, Inc. 2010 Equity Incentive Plan.</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Fluidigm Corporation Press Release dated August 2, 2017.</w:t>
            </w:r>
          </w:p>
        </w:tc>
      </w:tr>
      <w:tr>
        <w:trPr>
          <w:trHeight w:val="675"/>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ELIMINATION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PARTICIPATING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FLUIDIGM CORPORATION</w:t>
      </w:r>
    </w:p>
    <w:p>
      <w:pPr>
        <w:spacing w:after="0" w:line="20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(Pursuant to Section 151(g) of the General Corporation Law of the State of Delaware)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Fluidigm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certifies as follows:</w:t>
      </w:r>
    </w:p>
    <w:p>
      <w:pPr>
        <w:spacing w:after="0" w:line="225" w:lineRule="exact"/>
        <w:rPr>
          <w:sz w:val="20"/>
          <w:szCs w:val="20"/>
          <w:color w:val="auto"/>
        </w:rPr>
      </w:pPr>
    </w:p>
    <w:p>
      <w:pPr>
        <w:jc w:val="both"/>
        <w:ind w:firstLine="656"/>
        <w:spacing w:after="0" w:line="259" w:lineRule="auto"/>
        <w:tabs>
          <w:tab w:leader="none" w:pos="111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Eighth Amended and Restated Certificate of Incorporation, as amended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of the Company, including as amended pursuant to that certain Certificate of Designation of Rights, Preferences and Privileges of Series A Participating Preferred Stock (the “Certificate of Designation”), authorizes the issuance of 50,000 shares of preferred stock, par value $0.001 per share, of the Company designated as Series A Participating Preferred Stock (the “</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656"/>
        <w:spacing w:after="0" w:line="277" w:lineRule="auto"/>
        <w:tabs>
          <w:tab w:leader="none" w:pos="1098"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the provisions of Section 151(g)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Board of Directors of the Company adopted the following resolutions:</w:t>
      </w:r>
    </w:p>
    <w:p>
      <w:pPr>
        <w:spacing w:after="0" w:line="166"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no shares of the Series A Preferred Stock are outstanding, and none of the authorized shares of the Series A Preferred Stock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subject to the Certificate of Designation.</w:t>
      </w:r>
    </w:p>
    <w:p>
      <w:pPr>
        <w:spacing w:after="0" w:line="16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Company be, and hereby is, authorized and directed to prepare and file a certificate of elimination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Certificate of Elimination</w:t>
      </w:r>
      <w:r>
        <w:rPr>
          <w:rFonts w:ascii="Arial" w:cs="Arial" w:eastAsia="Arial" w:hAnsi="Arial"/>
          <w:sz w:val="18"/>
          <w:szCs w:val="18"/>
          <w:color w:val="auto"/>
        </w:rPr>
        <w:t>”) in accordance with the foregoing resolution and the provisions of the DGCL containing these resolutions, with the effect under the DGCL of eliminating from the Certificate of Incorporation all matters set forth in the Certificate of Designation with respect to the Series A Preferred Stock.</w:t>
      </w:r>
    </w:p>
    <w:p>
      <w:pPr>
        <w:spacing w:after="0" w:line="180"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chief executive officer, president, or the secretary of the Company are, and each of them hereby is,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and directed, for and on behalf of the Company and in its name, to execute and file the Certificate of Elimination with the Secretary of State of the State of Delaware, at such time as they deem appropriate, and to take such further actions as they may deem necessary or appropriate to carry out the intent of the foregoing resolutions in accordance with the applicable provisions of the DGCL.</w:t>
      </w:r>
    </w:p>
    <w:p>
      <w:pPr>
        <w:spacing w:after="0" w:line="184" w:lineRule="exact"/>
        <w:rPr>
          <w:sz w:val="20"/>
          <w:szCs w:val="20"/>
          <w:color w:val="auto"/>
        </w:rPr>
      </w:pPr>
    </w:p>
    <w:p>
      <w:pPr>
        <w:jc w:val="both"/>
        <w:ind w:firstLine="656"/>
        <w:spacing w:after="0" w:line="256" w:lineRule="auto"/>
        <w:tabs>
          <w:tab w:leader="none" w:pos="1111"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the provisions of Section 151(g) of the DGCL, all references to the Series A Preferred Stock in the Certificate of Incorporation are hereby eliminated, and the shares that were designated to such series are hereby returned to the status of authorized but unissued shares of preferred stock of the Company.</w:t>
      </w:r>
    </w:p>
    <w:p>
      <w:pPr>
        <w:ind w:left="526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 w:name="page9"/>
    <w:bookmarkEnd w:id="8"/>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Certificate of Elimination to be signed on its behalf by its duly authorized officer on this 1st day of August, 2017.</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Christopher Linthwaite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EMPLOYEE STOCK PURCHASE PLAN</w:t>
      </w:r>
    </w:p>
    <w:p>
      <w:pPr>
        <w:spacing w:after="0" w:line="229" w:lineRule="exact"/>
        <w:rPr>
          <w:sz w:val="20"/>
          <w:szCs w:val="20"/>
          <w:color w:val="auto"/>
        </w:rPr>
      </w:pPr>
    </w:p>
    <w:p>
      <w:pPr>
        <w:jc w:val="both"/>
        <w:ind w:firstLine="656"/>
        <w:spacing w:after="0" w:line="290" w:lineRule="auto"/>
        <w:tabs>
          <w:tab w:leader="none" w:pos="1179"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provide employees of the Company and its Designated Subsidiaries with an opportunity to purchase Common Stock through accumulated Contributions. This Plan includes two components: a Code Section 423 Plan Component and a Non-423 Plan Component. The Company’s intention is to have the Code Section 423 Plan Component qualify as an “employee stock purchase plan” under Section 423 of the Code and the provisions of the Plan with respect to the Code Section 423 Component, accordingly, will be construed so as to extend and limit Plan participation in a uniform and nondiscriminatory basis consistent with the requirements of Section 423 of the Code. In addition, this Plan authorizes the grant of options under the Non-423 Plan Component that do not qualify under Section 423 of the Code, pursuant to rules, procedures or sub-plans adopted by the Administrator that are designed to achieve tax, securities laws or other objectives for Eligible Employees and/or the Company. Except as otherwise indicated, the Non-423 Plan Component will operate and be administered in the same manner as the Code Section 423 Plan Component.</w:t>
      </w:r>
    </w:p>
    <w:p>
      <w:pPr>
        <w:spacing w:after="0" w:line="166" w:lineRule="exact"/>
        <w:rPr>
          <w:rFonts w:ascii="Arial" w:cs="Arial" w:eastAsia="Arial" w:hAnsi="Arial"/>
          <w:sz w:val="16"/>
          <w:szCs w:val="16"/>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Committee designated by the Board to administer the Plan pursuant to Section 14.</w:t>
      </w:r>
    </w:p>
    <w:p>
      <w:pPr>
        <w:spacing w:after="0" w:line="236" w:lineRule="exact"/>
        <w:rPr>
          <w:rFonts w:ascii="Arial" w:cs="Arial" w:eastAsia="Arial" w:hAnsi="Arial"/>
          <w:sz w:val="17"/>
          <w:szCs w:val="17"/>
          <w:color w:val="auto"/>
        </w:rPr>
      </w:pPr>
    </w:p>
    <w:p>
      <w:pPr>
        <w:jc w:val="both"/>
        <w:ind w:firstLine="1305"/>
        <w:spacing w:after="0" w:line="264" w:lineRule="auto"/>
        <w:tabs>
          <w:tab w:leader="none" w:pos="1902"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the Plan is, or will be, offered.</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jc w:val="both"/>
        <w:ind w:firstLine="2277"/>
        <w:spacing w:after="0" w:line="257" w:lineRule="auto"/>
        <w:tabs>
          <w:tab w:leader="none" w:pos="2849" w:val="left"/>
        </w:tabs>
        <w:numPr>
          <w:ilvl w:val="2"/>
          <w:numId w:val="10"/>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188" w:lineRule="exact"/>
        <w:rPr>
          <w:rFonts w:ascii="Arial" w:cs="Arial" w:eastAsia="Arial" w:hAnsi="Arial"/>
          <w:sz w:val="18"/>
          <w:szCs w:val="18"/>
          <w:color w:val="auto"/>
        </w:rPr>
      </w:pPr>
    </w:p>
    <w:p>
      <w:pPr>
        <w:jc w:val="both"/>
        <w:ind w:firstLine="2277"/>
        <w:spacing w:after="0" w:line="279" w:lineRule="auto"/>
        <w:tabs>
          <w:tab w:leader="none" w:pos="2820" w:val="left"/>
        </w:tabs>
        <w:numPr>
          <w:ilvl w:val="2"/>
          <w:numId w:val="10"/>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 w:name="page11"/>
    <w:bookmarkEnd w:id="10"/>
    <w:p>
      <w:pPr>
        <w:jc w:val="both"/>
        <w:ind w:firstLine="2277"/>
        <w:spacing w:after="0" w:line="287" w:lineRule="auto"/>
        <w:tabs>
          <w:tab w:leader="none" w:pos="288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jc w:val="both"/>
        <w:ind w:firstLine="1305"/>
        <w:spacing w:after="0" w:line="286" w:lineRule="auto"/>
        <w:tabs>
          <w:tab w:leader="none" w:pos="1879"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65" w:lineRule="exact"/>
        <w:rPr>
          <w:rFonts w:ascii="Arial" w:cs="Arial" w:eastAsia="Arial" w:hAnsi="Arial"/>
          <w:sz w:val="17"/>
          <w:szCs w:val="17"/>
          <w:color w:val="auto"/>
        </w:rPr>
      </w:pPr>
    </w:p>
    <w:p>
      <w:pPr>
        <w:ind w:firstLine="1305"/>
        <w:spacing w:after="0" w:line="342" w:lineRule="auto"/>
        <w:tabs>
          <w:tab w:leader="none" w:pos="18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 Section 423 Plan Component</w:t>
      </w:r>
      <w:r>
        <w:rPr>
          <w:rFonts w:ascii="Arial" w:cs="Arial" w:eastAsia="Arial" w:hAnsi="Arial"/>
          <w:sz w:val="16"/>
          <w:szCs w:val="16"/>
          <w:color w:val="auto"/>
        </w:rPr>
        <w:t>” means the component of this Plan that is intended to meet the requirements set forth in Section 423(b) of the Code. The Code Section 423 Plan Component shall be construed, administered and enforced in accordance with Section 423(b) of the Code.</w:t>
      </w:r>
    </w:p>
    <w:p>
      <w:pPr>
        <w:spacing w:after="0" w:line="123" w:lineRule="exact"/>
        <w:rPr>
          <w:rFonts w:ascii="Arial" w:cs="Arial" w:eastAsia="Arial" w:hAnsi="Arial"/>
          <w:sz w:val="16"/>
          <w:szCs w:val="16"/>
          <w:color w:val="auto"/>
        </w:rPr>
      </w:pPr>
    </w:p>
    <w:p>
      <w:pPr>
        <w:ind w:left="1820" w:hanging="515"/>
        <w:spacing w:after="0"/>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the Board appointed in accordance with Section 14 hereof.</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1780" w:hanging="475"/>
        <w:spacing w:after="0"/>
        <w:tabs>
          <w:tab w:leader="none" w:pos="1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Fluidigm Corporation, a Delaware corporation, or any successor thereto.</w:t>
      </w:r>
    </w:p>
    <w:p>
      <w:pPr>
        <w:spacing w:after="0" w:line="225" w:lineRule="exact"/>
        <w:rPr>
          <w:rFonts w:ascii="Arial" w:cs="Arial" w:eastAsia="Arial" w:hAnsi="Arial"/>
          <w:sz w:val="18"/>
          <w:szCs w:val="18"/>
          <w:color w:val="auto"/>
        </w:rPr>
      </w:pPr>
    </w:p>
    <w:p>
      <w:pPr>
        <w:jc w:val="both"/>
        <w:ind w:right="20" w:firstLine="1305"/>
        <w:spacing w:after="0" w:line="259" w:lineRule="auto"/>
        <w:tabs>
          <w:tab w:leader="none" w:pos="19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base straight time gross earnings, payments for overtime and shift premium, but exclusive of payments for incentive compensation, commissions, bonuses and other similar compensation. The Administrator shall have the discretion to determine what constitutes Compensation for participants under the Plan with respect to future Offerings, but for purposes of participants participating in the Code Section 423 Plan Component, it will be applied on a uniform, non-discriminatory basis.</w:t>
      </w:r>
    </w:p>
    <w:p>
      <w:pPr>
        <w:spacing w:after="0" w:line="186" w:lineRule="exact"/>
        <w:rPr>
          <w:rFonts w:ascii="Arial" w:cs="Arial" w:eastAsia="Arial" w:hAnsi="Arial"/>
          <w:sz w:val="18"/>
          <w:szCs w:val="18"/>
          <w:color w:val="auto"/>
        </w:rPr>
      </w:pPr>
    </w:p>
    <w:p>
      <w:pPr>
        <w:ind w:firstLine="1305"/>
        <w:spacing w:after="0" w:line="277" w:lineRule="auto"/>
        <w:tabs>
          <w:tab w:leader="none" w:pos="20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7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means any Subsidiary that has been designated by the Administrator from time to time in its sole discretion as eligible to participate in the Plan. The Administrator may provide that any Designated Subsidiary shall only be eligible to participate in the Non- 423 Plan Component and at any given time, a Subsidiary that is a Designated Subsidiary under the Code Section 423 Plan Component shall not be a Designated Subsidiary under the Non-423 Plan Component.</w:t>
      </w:r>
    </w:p>
    <w:p>
      <w:pPr>
        <w:spacing w:after="0" w:line="186" w:lineRule="exact"/>
        <w:rPr>
          <w:rFonts w:ascii="Arial" w:cs="Arial" w:eastAsia="Arial" w:hAnsi="Arial"/>
          <w:sz w:val="18"/>
          <w:szCs w:val="18"/>
          <w:color w:val="auto"/>
        </w:rPr>
      </w:pPr>
    </w:p>
    <w:p>
      <w:pPr>
        <w:ind w:left="1880" w:hanging="575"/>
        <w:spacing w:after="0"/>
        <w:tabs>
          <w:tab w:leader="none" w:pos="1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jc w:val="both"/>
        <w:ind w:firstLine="1305"/>
        <w:spacing w:after="0" w:line="284" w:lineRule="auto"/>
        <w:tabs>
          <w:tab w:leader="none" w:pos="2038" w:val="left"/>
        </w:tabs>
        <w:numPr>
          <w:ilvl w:val="1"/>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individual who is a common law employee of an Employer.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Offering Date for all options to be granted on such Offering Date in an Offering, determine (and for purposes of the Code Section 423 Plan Component, on a uniform and nondiscriminatory basis or as otherwise permitted by Treasury Regulation Section 1.423-2) that the definition of Eligible Employee will or will not include an individual if he or she: (i) customarily works not more than twenty (20) hours per week. (ii) is a highly compensated employee within the meaning of Section 414(q) of the Code, or</w:t>
      </w:r>
    </w:p>
    <w:p>
      <w:pPr>
        <w:spacing w:after="0" w:line="1" w:lineRule="exact"/>
        <w:rPr>
          <w:rFonts w:ascii="Arial" w:cs="Arial" w:eastAsia="Arial" w:hAnsi="Arial"/>
          <w:sz w:val="16"/>
          <w:szCs w:val="16"/>
          <w:color w:val="auto"/>
        </w:rPr>
      </w:pPr>
    </w:p>
    <w:p>
      <w:pPr>
        <w:jc w:val="both"/>
        <w:ind w:firstLine="8"/>
        <w:spacing w:after="0" w:line="252"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Each exclusion shall be applied with respect to an Offering in a manner complying with U.S. Treasury Regulation Section 1.423-2(e)(2)(ii). For Offerings under the Non-423 Plan Component, Eligible Employee will also mean any other employee of an Employer to the extent that Applicable Law requires participation in the Plan to be extended to such employee, as determined by the Administrator.</w:t>
      </w:r>
    </w:p>
    <w:p>
      <w:pPr>
        <w:spacing w:after="0" w:line="194" w:lineRule="exact"/>
        <w:rPr>
          <w:rFonts w:ascii="Arial" w:cs="Arial" w:eastAsia="Arial" w:hAnsi="Arial"/>
          <w:sz w:val="18"/>
          <w:szCs w:val="18"/>
          <w:color w:val="auto"/>
        </w:rPr>
      </w:pPr>
    </w:p>
    <w:p>
      <w:pPr>
        <w:ind w:left="1820" w:hanging="515"/>
        <w:spacing w:after="0"/>
        <w:tabs>
          <w:tab w:leader="none" w:pos="1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employer of the applicable Eligible Employee(s).</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including the rules and regulations promulgated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firstLine="1305"/>
        <w:spacing w:after="0" w:line="277" w:lineRule="auto"/>
        <w:tabs>
          <w:tab w:leader="none" w:pos="19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means the first Trading Day on or before May 31 and November 30 of each Purchase Period. The first Exercise Date under the Plan will be November 30, 2017.</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and unless the Administrator determines otherwise, the value of Common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determined as follows:</w:t>
      </w:r>
    </w:p>
    <w:p>
      <w:pPr>
        <w:spacing w:after="0" w:line="210" w:lineRule="exact"/>
        <w:rPr>
          <w:rFonts w:ascii="Arial" w:cs="Arial" w:eastAsia="Arial" w:hAnsi="Arial"/>
          <w:sz w:val="17"/>
          <w:szCs w:val="17"/>
          <w:color w:val="auto"/>
        </w:rPr>
      </w:pPr>
    </w:p>
    <w:p>
      <w:pPr>
        <w:jc w:val="both"/>
        <w:ind w:firstLine="2277"/>
        <w:spacing w:after="0" w:line="259" w:lineRule="auto"/>
        <w:tabs>
          <w:tab w:leader="none" w:pos="2919"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86" w:lineRule="exact"/>
        <w:rPr>
          <w:rFonts w:ascii="Arial" w:cs="Arial" w:eastAsia="Arial" w:hAnsi="Arial"/>
          <w:sz w:val="18"/>
          <w:szCs w:val="18"/>
          <w:color w:val="auto"/>
        </w:rPr>
      </w:pPr>
    </w:p>
    <w:p>
      <w:pPr>
        <w:jc w:val="both"/>
        <w:ind w:firstLine="2277"/>
        <w:spacing w:after="0" w:line="259" w:lineRule="auto"/>
        <w:tabs>
          <w:tab w:leader="none" w:pos="28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86" w:lineRule="exact"/>
        <w:rPr>
          <w:rFonts w:ascii="Arial" w:cs="Arial" w:eastAsia="Arial" w:hAnsi="Arial"/>
          <w:sz w:val="18"/>
          <w:szCs w:val="18"/>
          <w:color w:val="auto"/>
        </w:rPr>
      </w:pPr>
    </w:p>
    <w:p>
      <w:pPr>
        <w:ind w:left="2920" w:hanging="643"/>
        <w:spacing w:after="0"/>
        <w:tabs>
          <w:tab w:leader="none" w:pos="29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thereof will be determined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 faith by the Administrator.</w:t>
      </w:r>
    </w:p>
    <w:p>
      <w:pPr>
        <w:spacing w:after="0" w:line="210" w:lineRule="exact"/>
        <w:rPr>
          <w:rFonts w:ascii="Arial" w:cs="Arial" w:eastAsia="Arial" w:hAnsi="Arial"/>
          <w:sz w:val="16"/>
          <w:szCs w:val="16"/>
          <w:color w:val="auto"/>
        </w:rPr>
      </w:pPr>
    </w:p>
    <w:p>
      <w:pPr>
        <w:ind w:left="1800" w:hanging="495"/>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Exercise Date</w:t>
      </w:r>
      <w:r>
        <w:rPr>
          <w:rFonts w:ascii="Arial" w:cs="Arial" w:eastAsia="Arial" w:hAnsi="Arial"/>
          <w:sz w:val="18"/>
          <w:szCs w:val="18"/>
          <w:color w:val="auto"/>
        </w:rPr>
        <w:t>” means a new Exercise Date set by shortening any Offering Period then in progress.</w:t>
      </w:r>
    </w:p>
    <w:p>
      <w:pPr>
        <w:spacing w:after="0" w:line="225" w:lineRule="exact"/>
        <w:rPr>
          <w:rFonts w:ascii="Arial" w:cs="Arial" w:eastAsia="Arial" w:hAnsi="Arial"/>
          <w:sz w:val="18"/>
          <w:szCs w:val="18"/>
          <w:color w:val="auto"/>
        </w:rPr>
      </w:pPr>
    </w:p>
    <w:p>
      <w:pPr>
        <w:ind w:left="1800" w:hanging="495"/>
        <w:spacing w:after="0"/>
        <w:tabs>
          <w:tab w:leader="none" w:pos="1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Non-423 Plan Component</w:t>
      </w:r>
      <w:r>
        <w:rPr>
          <w:rFonts w:ascii="Arial" w:cs="Arial" w:eastAsia="Arial" w:hAnsi="Arial"/>
          <w:sz w:val="16"/>
          <w:szCs w:val="16"/>
          <w:color w:val="auto"/>
        </w:rPr>
        <w:t>” means a component of this Plan that is not intended to meet the requirements set forth in Section 423(b)</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Code.</w:t>
      </w:r>
    </w:p>
    <w:p>
      <w:pPr>
        <w:spacing w:after="0" w:line="210" w:lineRule="exact"/>
        <w:rPr>
          <w:rFonts w:ascii="Arial" w:cs="Arial" w:eastAsia="Arial" w:hAnsi="Arial"/>
          <w:sz w:val="16"/>
          <w:szCs w:val="16"/>
          <w:color w:val="auto"/>
        </w:rPr>
      </w:pPr>
    </w:p>
    <w:p>
      <w:pPr>
        <w:jc w:val="both"/>
        <w:ind w:firstLine="1305"/>
        <w:spacing w:after="0" w:line="297" w:lineRule="auto"/>
        <w:tabs>
          <w:tab w:leader="none" w:pos="19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w:t>
      </w:r>
      <w:r>
        <w:rPr>
          <w:rFonts w:ascii="Arial" w:cs="Arial" w:eastAsia="Arial" w:hAnsi="Arial"/>
          <w:sz w:val="16"/>
          <w:szCs w:val="16"/>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58" w:lineRule="exact"/>
        <w:rPr>
          <w:rFonts w:ascii="Arial" w:cs="Arial" w:eastAsia="Arial" w:hAnsi="Arial"/>
          <w:sz w:val="16"/>
          <w:szCs w:val="16"/>
          <w:color w:val="auto"/>
        </w:rPr>
      </w:pPr>
    </w:p>
    <w:p>
      <w:pPr>
        <w:ind w:left="1820" w:hanging="515"/>
        <w:spacing w:after="0"/>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means the first Trading Day of each Offering Period.</w:t>
      </w:r>
    </w:p>
    <w:p>
      <w:pPr>
        <w:spacing w:after="0" w:line="225" w:lineRule="exact"/>
        <w:rPr>
          <w:rFonts w:ascii="Arial" w:cs="Arial" w:eastAsia="Arial" w:hAnsi="Arial"/>
          <w:sz w:val="18"/>
          <w:szCs w:val="18"/>
          <w:color w:val="auto"/>
        </w:rPr>
      </w:pPr>
    </w:p>
    <w:p>
      <w:pPr>
        <w:jc w:val="both"/>
        <w:ind w:firstLine="1305"/>
        <w:spacing w:after="0" w:line="312" w:lineRule="auto"/>
        <w:tabs>
          <w:tab w:leader="none" w:pos="18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Periods</w:t>
      </w:r>
      <w:r>
        <w:rPr>
          <w:rFonts w:ascii="Arial" w:cs="Arial" w:eastAsia="Arial" w:hAnsi="Arial"/>
          <w:sz w:val="16"/>
          <w:szCs w:val="16"/>
          <w:color w:val="auto"/>
        </w:rPr>
        <w:t>” means the periods of approximately six (6) months during which an option granted pursuant to the Plan may be exercised, (i) commencing on the first Trading Day on or after May 31 and November 30 of each year and terminating on the first Trading Day on or after May 31 and November 30, approximately six months later. The duration and timing of Offering Periods may be changed pursuant to Sections 4 and 20.</w:t>
      </w:r>
    </w:p>
    <w:p>
      <w:pPr>
        <w:spacing w:after="0" w:line="146" w:lineRule="exact"/>
        <w:rPr>
          <w:rFonts w:ascii="Arial" w:cs="Arial" w:eastAsia="Arial" w:hAnsi="Arial"/>
          <w:sz w:val="16"/>
          <w:szCs w:val="16"/>
          <w:color w:val="auto"/>
        </w:rPr>
      </w:pPr>
    </w:p>
    <w:p>
      <w:pPr>
        <w:ind w:left="1820" w:hanging="515"/>
        <w:spacing w:after="0"/>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that participates in the Plan.</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1820" w:hanging="515"/>
        <w:spacing w:after="0"/>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Fluidigm Corporation 2017 Employee Stock Purchase Plan.</w:t>
      </w:r>
    </w:p>
    <w:p>
      <w:pPr>
        <w:spacing w:after="0" w:line="225" w:lineRule="exact"/>
        <w:rPr>
          <w:sz w:val="20"/>
          <w:szCs w:val="20"/>
          <w:color w:val="auto"/>
        </w:rPr>
      </w:pPr>
    </w:p>
    <w:p>
      <w:pPr>
        <w:jc w:val="both"/>
        <w:ind w:firstLine="1305"/>
        <w:spacing w:after="0" w:line="264" w:lineRule="auto"/>
        <w:tabs>
          <w:tab w:leader="none" w:pos="16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Period</w:t>
      </w:r>
      <w:r>
        <w:rPr>
          <w:rFonts w:ascii="Arial" w:cs="Arial" w:eastAsia="Arial" w:hAnsi="Arial"/>
          <w:sz w:val="18"/>
          <w:szCs w:val="18"/>
          <w:color w:val="auto"/>
        </w:rPr>
        <w:t>” means the period during an Offering Period which shares of Common Stock may be purchased on a Participant’s behalf in accordance with the terms of the Plan. Unless the Administrator provides otherwise, the Purchase Period will have the same duration and coincide with the length of the Offering Period.</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641"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an amount equal to eighty-five percent (85%) of the Fair Market Value of a share of Common Stock on the Offering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spacing w:after="0" w:line="186" w:lineRule="exact"/>
        <w:rPr>
          <w:rFonts w:ascii="Arial" w:cs="Arial" w:eastAsia="Arial" w:hAnsi="Arial"/>
          <w:sz w:val="18"/>
          <w:szCs w:val="18"/>
          <w:color w:val="auto"/>
        </w:rPr>
      </w:pPr>
    </w:p>
    <w:p>
      <w:pPr>
        <w:ind w:left="1620" w:hanging="315"/>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national stock exchange upon which the Common Stock is listed is open for trading.</w:t>
      </w:r>
    </w:p>
    <w:p>
      <w:pPr>
        <w:spacing w:after="0" w:line="236" w:lineRule="exact"/>
        <w:rPr>
          <w:rFonts w:ascii="Arial" w:cs="Arial" w:eastAsia="Arial" w:hAnsi="Arial"/>
          <w:sz w:val="17"/>
          <w:szCs w:val="17"/>
          <w:color w:val="auto"/>
        </w:rPr>
      </w:pPr>
    </w:p>
    <w:p>
      <w:pPr>
        <w:jc w:val="both"/>
        <w:ind w:firstLine="1305"/>
        <w:spacing w:after="0" w:line="286" w:lineRule="auto"/>
        <w:tabs>
          <w:tab w:leader="none" w:pos="1621"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Treasury Regulations</w:t>
      </w:r>
      <w:r>
        <w:rPr>
          <w:rFonts w:ascii="Arial" w:cs="Arial" w:eastAsia="Arial" w:hAnsi="Arial"/>
          <w:sz w:val="17"/>
          <w:szCs w:val="17"/>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65" w:lineRule="exact"/>
        <w:rPr>
          <w:rFonts w:ascii="Arial" w:cs="Arial" w:eastAsia="Arial" w:hAnsi="Arial"/>
          <w:sz w:val="17"/>
          <w:szCs w:val="17"/>
          <w:color w:val="auto"/>
        </w:rPr>
      </w:pPr>
    </w:p>
    <w:p>
      <w:pPr>
        <w:ind w:left="1100" w:hanging="444"/>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Any Eligible Employee on a given Offering Date will be eligible to participate in the Plan, subject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requirements of Section 5.</w:t>
      </w:r>
    </w:p>
    <w:p>
      <w:pPr>
        <w:spacing w:after="0" w:line="210" w:lineRule="exact"/>
        <w:rPr>
          <w:rFonts w:ascii="Arial" w:cs="Arial" w:eastAsia="Arial" w:hAnsi="Arial"/>
          <w:sz w:val="17"/>
          <w:szCs w:val="17"/>
          <w:color w:val="auto"/>
        </w:rPr>
      </w:pPr>
    </w:p>
    <w:p>
      <w:pPr>
        <w:jc w:val="both"/>
        <w:ind w:firstLine="1305"/>
        <w:spacing w:after="0" w:line="279" w:lineRule="auto"/>
        <w:tabs>
          <w:tab w:leader="none" w:pos="1889"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Non-U.S. Employees</w:t>
      </w:r>
      <w:r>
        <w:rPr>
          <w:rFonts w:ascii="Arial" w:cs="Arial" w:eastAsia="Arial" w:hAnsi="Arial"/>
          <w:sz w:val="17"/>
          <w:szCs w:val="17"/>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w:t>
      </w:r>
    </w:p>
    <w:p>
      <w:pPr>
        <w:spacing w:after="0" w:line="171" w:lineRule="exact"/>
        <w:rPr>
          <w:rFonts w:ascii="Arial" w:cs="Arial" w:eastAsia="Arial" w:hAnsi="Arial"/>
          <w:sz w:val="17"/>
          <w:szCs w:val="17"/>
          <w:color w:val="auto"/>
        </w:rPr>
      </w:pPr>
    </w:p>
    <w:p>
      <w:pPr>
        <w:jc w:val="both"/>
        <w:ind w:firstLine="1305"/>
        <w:spacing w:after="0" w:line="290" w:lineRule="auto"/>
        <w:tabs>
          <w:tab w:leader="none" w:pos="1865"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656"/>
        <w:spacing w:after="0" w:line="259" w:lineRule="auto"/>
        <w:tabs>
          <w:tab w:leader="none" w:pos="111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The Plan will be implemented by consecutive Offering Periods with a new Offering Period commencing on the first Trading Day on or after May 31 and November 30 each year, or on such other date as the Administrator will determine.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35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An Eligible Employee may participate in the Plan pursuant to Section 3(a) by (i) submitting to the Company’s stock administration office (or its designee), on or before a date determined by the Administrator prior to an applicable Offering Date, a properly completed subscription agreement authorizing Contributions in the form provided by the Administrator for such purpose (which may be similar to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or (ii) following an electronic or other enrollment procedure determined by the Administrator.</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84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the time a Participant enrolls in the Plan pursuant to Section 5, he or she will elect to have payroll deductions made on each pay day or other Contributions (to the extent permitted by the Administrator) made during the Offering Period in an amount not exceeding ten percent (10%) of the Compensation, which he or she receives on each pay day during the Offering Period. A Participant’s subscription agreement will remain in effect for successive Offering Periods unless terminated as provided in Section 10 hereof.</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8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Payroll deductions for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w:t>
      </w:r>
    </w:p>
    <w:p>
      <w:pPr>
        <w:spacing w:after="0" w:line="181" w:lineRule="exact"/>
        <w:rPr>
          <w:rFonts w:ascii="Arial" w:cs="Arial" w:eastAsia="Arial" w:hAnsi="Arial"/>
          <w:sz w:val="18"/>
          <w:szCs w:val="18"/>
          <w:color w:val="auto"/>
        </w:rPr>
      </w:pPr>
    </w:p>
    <w:p>
      <w:pPr>
        <w:ind w:firstLine="1305"/>
        <w:spacing w:after="0" w:line="308" w:lineRule="auto"/>
        <w:tabs>
          <w:tab w:leader="none" w:pos="1823"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Contributions made for a Participant will be credited to his or her account under the Plan and payroll deductions will be made in whole percentages only. A Participant may not make any additional payments into such account, unless required by Applicable Law.</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9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the Plan as provided in Section 10. Unless otherwise determined by the Administrator, a Participant may not increase or decrease the rate of his or her Contributions during an Offering Period, except for a withdrawal in accordance with Section 10.</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0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 Section 423(b)(8) of the Code and Section 3(b), a Participant’s Contributions may be decreased to zero percent (0%) at any time during a Purchase Period. Subject to Section 423(b)(8) of the Code and Section 3(b)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86" w:lineRule="exact"/>
        <w:rPr>
          <w:rFonts w:ascii="Arial" w:cs="Arial" w:eastAsia="Arial" w:hAnsi="Arial"/>
          <w:sz w:val="18"/>
          <w:szCs w:val="18"/>
          <w:color w:val="auto"/>
        </w:rPr>
      </w:pPr>
    </w:p>
    <w:p>
      <w:pPr>
        <w:jc w:val="both"/>
        <w:ind w:firstLine="1305"/>
        <w:spacing w:after="0" w:line="288" w:lineRule="auto"/>
        <w:tabs>
          <w:tab w:leader="none" w:pos="1879" w:val="left"/>
        </w:tabs>
        <w:numPr>
          <w:ilvl w:val="1"/>
          <w:numId w:val="19"/>
        </w:numPr>
        <w:rPr>
          <w:rFonts w:ascii="Arial" w:cs="Arial" w:eastAsia="Arial" w:hAnsi="Arial"/>
          <w:sz w:val="16"/>
          <w:szCs w:val="16"/>
          <w:color w:val="auto"/>
        </w:rPr>
      </w:pPr>
      <w:r>
        <w:rPr>
          <w:rFonts w:ascii="Arial" w:cs="Arial" w:eastAsia="Arial" w:hAnsi="Arial"/>
          <w:sz w:val="16"/>
          <w:szCs w:val="16"/>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insurance contributions,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or other payments made to Participant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 for Offerings under the Code Section 423 Plan Component.</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656"/>
        <w:spacing w:after="0" w:line="253" w:lineRule="auto"/>
        <w:tabs>
          <w:tab w:leader="none" w:pos="113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and including such Exercise Date and retained in the Eligible Employee’s account as of the Exercise Date by the applicable Purchase Price; provided that in no event will an Eligible Employee be permitted to purchase during each Offering Period more than 5,000 shares of Common Stock (subject to any adjustment pursuant to Section 19) and provided further that such purchase will be subject to the limitations set forth in Sections 3(c)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or Offering Period. Exercise of the option will occur as provided in Section 8, unless the Participant has withdrawn pursuant to Section 10. The option will expire on the last day of the Offering Period.</w:t>
      </w:r>
    </w:p>
    <w:p>
      <w:pPr>
        <w:spacing w:after="0" w:line="194" w:lineRule="exact"/>
        <w:rPr>
          <w:rFonts w:ascii="Arial" w:cs="Arial" w:eastAsia="Arial" w:hAnsi="Arial"/>
          <w:sz w:val="18"/>
          <w:szCs w:val="18"/>
          <w:color w:val="auto"/>
        </w:rPr>
      </w:pPr>
    </w:p>
    <w:p>
      <w:pPr>
        <w:ind w:left="1100" w:hanging="4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901" w:val="left"/>
        </w:tabs>
        <w:numPr>
          <w:ilvl w:val="1"/>
          <w:numId w:val="20"/>
        </w:numPr>
        <w:rPr>
          <w:rFonts w:ascii="Arial" w:cs="Arial" w:eastAsia="Arial" w:hAnsi="Arial"/>
          <w:sz w:val="18"/>
          <w:szCs w:val="18"/>
          <w:color w:val="auto"/>
        </w:rPr>
      </w:pPr>
      <w:r>
        <w:rPr>
          <w:rFonts w:ascii="Arial" w:cs="Arial" w:eastAsia="Arial" w:hAnsi="Arial"/>
          <w:sz w:val="18"/>
          <w:szCs w:val="18"/>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returned to the Participant. Any other funds left over in a Participant’s account after the Exercise Date will be returned to the Participant. During a Participant’s lifetime, a Participant’s option to purchase shares hereunder is exercisable only by the Participant.</w:t>
      </w:r>
    </w:p>
    <w:p>
      <w:pPr>
        <w:spacing w:after="0" w:line="193" w:lineRule="exact"/>
        <w:rPr>
          <w:rFonts w:ascii="Arial" w:cs="Arial" w:eastAsia="Arial" w:hAnsi="Arial"/>
          <w:sz w:val="18"/>
          <w:szCs w:val="18"/>
          <w:color w:val="auto"/>
        </w:rPr>
      </w:pPr>
    </w:p>
    <w:p>
      <w:pPr>
        <w:jc w:val="both"/>
        <w:ind w:firstLine="1305"/>
        <w:spacing w:after="0" w:line="270" w:lineRule="auto"/>
        <w:tabs>
          <w:tab w:leader="none" w:pos="1965" w:val="left"/>
        </w:tabs>
        <w:numPr>
          <w:ilvl w:val="1"/>
          <w:numId w:val="20"/>
        </w:numPr>
        <w:rPr>
          <w:rFonts w:ascii="Arial" w:cs="Arial" w:eastAsia="Arial" w:hAnsi="Arial"/>
          <w:sz w:val="17"/>
          <w:szCs w:val="17"/>
          <w:color w:val="auto"/>
        </w:rPr>
      </w:pPr>
      <w:r>
        <w:rPr>
          <w:rFonts w:ascii="Arial" w:cs="Arial" w:eastAsia="Arial" w:hAnsi="Arial"/>
          <w:sz w:val="17"/>
          <w:szCs w:val="17"/>
          <w:color w:val="auto"/>
        </w:rPr>
        <w:t>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 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terminate any or all Offering Periods then in effect pursuant to Section 20.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56"/>
        <w:spacing w:after="0" w:line="254" w:lineRule="auto"/>
        <w:tabs>
          <w:tab w:leader="none" w:pos="115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92" w:lineRule="exact"/>
        <w:rPr>
          <w:rFonts w:ascii="Arial" w:cs="Arial" w:eastAsia="Arial" w:hAnsi="Arial"/>
          <w:sz w:val="18"/>
          <w:szCs w:val="18"/>
          <w:color w:val="auto"/>
        </w:rPr>
      </w:pPr>
    </w:p>
    <w:p>
      <w:pPr>
        <w:ind w:left="1200" w:hanging="544"/>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9" w:lineRule="auto"/>
        <w:tabs>
          <w:tab w:leader="none" w:pos="1841"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or (ii) following an electronic or other withdrawal procedure determined by the Administrator, in each case, at least 10 days prior to the Exercise Date (the “Withdrawal Deadline”). If a withdrawal under this Section 10(a) is not timely made prior to the Withdrawal Deadline, then the Participant’s option for the Offering Period will continue to be exercised on an Exercise Date.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66" w:lineRule="exact"/>
        <w:rPr>
          <w:rFonts w:ascii="Arial" w:cs="Arial" w:eastAsia="Arial" w:hAnsi="Arial"/>
          <w:sz w:val="16"/>
          <w:szCs w:val="16"/>
          <w:color w:val="auto"/>
        </w:rPr>
      </w:pPr>
    </w:p>
    <w:p>
      <w:pPr>
        <w:jc w:val="both"/>
        <w:ind w:firstLine="1305"/>
        <w:spacing w:after="0" w:line="264" w:lineRule="auto"/>
        <w:tabs>
          <w:tab w:leader="none" w:pos="18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29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right="20" w:firstLine="656"/>
        <w:spacing w:after="0" w:line="342" w:lineRule="auto"/>
        <w:tabs>
          <w:tab w:leader="none" w:pos="118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No interest will accrue on Contributions of a Participant in the Plan, except as may be required by Applicable Law, as determined by the Company, for Participants in the Non-423 Plan Component (or the Code Section 423 Plan Component if permitted under Section 423 of the Code).</w:t>
      </w:r>
    </w:p>
    <w:p>
      <w:pPr>
        <w:spacing w:after="0" w:line="123" w:lineRule="exact"/>
        <w:rPr>
          <w:rFonts w:ascii="Arial" w:cs="Arial" w:eastAsia="Arial" w:hAnsi="Arial"/>
          <w:sz w:val="16"/>
          <w:szCs w:val="16"/>
          <w:color w:val="auto"/>
        </w:rPr>
      </w:pPr>
    </w:p>
    <w:p>
      <w:pPr>
        <w:ind w:left="1200" w:hanging="544"/>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9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Subject to adjustment upon changes in capitalization of the Company as provided in Section 19 hereof, the maximum number of shares of Common Stock that will be made available for sale under the Plan will be 1,000,000 shares of Common Stock.</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8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81" w:lineRule="exact"/>
        <w:rPr>
          <w:rFonts w:ascii="Arial" w:cs="Arial" w:eastAsia="Arial" w:hAnsi="Arial"/>
          <w:sz w:val="18"/>
          <w:szCs w:val="18"/>
          <w:color w:val="auto"/>
        </w:rPr>
      </w:pPr>
    </w:p>
    <w:p>
      <w:pPr>
        <w:ind w:firstLine="1305"/>
        <w:spacing w:after="0" w:line="277" w:lineRule="auto"/>
        <w:tabs>
          <w:tab w:leader="none" w:pos="1881"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Shares of Common Stock to be delivered to a Participant under the Plan will be registered in the name of the Participant or in the name of the Participant and his or her spouse.</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20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68" w:lineRule="exact"/>
        <w:rPr>
          <w:rFonts w:ascii="Arial" w:cs="Arial" w:eastAsia="Arial" w:hAnsi="Arial"/>
          <w:sz w:val="16"/>
          <w:szCs w:val="16"/>
          <w:color w:val="auto"/>
        </w:rPr>
      </w:pPr>
    </w:p>
    <w:p>
      <w:pPr>
        <w:ind w:left="1200" w:hanging="544"/>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97" w:lineRule="auto"/>
        <w:tabs>
          <w:tab w:leader="none" w:pos="1916"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1305"/>
        <w:spacing w:after="0" w:line="255" w:lineRule="auto"/>
        <w:tabs>
          <w:tab w:leader="none" w:pos="1842"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93" w:lineRule="exact"/>
        <w:rPr>
          <w:rFonts w:ascii="Arial" w:cs="Arial" w:eastAsia="Arial" w:hAnsi="Arial"/>
          <w:sz w:val="18"/>
          <w:szCs w:val="18"/>
          <w:color w:val="auto"/>
        </w:rPr>
      </w:pPr>
    </w:p>
    <w:p>
      <w:pPr>
        <w:jc w:val="both"/>
        <w:ind w:firstLine="1305"/>
        <w:spacing w:after="0" w:line="302" w:lineRule="auto"/>
        <w:tabs>
          <w:tab w:leader="none" w:pos="1853"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Administrator may determine whether Participants may designate beneficiaries under the Plan. Notwithstanding Sections 15(a) and (b) above, the Company and/or the Administrator may decide not to permit such designations by Participants pursuant to Offerings under the Non-423 Plan Component, and for Offerings under the Code Section 423 Plan Component in non-U.S. jurisdictions to the extent permitted by U.S. Treasury Regulation Section 1.423-2(f). All beneficiary designations will be in such form and manner as the Administrator may designate from time to time.</w:t>
      </w:r>
    </w:p>
    <w:p>
      <w:pPr>
        <w:spacing w:after="0" w:line="154" w:lineRule="exact"/>
        <w:rPr>
          <w:rFonts w:ascii="Arial" w:cs="Arial" w:eastAsia="Arial" w:hAnsi="Arial"/>
          <w:sz w:val="16"/>
          <w:szCs w:val="16"/>
          <w:color w:val="auto"/>
        </w:rPr>
      </w:pPr>
    </w:p>
    <w:p>
      <w:pPr>
        <w:jc w:val="both"/>
        <w:ind w:firstLine="656"/>
        <w:spacing w:after="0" w:line="302" w:lineRule="auto"/>
        <w:tabs>
          <w:tab w:leader="none" w:pos="121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54" w:lineRule="exact"/>
        <w:rPr>
          <w:rFonts w:ascii="Arial" w:cs="Arial" w:eastAsia="Arial" w:hAnsi="Arial"/>
          <w:sz w:val="16"/>
          <w:szCs w:val="16"/>
          <w:color w:val="auto"/>
        </w:rPr>
      </w:pPr>
    </w:p>
    <w:p>
      <w:pPr>
        <w:jc w:val="both"/>
        <w:ind w:firstLine="656"/>
        <w:spacing w:after="0" w:line="286" w:lineRule="auto"/>
        <w:tabs>
          <w:tab w:leader="none" w:pos="1188"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Use of Funds</w:t>
      </w:r>
      <w:r>
        <w:rPr>
          <w:rFonts w:ascii="Arial" w:cs="Arial" w:eastAsia="Arial" w:hAnsi="Arial"/>
          <w:sz w:val="17"/>
          <w:szCs w:val="17"/>
          <w:color w:val="auto"/>
        </w:rPr>
        <w:t>. The Company may use all Contributions received or held by it under the Plan for any corporate purpose, and the Company will not be obligated to segregate such Contributions, unless otherwise required by Applicable Laws, as determined by the Administrator. Until shares of Common Stock are issued, Participants will only have the rights of an unsecured creditor with respect to such shares.</w:t>
      </w:r>
    </w:p>
    <w:p>
      <w:pPr>
        <w:spacing w:after="0" w:line="165" w:lineRule="exact"/>
        <w:rPr>
          <w:rFonts w:ascii="Arial" w:cs="Arial" w:eastAsia="Arial" w:hAnsi="Arial"/>
          <w:sz w:val="17"/>
          <w:szCs w:val="17"/>
          <w:color w:val="auto"/>
        </w:rPr>
      </w:pPr>
    </w:p>
    <w:p>
      <w:pPr>
        <w:jc w:val="both"/>
        <w:ind w:firstLine="656"/>
        <w:spacing w:after="0" w:line="264" w:lineRule="auto"/>
        <w:tabs>
          <w:tab w:leader="none" w:pos="120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Adjustments, Dissolution, Liquidation, Merger or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93" w:lineRule="auto"/>
        <w:tabs>
          <w:tab w:leader="none" w:pos="1865"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1305"/>
        <w:spacing w:after="0" w:line="273" w:lineRule="auto"/>
        <w:tabs>
          <w:tab w:leader="none" w:pos="1943"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78" w:lineRule="exact"/>
        <w:rPr>
          <w:rFonts w:ascii="Arial" w:cs="Arial" w:eastAsia="Arial" w:hAnsi="Arial"/>
          <w:sz w:val="17"/>
          <w:szCs w:val="17"/>
          <w:color w:val="auto"/>
        </w:rPr>
      </w:pPr>
    </w:p>
    <w:p>
      <w:pPr>
        <w:jc w:val="both"/>
        <w:ind w:firstLine="1305"/>
        <w:spacing w:after="0" w:line="272" w:lineRule="auto"/>
        <w:tabs>
          <w:tab w:leader="none" w:pos="1973"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Merger or Change in Control</w:t>
      </w:r>
      <w:r>
        <w:rPr>
          <w:rFonts w:ascii="Arial" w:cs="Arial" w:eastAsia="Arial" w:hAnsi="Arial"/>
          <w:sz w:val="17"/>
          <w:szCs w:val="17"/>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77" w:lineRule="exact"/>
        <w:rPr>
          <w:rFonts w:ascii="Arial" w:cs="Arial" w:eastAsia="Arial" w:hAnsi="Arial"/>
          <w:sz w:val="17"/>
          <w:szCs w:val="17"/>
          <w:color w:val="auto"/>
        </w:rPr>
      </w:pPr>
    </w:p>
    <w:p>
      <w:pPr>
        <w:ind w:left="1200" w:hanging="544"/>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8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w:t>
      </w:r>
      <w:r>
        <w:rPr>
          <w:rFonts w:ascii="Arial" w:cs="Arial" w:eastAsia="Arial" w:hAnsi="Arial"/>
          <w:sz w:val="18"/>
          <w:szCs w:val="18"/>
          <w:b w:val="1"/>
          <w:bCs w:val="1"/>
          <w:color w:val="auto"/>
        </w:rPr>
        <w:t>’</w:t>
      </w:r>
      <w:r>
        <w:rPr>
          <w:rFonts w:ascii="Arial" w:cs="Arial" w:eastAsia="Arial" w:hAnsi="Arial"/>
          <w:sz w:val="18"/>
          <w:szCs w:val="18"/>
          <w:color w:val="auto"/>
        </w:rPr>
        <w:t xml:space="preserve"> accounts that have not been used to purchase shares of Common Stock will be returned to the Participants (without interest thereon, , except as otherwise required by Applicable Laws) as soon as administratively practicable.</w:t>
      </w:r>
    </w:p>
    <w:p>
      <w:pPr>
        <w:spacing w:after="0" w:line="189" w:lineRule="exact"/>
        <w:rPr>
          <w:rFonts w:ascii="Arial" w:cs="Arial" w:eastAsia="Arial" w:hAnsi="Arial"/>
          <w:sz w:val="18"/>
          <w:szCs w:val="18"/>
          <w:color w:val="auto"/>
        </w:rPr>
      </w:pPr>
    </w:p>
    <w:p>
      <w:pPr>
        <w:jc w:val="both"/>
        <w:ind w:firstLine="1305"/>
        <w:spacing w:after="0" w:line="255" w:lineRule="auto"/>
        <w:tabs>
          <w:tab w:leader="none" w:pos="1837" w:val="left"/>
        </w:tabs>
        <w:numPr>
          <w:ilvl w:val="1"/>
          <w:numId w:val="26"/>
        </w:numPr>
        <w:rPr>
          <w:rFonts w:ascii="Arial" w:cs="Arial" w:eastAsia="Arial" w:hAnsi="Arial"/>
          <w:sz w:val="18"/>
          <w:szCs w:val="18"/>
          <w:color w:val="auto"/>
        </w:rPr>
      </w:pPr>
      <w:r>
        <w:rPr>
          <w:rFonts w:ascii="Arial" w:cs="Arial" w:eastAsia="Arial" w:hAnsi="Arial"/>
          <w:sz w:val="18"/>
          <w:szCs w:val="18"/>
          <w:color w:val="auto"/>
        </w:rPr>
        <w:t>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1305"/>
        <w:spacing w:after="0" w:line="264" w:lineRule="auto"/>
        <w:tabs>
          <w:tab w:leader="none" w:pos="193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81" w:lineRule="exact"/>
        <w:rPr>
          <w:rFonts w:ascii="Arial" w:cs="Arial" w:eastAsia="Arial" w:hAnsi="Arial"/>
          <w:sz w:val="18"/>
          <w:szCs w:val="18"/>
          <w:color w:val="auto"/>
        </w:rPr>
      </w:pPr>
    </w:p>
    <w:p>
      <w:pPr>
        <w:ind w:firstLine="2277"/>
        <w:spacing w:after="0" w:line="308" w:lineRule="auto"/>
        <w:tabs>
          <w:tab w:leader="none" w:pos="2973" w:val="left"/>
        </w:tabs>
        <w:numPr>
          <w:ilvl w:val="2"/>
          <w:numId w:val="27"/>
        </w:numPr>
        <w:rPr>
          <w:rFonts w:ascii="Arial" w:cs="Arial" w:eastAsia="Arial" w:hAnsi="Arial"/>
          <w:sz w:val="17"/>
          <w:szCs w:val="17"/>
          <w:color w:val="auto"/>
        </w:rPr>
      </w:pPr>
      <w:r>
        <w:rPr>
          <w:rFonts w:ascii="Arial" w:cs="Arial" w:eastAsia="Arial" w:hAnsi="Arial"/>
          <w:sz w:val="17"/>
          <w:szCs w:val="17"/>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46" w:lineRule="exact"/>
        <w:rPr>
          <w:rFonts w:ascii="Arial" w:cs="Arial" w:eastAsia="Arial" w:hAnsi="Arial"/>
          <w:sz w:val="17"/>
          <w:szCs w:val="17"/>
          <w:color w:val="auto"/>
        </w:rPr>
      </w:pPr>
    </w:p>
    <w:p>
      <w:pPr>
        <w:ind w:firstLine="2277"/>
        <w:spacing w:after="0" w:line="277" w:lineRule="auto"/>
        <w:tabs>
          <w:tab w:leader="none" w:pos="2808" w:val="left"/>
        </w:tabs>
        <w:numPr>
          <w:ilvl w:val="2"/>
          <w:numId w:val="27"/>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or Purchase Period including an Offering Period or Purchase Period underway at the time of the change in Purchase Price;</w:t>
      </w:r>
    </w:p>
    <w:p>
      <w:pPr>
        <w:spacing w:after="0" w:line="170" w:lineRule="exact"/>
        <w:rPr>
          <w:rFonts w:ascii="Arial" w:cs="Arial" w:eastAsia="Arial" w:hAnsi="Arial"/>
          <w:sz w:val="18"/>
          <w:szCs w:val="18"/>
          <w:color w:val="auto"/>
        </w:rPr>
      </w:pPr>
    </w:p>
    <w:p>
      <w:pPr>
        <w:ind w:firstLine="2277"/>
        <w:spacing w:after="0" w:line="277" w:lineRule="auto"/>
        <w:tabs>
          <w:tab w:leader="none" w:pos="2925"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shortening any Offering Period or Purchase Period by setting a New Exercise Date, including an Offering Period or Purchase Period underway at the time of the Administrator action;</w:t>
      </w:r>
    </w:p>
    <w:p>
      <w:pPr>
        <w:spacing w:after="0" w:line="170" w:lineRule="exact"/>
        <w:rPr>
          <w:rFonts w:ascii="Arial" w:cs="Arial" w:eastAsia="Arial" w:hAnsi="Arial"/>
          <w:sz w:val="18"/>
          <w:szCs w:val="18"/>
          <w:color w:val="auto"/>
        </w:rPr>
      </w:pPr>
    </w:p>
    <w:p>
      <w:pPr>
        <w:ind w:left="2860" w:hanging="583"/>
        <w:spacing w:after="0"/>
        <w:tabs>
          <w:tab w:leader="none" w:pos="2860" w:val="left"/>
        </w:tabs>
        <w:numPr>
          <w:ilvl w:val="2"/>
          <w:numId w:val="27"/>
        </w:numPr>
        <w:rPr>
          <w:rFonts w:ascii="Arial" w:cs="Arial" w:eastAsia="Arial" w:hAnsi="Arial"/>
          <w:sz w:val="17"/>
          <w:szCs w:val="17"/>
          <w:color w:val="auto"/>
        </w:rPr>
      </w:pPr>
      <w:r>
        <w:rPr>
          <w:rFonts w:ascii="Arial" w:cs="Arial" w:eastAsia="Arial" w:hAnsi="Arial"/>
          <w:sz w:val="17"/>
          <w:szCs w:val="17"/>
          <w:color w:val="auto"/>
        </w:rPr>
        <w:t>reducing the maximum percentage of Compensation a Participant may elect to set aside as Contributions; and</w:t>
      </w:r>
    </w:p>
    <w:p>
      <w:pPr>
        <w:spacing w:after="0" w:line="236" w:lineRule="exact"/>
        <w:rPr>
          <w:rFonts w:ascii="Arial" w:cs="Arial" w:eastAsia="Arial" w:hAnsi="Arial"/>
          <w:sz w:val="17"/>
          <w:szCs w:val="17"/>
          <w:color w:val="auto"/>
        </w:rPr>
      </w:pPr>
    </w:p>
    <w:p>
      <w:pPr>
        <w:ind w:right="200" w:firstLine="2277"/>
        <w:spacing w:after="0" w:line="501" w:lineRule="auto"/>
        <w:tabs>
          <w:tab w:leader="none" w:pos="2794" w:val="left"/>
        </w:tabs>
        <w:numPr>
          <w:ilvl w:val="2"/>
          <w:numId w:val="27"/>
        </w:numPr>
        <w:rPr>
          <w:rFonts w:ascii="Arial" w:cs="Arial" w:eastAsia="Arial" w:hAnsi="Arial"/>
          <w:sz w:val="18"/>
          <w:szCs w:val="18"/>
          <w:color w:val="auto"/>
        </w:rPr>
      </w:pPr>
      <w:r>
        <w:rPr>
          <w:rFonts w:ascii="Arial" w:cs="Arial" w:eastAsia="Arial" w:hAnsi="Arial"/>
          <w:sz w:val="18"/>
          <w:szCs w:val="18"/>
          <w:color w:val="auto"/>
        </w:rPr>
        <w:t>reducing the maximum number of Shares a Participant may purchase during any Offering Period or Purchase Period. Such modifications or amendments will not require stockholder approval or the consent of any Plan Participants.</w:t>
      </w:r>
    </w:p>
    <w:p>
      <w:pPr>
        <w:jc w:val="both"/>
        <w:ind w:firstLine="656"/>
        <w:spacing w:after="0" w:line="264" w:lineRule="auto"/>
        <w:tabs>
          <w:tab w:leader="none" w:pos="122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1" w:lineRule="exact"/>
        <w:rPr>
          <w:rFonts w:ascii="Arial" w:cs="Arial" w:eastAsia="Arial" w:hAnsi="Arial"/>
          <w:sz w:val="18"/>
          <w:szCs w:val="18"/>
          <w:color w:val="auto"/>
        </w:rPr>
      </w:pPr>
    </w:p>
    <w:p>
      <w:pPr>
        <w:jc w:val="both"/>
        <w:ind w:firstLine="656"/>
        <w:spacing w:after="0" w:line="302" w:lineRule="auto"/>
        <w:tabs>
          <w:tab w:leader="none" w:pos="120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5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jc w:val="both"/>
        <w:ind w:firstLine="656"/>
        <w:spacing w:after="0" w:line="269" w:lineRule="auto"/>
        <w:tabs>
          <w:tab w:leader="none" w:pos="132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xml:space="preserve"> The Code Section 423 Plan Component is exempt from the application of Code Section 409A. The Non-423 Plan Component is intended to be exempt from Code Section 409A under the short-term deferral exception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firstLine="656"/>
        <w:spacing w:after="0" w:line="277" w:lineRule="auto"/>
        <w:tabs>
          <w:tab w:leader="none" w:pos="128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will become effective upon its adoption by the Board or its approval by the stockholders of the Company. It will continue in effect until terminated under Section 20.</w:t>
      </w:r>
    </w:p>
    <w:p>
      <w:pPr>
        <w:spacing w:after="0" w:line="170" w:lineRule="exact"/>
        <w:rPr>
          <w:rFonts w:ascii="Arial" w:cs="Arial" w:eastAsia="Arial" w:hAnsi="Arial"/>
          <w:sz w:val="18"/>
          <w:szCs w:val="18"/>
          <w:color w:val="auto"/>
        </w:rPr>
      </w:pPr>
    </w:p>
    <w:p>
      <w:pPr>
        <w:ind w:firstLine="656"/>
        <w:spacing w:after="0" w:line="308" w:lineRule="auto"/>
        <w:tabs>
          <w:tab w:leader="none" w:pos="120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46" w:lineRule="exact"/>
        <w:rPr>
          <w:rFonts w:ascii="Arial" w:cs="Arial" w:eastAsia="Arial" w:hAnsi="Arial"/>
          <w:sz w:val="17"/>
          <w:szCs w:val="17"/>
          <w:color w:val="auto"/>
        </w:rPr>
      </w:pPr>
    </w:p>
    <w:p>
      <w:pPr>
        <w:jc w:val="both"/>
        <w:ind w:firstLine="656"/>
        <w:spacing w:after="0" w:line="279" w:lineRule="auto"/>
        <w:tabs>
          <w:tab w:leader="none" w:pos="1404"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Governing Law; Severability</w:t>
      </w:r>
      <w:r>
        <w:rPr>
          <w:rFonts w:ascii="Arial" w:cs="Arial" w:eastAsia="Arial" w:hAnsi="Arial"/>
          <w:sz w:val="17"/>
          <w:szCs w:val="17"/>
          <w:color w:val="auto"/>
        </w:rPr>
        <w:t>. The Plan and all determinations made and actions taken thereunder shall be governed by the internal substantive laws, and not the choice of law rules, of the State of California, United States and construed accordingly, to the extent not superseded by applicable U.S. federal law. If any provision of the Plan shall be held unlawful or otherwise invalid or unenforceable in whole or in part, the unlawfulness, invalidity or unenforceability shall not affect any other provision of the Plan or part thereof, each of which shall remain in full force and effect.</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21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subscription agreement shall interfere with or limit in any way the right of the Employer to terminate any Participant’s employment at any time, provided in compliance with applicable laws, nor confer upon any Participant any right to continue in the employ of the Employer.</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EMPLOYEE STOCK PURCHASE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AGREEMENT</w:t>
      </w:r>
    </w:p>
    <w:p>
      <w:pPr>
        <w:spacing w:after="0" w:line="200" w:lineRule="exact"/>
        <w:rPr>
          <w:sz w:val="20"/>
          <w:szCs w:val="20"/>
          <w:color w:val="auto"/>
        </w:rPr>
      </w:pPr>
    </w:p>
    <w:p>
      <w:pPr>
        <w:spacing w:after="0" w:line="245"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Offering Date: ______________</w:t>
      </w:r>
    </w:p>
    <w:p>
      <w:pPr>
        <w:spacing w:after="0" w:line="225" w:lineRule="exact"/>
        <w:rPr>
          <w:sz w:val="20"/>
          <w:szCs w:val="20"/>
          <w:color w:val="auto"/>
        </w:rPr>
      </w:pPr>
    </w:p>
    <w:p>
      <w:pPr>
        <w:ind w:firstLine="656"/>
        <w:spacing w:after="0" w:line="277" w:lineRule="auto"/>
        <w:tabs>
          <w:tab w:leader="none" w:pos="12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____________________ hereby elects to participate in the Fluidigm Corporation 2017 Employee Stock Purchase Plan (the “</w:t>
      </w:r>
      <w:r>
        <w:rPr>
          <w:rFonts w:ascii="Arial" w:cs="Arial" w:eastAsia="Arial" w:hAnsi="Arial"/>
          <w:sz w:val="18"/>
          <w:szCs w:val="18"/>
          <w:u w:val="single" w:color="auto"/>
          <w:color w:val="auto"/>
        </w:rPr>
        <w:t>Plan</w:t>
      </w:r>
      <w:r>
        <w:rPr>
          <w:rFonts w:ascii="Arial" w:cs="Arial" w:eastAsia="Arial" w:hAnsi="Arial"/>
          <w:sz w:val="18"/>
          <w:szCs w:val="18"/>
          <w:color w:val="auto"/>
        </w:rPr>
        <w:t>”) and subscribes to purchase shares of the Company’s Common Stock in accordance with this Subscription Agreement and the Plan.</w:t>
      </w:r>
    </w:p>
    <w:p>
      <w:pPr>
        <w:spacing w:after="0" w:line="170" w:lineRule="exact"/>
        <w:rPr>
          <w:rFonts w:ascii="Arial" w:cs="Arial" w:eastAsia="Arial" w:hAnsi="Arial"/>
          <w:sz w:val="18"/>
          <w:szCs w:val="18"/>
          <w:color w:val="auto"/>
        </w:rPr>
      </w:pPr>
    </w:p>
    <w:p>
      <w:pPr>
        <w:ind w:right="20" w:firstLine="656"/>
        <w:spacing w:after="0" w:line="277" w:lineRule="auto"/>
        <w:tabs>
          <w:tab w:leader="none" w:pos="11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hereby authorize payroll deductions from each paycheck in the amount of ____% of my Compensation on each payday (from 0 to 10%) during the Offering Period in accordance with the Plan. (Please note that no fractional percentages are permitted.)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w:t>
      </w:r>
    </w:p>
    <w:p>
      <w:pPr>
        <w:spacing w:after="0" w:line="181" w:lineRule="exact"/>
        <w:rPr>
          <w:rFonts w:ascii="Arial" w:cs="Arial" w:eastAsia="Arial" w:hAnsi="Arial"/>
          <w:sz w:val="18"/>
          <w:szCs w:val="18"/>
          <w:color w:val="auto"/>
        </w:rPr>
      </w:pPr>
    </w:p>
    <w:p>
      <w:pPr>
        <w:ind w:firstLine="656"/>
        <w:spacing w:after="0" w:line="277" w:lineRule="auto"/>
        <w:tabs>
          <w:tab w:leader="none" w:pos="11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received a copy of the complete Plan and its accompanying prospectus. I understand that my participation in the Plan is in all respects subject to the terms of the Plan.</w:t>
      </w:r>
    </w:p>
    <w:p>
      <w:pPr>
        <w:spacing w:after="0" w:line="170" w:lineRule="exact"/>
        <w:rPr>
          <w:rFonts w:ascii="Arial" w:cs="Arial" w:eastAsia="Arial" w:hAnsi="Arial"/>
          <w:sz w:val="18"/>
          <w:szCs w:val="18"/>
          <w:color w:val="auto"/>
        </w:rPr>
      </w:pPr>
    </w:p>
    <w:p>
      <w:pPr>
        <w:ind w:firstLine="656"/>
        <w:spacing w:after="0" w:line="277" w:lineRule="auto"/>
        <w:tabs>
          <w:tab w:leader="none" w:pos="11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Common Stock purchased for me under the Plan should be issued in the name(s) of _____________ (Eligible Employee or Eligible Employee and Spouse only).</w:t>
      </w:r>
    </w:p>
    <w:p>
      <w:pPr>
        <w:spacing w:after="0" w:line="170" w:lineRule="exact"/>
        <w:rPr>
          <w:rFonts w:ascii="Arial" w:cs="Arial" w:eastAsia="Arial" w:hAnsi="Arial"/>
          <w:sz w:val="18"/>
          <w:szCs w:val="18"/>
          <w:color w:val="auto"/>
        </w:rPr>
      </w:pPr>
    </w:p>
    <w:p>
      <w:pPr>
        <w:jc w:val="both"/>
        <w:ind w:firstLine="656"/>
        <w:spacing w:after="0" w:line="269" w:lineRule="auto"/>
        <w:tabs>
          <w:tab w:leader="none" w:pos="11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7"/>
          <w:szCs w:val="17"/>
          <w:u w:val="single" w:color="auto"/>
          <w:color w:val="auto"/>
        </w:rPr>
        <w:t>I hereby agree to notify the Company in writing within thirty (30) days after the date of 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disposition of my shares and I will make adequate provision for Federal, state or other tax withholding obligations, if any, which arise upon the disposition of the Common Stock</w:t>
      </w:r>
      <w:r>
        <w:rPr>
          <w:rFonts w:ascii="Arial" w:cs="Arial" w:eastAsia="Arial" w:hAnsi="Arial"/>
          <w:sz w:val="17"/>
          <w:szCs w:val="17"/>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firstLine="656"/>
        <w:spacing w:after="0" w:line="277" w:lineRule="auto"/>
        <w:tabs>
          <w:tab w:leader="none" w:pos="11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hereby agree to be bound by the terms of the Plan. The effectiveness of this Subscription Agreement is dependent upon my eligibility to participate in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Employee’s Social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25298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581025</wp:posOffset>
            </wp:positionV>
            <wp:extent cx="2529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297815</wp:posOffset>
            </wp:positionV>
            <wp:extent cx="2529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14605</wp:posOffset>
            </wp:positionV>
            <wp:extent cx="25298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 UNDERSTAND THAT THIS SUBSCRIPTION AGREEMENT WILL REMAIN IN EFFECT THROUGHOUT SUCCESSIVE OFFERING PERIODS UNLESS TERMINATED BY 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8776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 of Employee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EMPLOYEE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WITHDRAWAL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participant in the Offering Period of the Fluidigm Corporation 2017 Employee Stock Purchase Plan that began on ____________, ______</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Enrollment Date</w:t>
      </w:r>
      <w:r>
        <w:rPr>
          <w:rFonts w:ascii="Arial" w:cs="Arial" w:eastAsia="Arial" w:hAnsi="Arial"/>
          <w:sz w:val="18"/>
          <w:szCs w:val="18"/>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1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443865</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297815</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152400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ind w:left="10300"/>
        <w:spacing w:after="0"/>
        <w:rPr>
          <w:sz w:val="20"/>
          <w:szCs w:val="20"/>
          <w:color w:val="auto"/>
        </w:rPr>
      </w:pPr>
      <w:r>
        <w:rPr>
          <w:rFonts w:ascii="Arial" w:cs="Arial" w:eastAsia="Arial" w:hAnsi="Arial"/>
          <w:sz w:val="19"/>
          <w:szCs w:val="19"/>
          <w:b w:val="1"/>
          <w:bCs w:val="1"/>
          <w:color w:val="auto"/>
        </w:rPr>
        <w:t>Exhibit 10.2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EQUITY COMPENSATION PLANS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Fluidigm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sponsors and maintains the Company’s 2011 Equity Incentive Plan (the “</w:t>
      </w:r>
      <w:r>
        <w:rPr>
          <w:rFonts w:ascii="Arial" w:cs="Arial" w:eastAsia="Arial" w:hAnsi="Arial"/>
          <w:sz w:val="18"/>
          <w:szCs w:val="18"/>
          <w:b w:val="1"/>
          <w:bCs w:val="1"/>
          <w:i w:val="1"/>
          <w:iCs w:val="1"/>
          <w:color w:val="auto"/>
        </w:rPr>
        <w:t>2011 Plan</w:t>
      </w:r>
      <w:r>
        <w:rPr>
          <w:rFonts w:ascii="Arial" w:cs="Arial" w:eastAsia="Arial" w:hAnsi="Arial"/>
          <w:sz w:val="18"/>
          <w:szCs w:val="18"/>
          <w:color w:val="auto"/>
        </w:rPr>
        <w:t>”), 2009</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Incentive Plan (the “</w:t>
      </w:r>
      <w:r>
        <w:rPr>
          <w:rFonts w:ascii="Arial" w:cs="Arial" w:eastAsia="Arial" w:hAnsi="Arial"/>
          <w:sz w:val="18"/>
          <w:szCs w:val="18"/>
          <w:b w:val="1"/>
          <w:bCs w:val="1"/>
          <w:i w:val="1"/>
          <w:iCs w:val="1"/>
          <w:color w:val="auto"/>
        </w:rPr>
        <w:t>2009 Plan</w:t>
      </w:r>
      <w:r>
        <w:rPr>
          <w:rFonts w:ascii="Arial" w:cs="Arial" w:eastAsia="Arial" w:hAnsi="Arial"/>
          <w:sz w:val="18"/>
          <w:szCs w:val="18"/>
          <w:color w:val="auto"/>
        </w:rPr>
        <w:t>”), and 1999 Stock Option Plan (the “</w:t>
      </w:r>
      <w:r>
        <w:rPr>
          <w:rFonts w:ascii="Arial" w:cs="Arial" w:eastAsia="Arial" w:hAnsi="Arial"/>
          <w:sz w:val="18"/>
          <w:szCs w:val="18"/>
          <w:b w:val="1"/>
          <w:bCs w:val="1"/>
          <w:i w:val="1"/>
          <w:iCs w:val="1"/>
          <w:color w:val="auto"/>
        </w:rPr>
        <w:t>1999 Plan</w:t>
      </w:r>
      <w:r>
        <w:rPr>
          <w:rFonts w:ascii="Arial" w:cs="Arial" w:eastAsia="Arial" w:hAnsi="Arial"/>
          <w:sz w:val="18"/>
          <w:szCs w:val="18"/>
          <w:color w:val="auto"/>
        </w:rPr>
        <w:t>”) and the DVS Sciences, Inc. 2010 Equity Incentive Plan (together with the 2011 Plan, the 2009 Plan, and the 1999 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 and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wishes to amend the Plans to provide for a one-time-only equity award exchange program, subject to the approval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stockholders at the Company’s 2017 annual meeting of stockholders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and effective as of the date of such approval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approval of the Company’s stockholders at the Annual Meeting, the Plans are hereby amended as of the Effective Date as follows:</w:t>
      </w:r>
    </w:p>
    <w:p>
      <w:pPr>
        <w:spacing w:after="0" w:line="248" w:lineRule="exact"/>
        <w:rPr>
          <w:sz w:val="20"/>
          <w:szCs w:val="20"/>
          <w:color w:val="auto"/>
        </w:rPr>
      </w:pPr>
    </w:p>
    <w:p>
      <w:pPr>
        <w:jc w:val="both"/>
        <w:ind w:firstLine="656"/>
        <w:spacing w:after="0" w:line="293" w:lineRule="auto"/>
        <w:tabs>
          <w:tab w:leader="none" w:pos="1206"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Amendment to Plans</w:t>
      </w:r>
      <w:r>
        <w:rPr>
          <w:rFonts w:ascii="Arial" w:cs="Arial" w:eastAsia="Arial" w:hAnsi="Arial"/>
          <w:sz w:val="16"/>
          <w:szCs w:val="16"/>
          <w:color w:val="auto"/>
        </w:rPr>
        <w:t>. Notwithstanding any contrary provision in any Plan, if the Company’s stockholders approve the amendments to the Plans to permit the one-time-only exchange program described in the proxy statement with respect to the Annual Meeting under which certain outstanding options to purchase shares of the Company’s common stock that were granted under the Plans may be surrendered or cancelled at the election of the person holding such option in exchange for Awards of Options or Restricted Stock Units (as such terms are defined in the 2011 Plan) under the 2011 Plan, as applicable (the “</w:t>
      </w:r>
      <w:r>
        <w:rPr>
          <w:rFonts w:ascii="Arial" w:cs="Arial" w:eastAsia="Arial" w:hAnsi="Arial"/>
          <w:sz w:val="16"/>
          <w:szCs w:val="16"/>
          <w:b w:val="1"/>
          <w:bCs w:val="1"/>
          <w:i w:val="1"/>
          <w:iCs w:val="1"/>
          <w:color w:val="auto"/>
        </w:rPr>
        <w:t>Exchange Program</w:t>
      </w:r>
      <w:r>
        <w:rPr>
          <w:rFonts w:ascii="Arial" w:cs="Arial" w:eastAsia="Arial" w:hAnsi="Arial"/>
          <w:sz w:val="16"/>
          <w:szCs w:val="16"/>
          <w:color w:val="auto"/>
        </w:rPr>
        <w:t>”) (such approval, the “</w:t>
      </w:r>
      <w:r>
        <w:rPr>
          <w:rFonts w:ascii="Arial" w:cs="Arial" w:eastAsia="Arial" w:hAnsi="Arial"/>
          <w:sz w:val="16"/>
          <w:szCs w:val="16"/>
          <w:b w:val="1"/>
          <w:bCs w:val="1"/>
          <w:i w:val="1"/>
          <w:iCs w:val="1"/>
          <w:color w:val="auto"/>
        </w:rPr>
        <w:t>Stockholder Approval</w:t>
      </w:r>
      <w:r>
        <w:rPr>
          <w:rFonts w:ascii="Arial" w:cs="Arial" w:eastAsia="Arial" w:hAnsi="Arial"/>
          <w:sz w:val="16"/>
          <w:szCs w:val="16"/>
          <w:color w:val="auto"/>
        </w:rPr>
        <w:t>”), the Administrator (as defined in the applicable Plan) of each Plan may provide for, and the Company may implement, the Exchange Program within 12 months after the date of the Annual Meeting.</w:t>
      </w:r>
    </w:p>
    <w:p>
      <w:pPr>
        <w:spacing w:after="0" w:line="164" w:lineRule="exact"/>
        <w:rPr>
          <w:rFonts w:ascii="Arial" w:cs="Arial" w:eastAsia="Arial" w:hAnsi="Arial"/>
          <w:sz w:val="16"/>
          <w:szCs w:val="16"/>
          <w:color w:val="auto"/>
        </w:rPr>
      </w:pPr>
    </w:p>
    <w:p>
      <w:pPr>
        <w:ind w:firstLine="656"/>
        <w:spacing w:after="0" w:line="277" w:lineRule="auto"/>
        <w:tabs>
          <w:tab w:leader="none" w:pos="120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Failure to Obtain Stockholder Approval</w:t>
      </w:r>
      <w:r>
        <w:rPr>
          <w:rFonts w:ascii="Arial" w:cs="Arial" w:eastAsia="Arial" w:hAnsi="Arial"/>
          <w:sz w:val="18"/>
          <w:szCs w:val="18"/>
          <w:color w:val="auto"/>
        </w:rPr>
        <w:t>. If the Stockholder Approval is not obtained, then this Amendment to Equity Compensation shall become null and void and shall immediately terminate.</w:t>
      </w:r>
    </w:p>
    <w:p>
      <w:pPr>
        <w:spacing w:after="0" w:line="170" w:lineRule="exact"/>
        <w:rPr>
          <w:rFonts w:ascii="Arial" w:cs="Arial" w:eastAsia="Arial" w:hAnsi="Arial"/>
          <w:sz w:val="18"/>
          <w:szCs w:val="18"/>
          <w:color w:val="auto"/>
        </w:rPr>
      </w:pPr>
    </w:p>
    <w:p>
      <w:pPr>
        <w:ind w:firstLine="656"/>
        <w:spacing w:after="0" w:line="277" w:lineRule="auto"/>
        <w:tabs>
          <w:tab w:leader="none" w:pos="124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Effect of this Amendment</w:t>
      </w:r>
      <w:r>
        <w:rPr>
          <w:rFonts w:ascii="Arial" w:cs="Arial" w:eastAsia="Arial" w:hAnsi="Arial"/>
          <w:sz w:val="18"/>
          <w:szCs w:val="18"/>
          <w:color w:val="auto"/>
        </w:rPr>
        <w:t>. Except as expressly amended hereby, the Plans shall continue in full force and effect in accordance with the provisions thereof.</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2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issues concerning this Amendment to Equity Compensation Plans shall be governed by and construed in accordance with the laws of the State of California, without giving effect to any choice of law or conflict of law provision or rule that would cause the application of the law of any jurisdiction other than the State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 ANNOUNCES TERMINATION OF TAX BENEFIT PRESERVATION PLAN</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SOUTH SAN FRANCISCO, Calif., August 2, 2017 – Fluidigm Corporation (NASDAQ:FLDM) announced today that its tax benefit preservation plan had expired pursuant to its terms, effectively terminating the plan as of August 1, 2017. Stockholders are not required to take any action as a result of this expiration.</w:t>
      </w:r>
    </w:p>
    <w:p>
      <w:pPr>
        <w:spacing w:after="0" w:line="18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expiration of the tax benefit preservation plan, Fluidigm will be taking routine actions to voluntarily deregister the related preferred share purchase rights under the Securities Exchange Act of 1934, and to delist the preferred share purchase rights from NASDAQ. These actions are administrative in nature and will have no effect on Fluidigm’s common stock, which continues to be listed on NASDAQ.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Fluidigm and the Fluidigm logo are trademarks or registered trademarks of Fluidigm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 Petrovic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Development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650.243.6628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ana.petrovic@fluidigm.com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3"/>
    </w:lvl>
    <w:lvl w:ilvl="1">
      <w:lvlJc w:val="left"/>
      <w:lvlText w:val="*"/>
      <w:numFmt w:val="bullet"/>
      <w:start w:val="1"/>
    </w:lvl>
  </w:abstractNum>
  <w:abstractNum w:abstractNumId="9">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
    <w:nsid w:val="721DA317"/>
    <w:multiLevelType w:val="hybridMultilevel"/>
    <w:lvl w:ilvl="0">
      <w:lvlJc w:val="left"/>
      <w:lvlText w:val="(%1)"/>
      <w:numFmt w:val="lowerRoman"/>
      <w:start w:val="3"/>
    </w:lvl>
  </w:abstractNum>
  <w:abstractNum w:abstractNumId="11">
    <w:nsid w:val="2443A858"/>
    <w:multiLevelType w:val="hybridMultilevel"/>
    <w:lvl w:ilvl="0">
      <w:lvlJc w:val="left"/>
      <w:lvlText w:val="(%1)"/>
      <w:numFmt w:val="lowerLetter"/>
      <w:start w:val="5"/>
    </w:lvl>
  </w:abstractNum>
  <w:abstractNum w:abstractNumId="12">
    <w:nsid w:val="2D1D5AE9"/>
    <w:multiLevelType w:val="hybridMultilevel"/>
    <w:lvl w:ilvl="0">
      <w:lvlJc w:val="left"/>
      <w:lvlText w:val="%1"/>
      <w:numFmt w:val="lowerLetter"/>
      <w:start w:val="1"/>
    </w:lvl>
    <w:lvl w:ilvl="1">
      <w:lvlJc w:val="left"/>
      <w:lvlText w:val="(%2)"/>
      <w:numFmt w:val="lowerLetter"/>
      <w:start w:val="9"/>
    </w:lvl>
  </w:abstractNum>
  <w:abstractNum w:abstractNumId="13">
    <w:nsid w:val="6763845E"/>
    <w:multiLevelType w:val="hybridMultilevel"/>
    <w:lvl w:ilvl="0">
      <w:lvlJc w:val="left"/>
      <w:lvlText w:val="(%1)"/>
      <w:numFmt w:val="lowerLetter"/>
      <w:start w:val="61"/>
    </w:lvl>
    <w:lvl w:ilvl="1">
      <w:lvlJc w:val="left"/>
      <w:lvlText w:val="(%2)"/>
      <w:numFmt w:val="lowerLetter"/>
      <w:start w:val="15"/>
    </w:lvl>
  </w:abstractNum>
  <w:abstractNum w:abstractNumId="14">
    <w:nsid w:val="75A2A8D4"/>
    <w:multiLevelType w:val="hybridMultilevel"/>
    <w:lvl w:ilvl="0">
      <w:lvlJc w:val="left"/>
      <w:lvlText w:val="(%1)"/>
      <w:numFmt w:val="lowerLetter"/>
      <w:start w:val="17"/>
    </w:lvl>
    <w:lvl w:ilvl="1">
      <w:lvlJc w:val="left"/>
      <w:lvlText w:val="(%2)"/>
      <w:numFmt w:val="lowerRoman"/>
      <w:start w:val="1"/>
    </w:lvl>
  </w:abstractNum>
  <w:abstractNum w:abstractNumId="15">
    <w:nsid w:val="8EDBDAB"/>
    <w:multiLevelType w:val="hybridMultilevel"/>
    <w:lvl w:ilvl="0">
      <w:lvlJc w:val="left"/>
      <w:lvlText w:val="(%1)"/>
      <w:numFmt w:val="lowerLetter"/>
      <w:start w:val="26"/>
    </w:lvl>
  </w:abstractNum>
  <w:abstractNum w:abstractNumId="16">
    <w:nsid w:val="79838CB2"/>
    <w:multiLevelType w:val="hybridMultilevel"/>
    <w:lvl w:ilvl="0">
      <w:lvlJc w:val="left"/>
      <w:lvlText w:val="%1"/>
      <w:numFmt w:val="decimal"/>
      <w:start w:val="1"/>
    </w:lvl>
    <w:lvl w:ilvl="1">
      <w:lvlJc w:val="left"/>
      <w:lvlText w:val="(%2)"/>
      <w:numFmt w:val="lowerLetter"/>
      <w:start w:val="27"/>
    </w:lvl>
  </w:abstractNum>
  <w:abstractNum w:abstractNumId="17">
    <w:nsid w:val="4353D0CD"/>
    <w:multiLevelType w:val="hybridMultilevel"/>
    <w:lvl w:ilvl="0">
      <w:lvlJc w:val="left"/>
      <w:lvlText w:val="%1."/>
      <w:numFmt w:val="decimal"/>
      <w:start w:val="3"/>
    </w:lvl>
    <w:lvl w:ilvl="1">
      <w:lvlJc w:val="left"/>
      <w:lvlText w:val="(%2)"/>
      <w:numFmt w:val="lowerLetter"/>
      <w:start w:val="1"/>
    </w:lvl>
  </w:abstractNum>
  <w:abstractNum w:abstractNumId="18">
    <w:nsid w:val="B03E0C6"/>
    <w:multiLevelType w:val="hybridMultilevel"/>
    <w:lvl w:ilvl="0">
      <w:lvlJc w:val="left"/>
      <w:lvlText w:val="%1."/>
      <w:numFmt w:val="decimal"/>
      <w:start w:val="4"/>
    </w:lvl>
    <w:lvl w:ilvl="1">
      <w:lvlJc w:val="left"/>
      <w:lvlText w:val="(%2)"/>
      <w:numFmt w:val="lowerLetter"/>
      <w:start w:val="1"/>
    </w:lvl>
  </w:abstractNum>
  <w:abstractNum w:abstractNumId="19">
    <w:nsid w:val="189A769B"/>
    <w:multiLevelType w:val="hybridMultilevel"/>
    <w:lvl w:ilvl="0">
      <w:lvlJc w:val="left"/>
      <w:lvlText w:val="%1."/>
      <w:numFmt w:val="decimal"/>
      <w:start w:val="7"/>
    </w:lvl>
    <w:lvl w:ilvl="1">
      <w:lvlJc w:val="left"/>
      <w:lvlText w:val="(%2)"/>
      <w:numFmt w:val="lowerLetter"/>
      <w:start w:val="1"/>
    </w:lvl>
  </w:abstractNum>
  <w:abstractNum w:abstractNumId="20">
    <w:nsid w:val="54E49EB4"/>
    <w:multiLevelType w:val="hybridMultilevel"/>
    <w:lvl w:ilvl="0">
      <w:lvlJc w:val="left"/>
      <w:lvlText w:val="%1."/>
      <w:numFmt w:val="decimal"/>
      <w:start w:val="9"/>
    </w:lvl>
    <w:lvl w:ilvl="1">
      <w:lvlJc w:val="left"/>
      <w:lvlText w:val="(%2)"/>
      <w:numFmt w:val="lowerLetter"/>
      <w:start w:val="1"/>
    </w:lvl>
  </w:abstractNum>
  <w:abstractNum w:abstractNumId="21">
    <w:nsid w:val="71F32454"/>
    <w:multiLevelType w:val="hybridMultilevel"/>
    <w:lvl w:ilvl="0">
      <w:lvlJc w:val="left"/>
      <w:lvlText w:val="%1."/>
      <w:numFmt w:val="decimal"/>
      <w:start w:val="12"/>
    </w:lvl>
    <w:lvl w:ilvl="1">
      <w:lvlJc w:val="left"/>
      <w:lvlText w:val="(%2)"/>
      <w:numFmt w:val="lowerLetter"/>
      <w:start w:val="1"/>
    </w:lvl>
  </w:abstractNum>
  <w:abstractNum w:abstractNumId="22">
    <w:nsid w:val="2CA88611"/>
    <w:multiLevelType w:val="hybridMultilevel"/>
    <w:lvl w:ilvl="0">
      <w:lvlJc w:val="left"/>
      <w:lvlText w:val="%1"/>
      <w:numFmt w:val="decimal"/>
      <w:start w:val="1"/>
    </w:lvl>
    <w:lvl w:ilvl="1">
      <w:lvlJc w:val="left"/>
      <w:lvlText w:val="(%2)"/>
      <w:numFmt w:val="lowerLetter"/>
      <w:start w:val="2"/>
    </w:lvl>
  </w:abstractNum>
  <w:abstractNum w:abstractNumId="23">
    <w:nsid w:val="836C40E"/>
    <w:multiLevelType w:val="hybridMultilevel"/>
    <w:lvl w:ilvl="0">
      <w:lvlJc w:val="left"/>
      <w:lvlText w:val="%1."/>
      <w:numFmt w:val="decimal"/>
      <w:start w:val="16"/>
    </w:lvl>
    <w:lvl w:ilvl="1">
      <w:lvlJc w:val="left"/>
      <w:lvlText w:val="(%2)"/>
      <w:numFmt w:val="lowerLetter"/>
      <w:start w:val="1"/>
    </w:lvl>
  </w:abstractNum>
  <w:abstractNum w:abstractNumId="24">
    <w:nsid w:val="2901D82"/>
    <w:multiLevelType w:val="hybridMultilevel"/>
    <w:lvl w:ilvl="0">
      <w:lvlJc w:val="left"/>
      <w:lvlText w:val="%1"/>
      <w:numFmt w:val="decimal"/>
      <w:start w:val="1"/>
    </w:lvl>
    <w:lvl w:ilvl="1">
      <w:lvlJc w:val="left"/>
      <w:lvlText w:val="(%2)"/>
      <w:numFmt w:val="lowerLetter"/>
      <w:start w:val="2"/>
    </w:lvl>
  </w:abstractNum>
  <w:abstractNum w:abstractNumId="25">
    <w:nsid w:val="3A95F874"/>
    <w:multiLevelType w:val="hybridMultilevel"/>
    <w:lvl w:ilvl="0">
      <w:lvlJc w:val="left"/>
      <w:lvlText w:val="%1."/>
      <w:numFmt w:val="decimal"/>
      <w:start w:val="20"/>
    </w:lvl>
    <w:lvl w:ilvl="1">
      <w:lvlJc w:val="left"/>
      <w:lvlText w:val="(%2)"/>
      <w:numFmt w:val="lowerLetter"/>
      <w:start w:val="1"/>
    </w:lvl>
  </w:abstractNum>
  <w:abstractNum w:abstractNumId="26">
    <w:nsid w:val="813864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
    <w:nsid w:val="1E7FF521"/>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28">
    <w:nsid w:val="7C3DBD3D"/>
    <w:multiLevelType w:val="hybridMultilevel"/>
    <w:lvl w:ilvl="0">
      <w:lvlJc w:val="left"/>
      <w:lvlText w:val="%1."/>
      <w:numFmt w:val="decimal"/>
      <w:start w:val="23"/>
    </w:lvl>
  </w:abstractNum>
  <w:abstractNum w:abstractNumId="29">
    <w:nsid w:val="737B8DDC"/>
    <w:multiLevelType w:val="hybridMultilevel"/>
    <w:lvl w:ilvl="0">
      <w:lvlJc w:val="left"/>
      <w:lvlText w:val="%1."/>
      <w:numFmt w:val="decimal"/>
      <w:start w:val="24"/>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7"/>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2019-12-06T17:33:02Z</dcterms:created>
  <dcterms:modified xsi:type="dcterms:W3CDTF">2019-12-06T17:33:02Z</dcterms:modified>
</cp:coreProperties>
</file>