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50630.htm"/>
      <w:bookmarkStart w:id="1" w:name="kslab20250630"/>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w:t>
      </w:r>
    </w:p>
    <w:p>
      <w:pPr>
        <w:pStyle w:val="TextBody"/>
        <w:bidi w:val="0"/>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4"/>
        </w:rPr>
        <w:t>For the quarterly period ended June 30, 2025</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or</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rFonts w:ascii="Times New Roman" w:hAnsi="Times New Roman"/>
          <w:b/>
          <w:color w:val="000000"/>
          <w:sz w:val="24"/>
        </w:rPr>
      </w:pPr>
      <w:r>
        <w:rPr>
          <w:rFonts w:ascii="Times New Roman" w:hAnsi="Times New Roman"/>
          <w:b/>
          <w:color w:val="000000"/>
          <w:sz w:val="24"/>
        </w:rPr>
        <w:t>For the transition period from to</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jc w:val="center"/>
        <w:rPr>
          <w:rFonts w:ascii="Times New Roman" w:hAnsi="Times New Roman"/>
          <w:sz w:val="20"/>
        </w:rPr>
      </w:pPr>
      <w:r>
        <w:rPr>
          <w:rFonts w:ascii="Times New Roman" w:hAnsi="Times New Roman"/>
          <w:b/>
          <w:color w:val="000000"/>
          <w:sz w:val="24"/>
        </w:rPr>
        <w:t>Commission file number: 001-34180</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4287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02870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4"/>
        </w:rPr>
        <w:t>STANDARD BIOTOOLS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868" w:type="dxa"/>
        <w:jc w:val="left"/>
        <w:tblInd w:w="0" w:type="dxa"/>
        <w:tblLayout w:type="fixed"/>
        <w:tblCellMar>
          <w:top w:w="28" w:type="dxa"/>
          <w:left w:w="28" w:type="dxa"/>
          <w:bottom w:w="28" w:type="dxa"/>
          <w:right w:w="28" w:type="dxa"/>
        </w:tblCellMar>
      </w:tblPr>
      <w:tblGrid>
        <w:gridCol w:w="4171"/>
        <w:gridCol w:w="146"/>
        <w:gridCol w:w="255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77-0513190</w:t>
            </w:r>
          </w:p>
        </w:tc>
      </w:tr>
      <w:tr>
        <w:trPr/>
        <w:tc>
          <w:tcPr>
            <w:tcW w:w="41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4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2 Tower Place, Suite 2000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South San Francisco,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94080</w:t>
            </w:r>
          </w:p>
        </w:tc>
      </w:tr>
      <w:tr>
        <w:trPr/>
        <w:tc>
          <w:tcPr>
            <w:tcW w:w="41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rFonts w:ascii="Times New Roman" w:hAnsi="Times New Roman"/>
          <w:sz w:val="20"/>
        </w:rPr>
      </w:pPr>
      <w:r>
        <w:rPr>
          <w:rFonts w:ascii="Times New Roman" w:hAnsi="Times New Roman"/>
          <w:color w:val="000000"/>
          <w:sz w:val="16"/>
        </w:rPr>
        <w:t xml:space="preserve">Registrant’s telephone number, including area code: </w:t>
      </w:r>
      <w:r>
        <w:rPr>
          <w:rFonts w:ascii="Times New Roman" w:hAnsi="Times New Roman"/>
          <w:b/>
          <w:color w:val="000000"/>
          <w:sz w:val="16"/>
        </w:rPr>
        <w:t>(650) 266-6000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_____________________________________________</w:t>
      </w:r>
    </w:p>
    <w:p>
      <w:pPr>
        <w:pStyle w:val="TextBody"/>
        <w:bidi w:val="0"/>
        <w:spacing w:before="0" w:after="100"/>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923" w:type="dxa"/>
        <w:jc w:val="left"/>
        <w:tblInd w:w="0" w:type="dxa"/>
        <w:tblLayout w:type="fixed"/>
        <w:tblCellMar>
          <w:top w:w="28" w:type="dxa"/>
          <w:left w:w="28" w:type="dxa"/>
          <w:bottom w:w="28" w:type="dxa"/>
          <w:right w:w="28" w:type="dxa"/>
        </w:tblCellMar>
      </w:tblPr>
      <w:tblGrid>
        <w:gridCol w:w="3271"/>
        <w:gridCol w:w="1426"/>
        <w:gridCol w:w="3226"/>
      </w:tblGrid>
      <w:tr>
        <w:trPr/>
        <w:tc>
          <w:tcPr>
            <w:tcW w:w="327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2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$0.001 par value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LAB</w:t>
            </w:r>
          </w:p>
        </w:tc>
        <w:tc>
          <w:tcPr>
            <w:tcW w:w="3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98" w:type="dxa"/>
        <w:jc w:val="left"/>
        <w:tblInd w:w="0" w:type="dxa"/>
        <w:tblLayout w:type="fixed"/>
        <w:tblCellMar>
          <w:top w:w="28" w:type="dxa"/>
          <w:left w:w="28" w:type="dxa"/>
          <w:bottom w:w="28" w:type="dxa"/>
          <w:right w:w="28" w:type="dxa"/>
        </w:tblCellMar>
      </w:tblPr>
      <w:tblGrid>
        <w:gridCol w:w="1666"/>
        <w:gridCol w:w="146"/>
        <w:gridCol w:w="316"/>
        <w:gridCol w:w="146"/>
        <w:gridCol w:w="146"/>
        <w:gridCol w:w="207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Smaller reporting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As of August 13, 2025, there were 381,995,102</w:t>
      </w:r>
      <w:r>
        <w:rPr>
          <w:rFonts w:ascii="Times New Roman" w:hAnsi="Times New Roman"/>
          <w:color w:val="000000"/>
          <w:sz w:val="20"/>
        </w:rPr>
        <w:t xml:space="preserve"> </w:t>
      </w:r>
      <w:r>
        <w:rPr>
          <w:rFonts w:ascii="Times New Roman" w:hAnsi="Times New Roman"/>
          <w:color w:val="000000"/>
          <w:sz w:val="16"/>
        </w:rPr>
        <w:t>shares of the registrant’s common stock, $0.001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 titled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timing of shipments, business strategies, financing plans, expansion of our business, investments to expand our customer base, plans for our products, competitive position, industry environment, anticipated National Institutes of Health funding pressures, the expected effect from U.S. export controls and tariffs, potential growth opportunities, market growth expectations, the effects of competition, cost structure optimization, acceleration of growth, potential merger and acquisition activity and restructuring plans (including expense reduction activities, modifications to the scope of our proteomic and genomics businesses, discontinuing of certain product lines), our expectations regarding the benefits and integration of acquired businesses and/or products, and the transaction with Illumina, Inc. (“Illumina”), including with respect to matters of timing, regulatory approval and other closing conditions, and the anticipated financial impact related thereto.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“Risk Factors” section our Annual Report on Form 10-K for the year ended December 31, 2024 filed with the Securities and Exchange Commission (the “SEC”) on March 11, 2025 (the “Annual Report”) and this Quarterly Report on Form 10-Q. Given these uncertainties, you should not place undue reliance on these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Forward-looking statements represent our management’s beliefs and assumptions only as of the date of this Quarterly Report on Form 10-Q.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Quarterly Report on Form 10-Q completely and with the understanding that our actual future results may be materially different from what we expect.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KREX, Sengenics, i-Ome, OncoREX, and Cardio </w:t>
      </w:r>
      <w:r>
        <w:rPr>
          <w:rFonts w:ascii="Times New Roman" w:hAnsi="Times New Roman"/>
          <w:color w:val="000000"/>
          <w:sz w:val="13"/>
        </w:rPr>
        <w:t>DM</w:t>
      </w:r>
      <w:r>
        <w:rPr>
          <w:rFonts w:ascii="Times New Roman" w:hAnsi="Times New Roman"/>
          <w:color w:val="000000"/>
          <w:sz w:val="20"/>
        </w:rPr>
        <w:t> are trademarks or registered trademarks of Standard BioTools Inc. or its affiliates in the United States and/or other countries. Other service marks, trademarks and trade names referred to in this Quarterly Report on Form 10-Q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839"/>
        <w:gridCol w:w="8854"/>
        <w:gridCol w:w="512"/>
      </w:tblGrid>
      <w:tr>
        <w:trPr/>
        <w:tc>
          <w:tcPr>
            <w:tcW w:w="839"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8" w:space="0" w:color="000000"/>
            </w:tcBorders>
            <w:tcMar>
              <w:top w:w="0" w:type="dxa"/>
              <w:left w:w="0" w:type="dxa"/>
              <w:right w:w="0" w:type="dxa"/>
            </w:tcMar>
            <w:vAlign w:val="center"/>
          </w:tcPr>
          <w:p>
            <w:pPr>
              <w:pStyle w:val="TableContents"/>
              <w:bidi w:val="0"/>
              <w:spacing w:before="75" w:after="30"/>
              <w:jc w:val="center"/>
              <w:rPr>
                <w:rFonts w:ascii="Times New Roman" w:hAnsi="Times New Roman"/>
                <w:b/>
                <w:color w:val="000000"/>
                <w:sz w:val="16"/>
              </w:rPr>
            </w:pPr>
            <w:r>
              <w:rPr>
                <w:rFonts w:ascii="Times New Roman" w:hAnsi="Times New Roman"/>
                <w:b/>
                <w:color w:val="000000"/>
                <w:sz w:val="16"/>
              </w:rPr>
              <w:t>Page</w:t>
            </w:r>
          </w:p>
        </w:tc>
      </w:tr>
      <w:tr>
        <w:trPr/>
        <w:tc>
          <w:tcPr>
            <w:tcW w:w="839"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PART I.</w:t>
            </w:r>
          </w:p>
        </w:tc>
        <w:tc>
          <w:tcPr>
            <w:tcW w:w="8854" w:type="dxa"/>
            <w:tcBorders/>
            <w:tcMar>
              <w:top w:w="0" w:type="dxa"/>
              <w:left w:w="0" w:type="dxa"/>
              <w:bottom w:w="0" w:type="dxa"/>
              <w:right w:w="0" w:type="dxa"/>
            </w:tcMar>
            <w:vAlign w:val="center"/>
          </w:tcPr>
          <w:p>
            <w:pPr>
              <w:pStyle w:val="TableContents"/>
              <w:bidi w:val="0"/>
              <w:spacing w:before="55" w:after="30"/>
              <w:jc w:val="left"/>
              <w:rPr>
                <w:rFonts w:ascii="Times New Roman" w:hAnsi="Times New Roman"/>
                <w:b/>
                <w:color w:val="000000"/>
                <w:sz w:val="20"/>
              </w:rPr>
            </w:pPr>
            <w:r>
              <w:rPr>
                <w:rFonts w:ascii="Times New Roman" w:hAnsi="Times New Roman"/>
                <w:b/>
                <w:color w:val="000000"/>
                <w:sz w:val="20"/>
              </w:rPr>
              <w:t>FINANCIAL INFORMATION</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39"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Item 1.</w:t>
            </w:r>
          </w:p>
        </w:tc>
        <w:tc>
          <w:tcPr>
            <w:tcW w:w="8854" w:type="dxa"/>
            <w:tcBorders/>
            <w:tcMar>
              <w:top w:w="0" w:type="dxa"/>
              <w:left w:w="0" w:type="dxa"/>
              <w:bottom w:w="0" w:type="dxa"/>
              <w:right w:w="0" w:type="dxa"/>
            </w:tcMar>
            <w:vAlign w:val="center"/>
          </w:tcPr>
          <w:p>
            <w:pPr>
              <w:pStyle w:val="TableContents"/>
              <w:bidi w:val="0"/>
              <w:spacing w:before="75" w:after="283"/>
              <w:jc w:val="left"/>
              <w:rPr/>
            </w:pPr>
            <w:hyperlink w:anchor="item_1_financialstatements">
              <w:r>
                <w:rPr>
                  <w:rStyle w:val="InternetLink"/>
                  <w:rFonts w:ascii="Times New Roman" w:hAnsi="Times New Roman"/>
                  <w:color w:val="0000FF"/>
                  <w:sz w:val="20"/>
                  <w:u w:val="single"/>
                </w:rPr>
                <w:t>Financial Statements (unaudited)</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as of June 30, 2025 and December 31, 2024</w:t>
              </w:r>
            </w:hyperlink>
          </w:p>
        </w:tc>
        <w:tc>
          <w:tcPr>
            <w:tcW w:w="512" w:type="dxa"/>
            <w:tcBorders/>
            <w:tcMar>
              <w:top w:w="0" w:type="dxa"/>
              <w:left w:w="0" w:type="dxa"/>
              <w:bottom w:w="0" w:type="dxa"/>
              <w:right w:w="0" w:type="dxa"/>
            </w:tcMar>
            <w:vAlign w:val="center"/>
          </w:tcPr>
          <w:p>
            <w:pPr>
              <w:pStyle w:val="TableContents"/>
              <w:bidi w:val="0"/>
              <w:spacing w:before="75" w:after="283"/>
              <w:jc w:val="right"/>
              <w:rPr>
                <w:rFonts w:ascii="Times New Roman" w:hAnsi="Times New Roman"/>
                <w:color w:val="000000"/>
                <w:sz w:val="20"/>
              </w:rPr>
            </w:pPr>
            <w:r>
              <w:rPr>
                <w:rFonts w:ascii="Times New Roman" w:hAnsi="Times New Roman"/>
                <w:color w:val="000000"/>
                <w:sz w:val="20"/>
              </w:rPr>
              <w:t>1</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ondensed_consolida_stmt_of_operations">
              <w:r>
                <w:rPr>
                  <w:rStyle w:val="InternetLink"/>
                  <w:rFonts w:ascii="Times New Roman" w:hAnsi="Times New Roman"/>
                  <w:color w:val="0000FF"/>
                  <w:sz w:val="20"/>
                  <w:u w:val="single"/>
                </w:rPr>
                <w:t>Condensed Consolidated Statements of Operations for the three and six months ended June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omprehensive_loss">
              <w:r>
                <w:rPr>
                  <w:rStyle w:val="InternetLink"/>
                  <w:rFonts w:ascii="Times New Roman" w:hAnsi="Times New Roman"/>
                  <w:color w:val="0000FF"/>
                  <w:sz w:val="20"/>
                  <w:u w:val="single"/>
                </w:rPr>
                <w:t>Condensed Consolidated Statements of Comprehensive Loss for the three and six months ended June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Times New Roman" w:hAnsi="Times New Roman"/>
                  <w:color w:val="0000FF"/>
                  <w:sz w:val="20"/>
                  <w:u w:val="single"/>
                </w:rPr>
                <w:t>Condensed Consolidated Statements of Stockholders’ Equity (Deficit) for the three and six months ended June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Times New Roman" w:hAnsi="Times New Roman"/>
                  <w:color w:val="0000FF"/>
                  <w:sz w:val="20"/>
                  <w:u w:val="single"/>
                </w:rPr>
                <w:t>Condensed Consolidated Statements of Cash Flows for six months ended June 30, 2025 and 2024</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
              <w:r>
                <w:rPr>
                  <w:rStyle w:val="InternetLink"/>
                  <w:rFonts w:ascii="Times New Roman" w:hAnsi="Times New Roman"/>
                  <w:color w:val="0000FF"/>
                  <w:sz w:val="20"/>
                  <w:u w:val="single"/>
                </w:rPr>
                <w:t>Notes to Condensed Consolidated Financial Statements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4_controls_and_procedures">
              <w:r>
                <w:rPr>
                  <w:rStyle w:val="InternetLink"/>
                  <w:rFonts w:ascii="Times New Roman" w:hAnsi="Times New Roman"/>
                  <w:color w:val="0000FF"/>
                  <w:sz w:val="20"/>
                  <w:u w:val="single"/>
                </w:rPr>
                <w:t>Controls and Procedures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30</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1_legal_proceeding">
              <w:r>
                <w:rPr>
                  <w:rStyle w:val="InternetLink"/>
                  <w:rFonts w:ascii="Times New Roman" w:hAnsi="Times New Roman"/>
                  <w:color w:val="0000FF"/>
                  <w:sz w:val="20"/>
                  <w:u w:val="single"/>
                </w:rPr>
                <w:t>Legal Proceedings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31</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1a_riskfactors">
              <w:r>
                <w:rPr>
                  <w:rStyle w:val="InternetLink"/>
                  <w:rFonts w:ascii="Times New Roman" w:hAnsi="Times New Roman"/>
                  <w:color w:val="0000FF"/>
                  <w:sz w:val="20"/>
                  <w:u w:val="single"/>
                </w:rPr>
                <w:t>Risk Factors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31</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2_unregistered">
              <w:r>
                <w:rPr>
                  <w:rStyle w:val="InternetLink"/>
                  <w:rFonts w:ascii="Times New Roman" w:hAnsi="Times New Roman"/>
                  <w:color w:val="0000FF"/>
                  <w:sz w:val="20"/>
                  <w:u w:val="single"/>
                </w:rPr>
                <w:t>Unregistered Sales of Equity Securities and Use of Proceeds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32</w:t>
            </w:r>
          </w:p>
        </w:tc>
      </w:tr>
      <w:tr>
        <w:trPr/>
        <w:tc>
          <w:tcPr>
            <w:tcW w:w="839" w:type="dxa"/>
            <w:tcBorders/>
            <w:tcMar>
              <w:top w:w="0" w:type="dxa"/>
              <w:left w:w="0" w:type="dxa"/>
              <w:bottom w:w="0" w:type="dxa"/>
              <w:right w:w="0" w:type="dxa"/>
            </w:tcMar>
            <w:vAlign w:val="center"/>
          </w:tcPr>
          <w:p>
            <w:pPr>
              <w:pStyle w:val="TableContents"/>
              <w:bidi w:val="0"/>
              <w:spacing w:before="0" w:after="283"/>
              <w:jc w:val="left"/>
              <w:rPr/>
            </w:pPr>
            <w:r>
              <w:rPr/>
              <w:t> </w:t>
            </w:r>
          </w:p>
        </w:tc>
        <w:tc>
          <w:tcPr>
            <w:tcW w:w="8854" w:type="dxa"/>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54"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exhibit_list">
              <w:r>
                <w:rPr>
                  <w:rStyle w:val="InternetLink"/>
                  <w:rFonts w:ascii="Times New Roman" w:hAnsi="Times New Roman"/>
                  <w:color w:val="0000FF"/>
                  <w:sz w:val="20"/>
                  <w:u w:val="single"/>
                </w:rPr>
                <w:t>EXHIBIT LIST</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33</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tcMar>
              <w:top w:w="0" w:type="dxa"/>
              <w:left w:w="0" w:type="dxa"/>
              <w:bottom w:w="0" w:type="dxa"/>
              <w:right w:w="0" w:type="dxa"/>
            </w:tcMar>
            <w:vAlign w:val="center"/>
          </w:tcPr>
          <w:p>
            <w:pPr>
              <w:pStyle w:val="TableContents"/>
              <w:bidi w:val="0"/>
              <w:spacing w:before="75" w:after="30"/>
              <w:jc w:val="right"/>
              <w:rPr>
                <w:rFonts w:ascii="Times New Roman" w:hAnsi="Times New Roman"/>
                <w:color w:val="000000"/>
                <w:sz w:val="20"/>
              </w:rPr>
            </w:pPr>
            <w:r>
              <w:rPr>
                <w:rFonts w:ascii="Times New Roman" w:hAnsi="Times New Roman"/>
                <w:color w:val="000000"/>
                <w:sz w:val="20"/>
              </w:rPr>
              <w:t>35</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2" w:name="part_i_financial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sz w:val="20"/>
        </w:rPr>
      </w:pPr>
      <w:r>
        <w:rPr>
          <w:rFonts w:ascii="Times New Roman" w:hAnsi="Times New Roman"/>
          <w:b/>
          <w:color w:val="000000"/>
          <w:sz w:val="20"/>
        </w:rPr>
        <w:t>(In thousands, except par value)</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68"/>
        <w:gridCol w:w="146"/>
        <w:gridCol w:w="196"/>
        <w:gridCol w:w="886"/>
        <w:gridCol w:w="166"/>
        <w:gridCol w:w="146"/>
        <w:gridCol w:w="196"/>
        <w:gridCol w:w="889"/>
        <w:gridCol w:w="412"/>
      </w:tblGrid>
      <w:tr>
        <w:trPr/>
        <w:tc>
          <w:tcPr>
            <w:tcW w:w="7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166,728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126,146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14,741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20,744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4,561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42,963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506,037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375,883</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22,775</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right-of-use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26,567</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3,688</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Non-current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183,432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556,965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612,345</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21,435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4,806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10,274</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Deferred grant income,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3,527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20,804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65,895</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Convertible notes,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299</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25,590</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revenue,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32,674</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Deferred grant income,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7,243</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w:t>
            </w:r>
          </w:p>
        </w:tc>
        <w:tc>
          <w:tcPr>
            <w:tcW w:w="4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Non-current liabilities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6,779</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132,430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140,623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Preferred stock: $0.001</w:t>
            </w:r>
            <w:r>
              <w:rPr>
                <w:rFonts w:ascii="Times New Roman" w:hAnsi="Times New Roman"/>
                <w:color w:val="000000"/>
                <w:sz w:val="20"/>
              </w:rPr>
              <w:t> </w:t>
            </w:r>
            <w:r>
              <w:rPr>
                <w:rFonts w:ascii="Times New Roman" w:hAnsi="Times New Roman"/>
                <w:color w:val="000000"/>
                <w:sz w:val="17"/>
              </w:rPr>
              <w:t>par value, 10,000</w:t>
            </w:r>
            <w:r>
              <w:rPr>
                <w:rFonts w:ascii="Times New Roman" w:hAnsi="Times New Roman"/>
                <w:color w:val="000000"/>
                <w:sz w:val="20"/>
              </w:rPr>
              <w:t> </w:t>
            </w:r>
            <w:r>
              <w:rPr>
                <w:rFonts w:ascii="Times New Roman" w:hAnsi="Times New Roman"/>
                <w:color w:val="000000"/>
                <w:sz w:val="17"/>
              </w:rPr>
              <w:t>shares authorized at June 30, 2025 and December 31, 2024; no</w:t>
            </w:r>
            <w:r>
              <w:rPr>
                <w:rFonts w:ascii="Times New Roman" w:hAnsi="Times New Roman"/>
                <w:color w:val="000000"/>
                <w:sz w:val="20"/>
              </w:rPr>
              <w:t> </w:t>
            </w:r>
            <w:r>
              <w:rPr>
                <w:rFonts w:ascii="Times New Roman" w:hAnsi="Times New Roman"/>
                <w:color w:val="000000"/>
                <w:sz w:val="17"/>
              </w:rPr>
              <w:t>shares issued and outstanding at June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Common stock: $0.001</w:t>
            </w:r>
            <w:r>
              <w:rPr>
                <w:rFonts w:ascii="Times New Roman" w:hAnsi="Times New Roman"/>
                <w:color w:val="000000"/>
                <w:sz w:val="20"/>
              </w:rPr>
              <w:t> </w:t>
            </w:r>
            <w:r>
              <w:rPr>
                <w:rFonts w:ascii="Times New Roman" w:hAnsi="Times New Roman"/>
                <w:color w:val="000000"/>
                <w:sz w:val="17"/>
              </w:rPr>
              <w:t>par value, 600,000</w:t>
            </w:r>
            <w:r>
              <w:rPr>
                <w:rFonts w:ascii="Times New Roman" w:hAnsi="Times New Roman"/>
                <w:color w:val="000000"/>
                <w:sz w:val="20"/>
              </w:rPr>
              <w:t> </w:t>
            </w:r>
            <w:r>
              <w:rPr>
                <w:rFonts w:ascii="Times New Roman" w:hAnsi="Times New Roman"/>
                <w:color w:val="000000"/>
                <w:sz w:val="17"/>
              </w:rPr>
              <w:t>shares authorized at June 30, 2025 and December 31, 2024; 400,273</w:t>
            </w:r>
            <w:r>
              <w:rPr>
                <w:rFonts w:ascii="Times New Roman" w:hAnsi="Times New Roman"/>
                <w:color w:val="000000"/>
                <w:sz w:val="20"/>
              </w:rPr>
              <w:t> </w:t>
            </w:r>
            <w:r>
              <w:rPr>
                <w:rFonts w:ascii="Times New Roman" w:hAnsi="Times New Roman"/>
                <w:color w:val="000000"/>
                <w:sz w:val="17"/>
              </w:rPr>
              <w:t>and 396,110</w:t>
            </w:r>
            <w:r>
              <w:rPr>
                <w:rFonts w:ascii="Times New Roman" w:hAnsi="Times New Roman"/>
                <w:color w:val="000000"/>
                <w:sz w:val="20"/>
              </w:rPr>
              <w:t> </w:t>
            </w:r>
            <w:r>
              <w:rPr>
                <w:rFonts w:ascii="Times New Roman" w:hAnsi="Times New Roman"/>
                <w:color w:val="000000"/>
                <w:sz w:val="17"/>
              </w:rPr>
              <w:t>shares issued at June 30, 2025 and December 31, 2024, respectively; 381,691</w:t>
            </w:r>
            <w:r>
              <w:rPr>
                <w:rFonts w:ascii="Times New Roman" w:hAnsi="Times New Roman"/>
                <w:color w:val="000000"/>
                <w:sz w:val="20"/>
              </w:rPr>
              <w:t> </w:t>
            </w:r>
            <w:r>
              <w:rPr>
                <w:rFonts w:ascii="Times New Roman" w:hAnsi="Times New Roman"/>
                <w:color w:val="000000"/>
                <w:sz w:val="17"/>
              </w:rPr>
              <w:t>and 377,530</w:t>
            </w:r>
            <w:r>
              <w:rPr>
                <w:rFonts w:ascii="Times New Roman" w:hAnsi="Times New Roman"/>
                <w:color w:val="000000"/>
                <w:sz w:val="20"/>
              </w:rPr>
              <w:t> </w:t>
            </w:r>
            <w:r>
              <w:rPr>
                <w:rFonts w:ascii="Times New Roman" w:hAnsi="Times New Roman"/>
                <w:color w:val="000000"/>
                <w:sz w:val="17"/>
              </w:rPr>
              <w:t>shares outstanding at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396</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1,717,673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1,702,219</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1,225</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(1,245,143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(1,185,651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7"/>
              </w:rPr>
              <w:t>Treasury stock at cost: 18,580</w:t>
            </w:r>
            <w:r>
              <w:rPr>
                <w:rFonts w:ascii="Times New Roman" w:hAnsi="Times New Roman"/>
                <w:color w:val="000000"/>
                <w:sz w:val="20"/>
              </w:rPr>
              <w:t> </w:t>
            </w:r>
            <w:r>
              <w:rPr>
                <w:rFonts w:ascii="Times New Roman" w:hAnsi="Times New Roman"/>
                <w:color w:val="000000"/>
                <w:sz w:val="17"/>
              </w:rPr>
              <w:t>shares at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(46,467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1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424,535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471,722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556,965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612,345</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5" w:name="condensed_consolida_stmt_of_operations"/>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04"/>
        <w:gridCol w:w="146"/>
        <w:gridCol w:w="211"/>
        <w:gridCol w:w="781"/>
        <w:gridCol w:w="166"/>
        <w:gridCol w:w="146"/>
        <w:gridCol w:w="211"/>
        <w:gridCol w:w="781"/>
        <w:gridCol w:w="166"/>
        <w:gridCol w:w="146"/>
        <w:gridCol w:w="211"/>
        <w:gridCol w:w="781"/>
        <w:gridCol w:w="166"/>
        <w:gridCol w:w="146"/>
        <w:gridCol w:w="211"/>
        <w:gridCol w:w="841"/>
        <w:gridCol w:w="391"/>
      </w:tblGrid>
      <w:tr>
        <w:trPr/>
        <w:tc>
          <w:tcPr>
            <w:tcW w:w="47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Induced conversion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(123,889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discontinued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6" w:name="comprehensive_loss"/>
      <w:bookmarkEnd w:id="6"/>
      <w:r>
        <w:rPr>
          <w:rFonts w:ascii="Times New Roman" w:hAnsi="Times New Roman"/>
          <w:b/>
          <w:color w:val="000000"/>
          <w:sz w:val="20"/>
        </w:rPr>
        <w:t>CONDENSED CONSOLIDATED STATEMENTS OF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9767" w:type="dxa"/>
        <w:jc w:val="left"/>
        <w:tblInd w:w="0" w:type="dxa"/>
        <w:tblLayout w:type="fixed"/>
        <w:tblCellMar>
          <w:top w:w="28" w:type="dxa"/>
          <w:left w:w="28" w:type="dxa"/>
          <w:bottom w:w="28" w:type="dxa"/>
          <w:right w:w="28" w:type="dxa"/>
        </w:tblCellMar>
      </w:tblPr>
      <w:tblGrid>
        <w:gridCol w:w="4506"/>
        <w:gridCol w:w="146"/>
        <w:gridCol w:w="211"/>
        <w:gridCol w:w="736"/>
        <w:gridCol w:w="166"/>
        <w:gridCol w:w="146"/>
        <w:gridCol w:w="211"/>
        <w:gridCol w:w="736"/>
        <w:gridCol w:w="166"/>
        <w:gridCol w:w="146"/>
        <w:gridCol w:w="211"/>
        <w:gridCol w:w="736"/>
        <w:gridCol w:w="166"/>
        <w:gridCol w:w="146"/>
        <w:gridCol w:w="211"/>
        <w:gridCol w:w="736"/>
        <w:gridCol w:w="391"/>
      </w:tblGrid>
      <w:tr>
        <w:trPr/>
        <w:tc>
          <w:tcPr>
            <w:tcW w:w="4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change in unrealized gain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7" w:name="stockholders_equity"/>
      <w:bookmarkEnd w:id="7"/>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10947"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205"/>
        <w:gridCol w:w="726"/>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397,667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1,711,180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(1,211,684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454,595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400,273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1,717,673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(1,245,143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424,535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jc w:val="left"/>
        <w:rPr/>
      </w:pPr>
      <w:r>
        <w:rPr/>
        <w:t> </w:t>
      </w:r>
    </w:p>
    <w:tbl>
      <w:tblPr>
        <w:tblW w:w="10963" w:type="dxa"/>
        <w:jc w:val="left"/>
        <w:tblInd w:w="0" w:type="dxa"/>
        <w:tblLayout w:type="fixed"/>
        <w:tblCellMar>
          <w:top w:w="28" w:type="dxa"/>
          <w:left w:w="28" w:type="dxa"/>
          <w:bottom w:w="28" w:type="dxa"/>
          <w:right w:w="28" w:type="dxa"/>
        </w:tblCellMar>
      </w:tblPr>
      <w:tblGrid>
        <w:gridCol w:w="1371"/>
        <w:gridCol w:w="146"/>
        <w:gridCol w:w="146"/>
        <w:gridCol w:w="691"/>
        <w:gridCol w:w="146"/>
        <w:gridCol w:w="146"/>
        <w:gridCol w:w="196"/>
        <w:gridCol w:w="376"/>
        <w:gridCol w:w="146"/>
        <w:gridCol w:w="146"/>
        <w:gridCol w:w="196"/>
        <w:gridCol w:w="826"/>
        <w:gridCol w:w="166"/>
        <w:gridCol w:w="146"/>
        <w:gridCol w:w="196"/>
        <w:gridCol w:w="571"/>
        <w:gridCol w:w="166"/>
        <w:gridCol w:w="146"/>
        <w:gridCol w:w="196"/>
        <w:gridCol w:w="886"/>
        <w:gridCol w:w="166"/>
        <w:gridCol w:w="146"/>
        <w:gridCol w:w="146"/>
        <w:gridCol w:w="661"/>
        <w:gridCol w:w="166"/>
        <w:gridCol w:w="146"/>
        <w:gridCol w:w="196"/>
        <w:gridCol w:w="661"/>
        <w:gridCol w:w="166"/>
        <w:gridCol w:w="146"/>
        <w:gridCol w:w="196"/>
        <w:gridCol w:w="751"/>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b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(148,051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Conversion of redeemable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11,611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Common stock relinquished in litigation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Merger consideration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444,219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(32,157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387,652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1,674,672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577,316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restricted stock, net of shares withheld for taxes,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1,682,480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(1,124,641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(1) Merger consideration included 26,367</w:t>
      </w:r>
      <w:r>
        <w:rPr>
          <w:rFonts w:ascii="Times New Roman" w:hAnsi="Times New Roman"/>
          <w:color w:val="000000"/>
          <w:sz w:val="20"/>
        </w:rPr>
        <w:t xml:space="preserve"> </w:t>
      </w:r>
      <w:r>
        <w:rPr>
          <w:rFonts w:ascii="Times New Roman" w:hAnsi="Times New Roman"/>
          <w:color w:val="000000"/>
          <w:sz w:val="16"/>
        </w:rPr>
        <w:t>shares of common stock that were issued to a related party. See Note 14,</w:t>
      </w:r>
      <w:r>
        <w:rPr>
          <w:rFonts w:ascii="Times New Roman" w:hAnsi="Times New Roman"/>
          <w:color w:val="000000"/>
          <w:sz w:val="20"/>
        </w:rPr>
        <w:t xml:space="preserve"> </w:t>
      </w:r>
      <w:r>
        <w:rPr>
          <w:rFonts w:ascii="Times New Roman" w:hAnsi="Times New Roman"/>
          <w:i/>
          <w:color w:val="000000"/>
          <w:sz w:val="16"/>
        </w:rPr>
        <w:t>Related Parties</w:t>
      </w:r>
      <w:r>
        <w:rPr>
          <w:rFonts w:ascii="Times New Roman" w:hAnsi="Times New Roman"/>
          <w:color w:val="000000"/>
          <w:sz w:val="16"/>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8" w:name="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tbl>
      <w:tblPr>
        <w:tblW w:w="8224" w:type="dxa"/>
        <w:jc w:val="left"/>
        <w:tblInd w:w="0" w:type="dxa"/>
        <w:tblLayout w:type="fixed"/>
        <w:tblCellMar>
          <w:top w:w="28" w:type="dxa"/>
          <w:left w:w="28" w:type="dxa"/>
          <w:bottom w:w="28" w:type="dxa"/>
          <w:right w:w="28" w:type="dxa"/>
        </w:tblCellMar>
      </w:tblPr>
      <w:tblGrid>
        <w:gridCol w:w="5521"/>
        <w:gridCol w:w="146"/>
        <w:gridCol w:w="196"/>
        <w:gridCol w:w="691"/>
        <w:gridCol w:w="166"/>
        <w:gridCol w:w="146"/>
        <w:gridCol w:w="196"/>
        <w:gridCol w:w="751"/>
        <w:gridCol w:w="411"/>
      </w:tblGrid>
      <w:tr>
        <w:trPr/>
        <w:tc>
          <w:tcPr>
            <w:tcW w:w="5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(77,875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Bargain purchase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short-term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(101,526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restricted cash acquired in merger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280,033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368,331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term loan and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(8,192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term loan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(40,490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ESPP stock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271,100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Equity consideration transferred in connection with merger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444,219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right-of-use assets and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16"/>
        </w:rPr>
        <w:t>Equity consideration transferred in connection with merger included 26,367</w:t>
      </w:r>
      <w:r>
        <w:rPr>
          <w:rFonts w:ascii="Times New Roman" w:hAnsi="Times New Roman"/>
          <w:color w:val="000000"/>
          <w:sz w:val="20"/>
        </w:rPr>
        <w:t xml:space="preserve"> </w:t>
      </w:r>
      <w:r>
        <w:rPr>
          <w:rFonts w:ascii="Times New Roman" w:hAnsi="Times New Roman"/>
          <w:color w:val="000000"/>
          <w:sz w:val="16"/>
        </w:rPr>
        <w:t>shares of common stock that were beneficially issued to a related party. See Note 14,</w:t>
      </w:r>
      <w:r>
        <w:rPr>
          <w:rFonts w:ascii="Times New Roman" w:hAnsi="Times New Roman"/>
          <w:color w:val="000000"/>
          <w:sz w:val="20"/>
        </w:rPr>
        <w:t xml:space="preserve"> </w:t>
      </w:r>
      <w:r>
        <w:rPr>
          <w:rFonts w:ascii="Times New Roman" w:hAnsi="Times New Roman"/>
          <w:i/>
          <w:color w:val="000000"/>
          <w:sz w:val="16"/>
        </w:rPr>
        <w:t>Related Parties</w:t>
      </w:r>
      <w:r>
        <w:rPr>
          <w:rFonts w:ascii="Times New Roman" w:hAnsi="Times New Roman"/>
          <w:color w:val="000000"/>
          <w:sz w:val="16"/>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STANDARD BIOTOOLS INC.</w:t>
      </w:r>
    </w:p>
    <w:p>
      <w:pPr>
        <w:pStyle w:val="TextBody"/>
        <w:bidi w:val="0"/>
        <w:jc w:val="center"/>
        <w:rPr>
          <w:rFonts w:ascii="Times New Roman" w:hAnsi="Times New Roman"/>
          <w:b/>
          <w:color w:val="000000"/>
          <w:sz w:val="20"/>
        </w:rPr>
      </w:pPr>
      <w:bookmarkStart w:id="9" w:name="notes_to_consolidated_financial_state"/>
      <w:bookmarkEnd w:id="9"/>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June 30, 2025</w:t>
      </w:r>
    </w:p>
    <w:p>
      <w:pPr>
        <w:pStyle w:val="TextBody"/>
        <w:bidi w:val="0"/>
        <w:spacing w:before="240" w:after="283"/>
        <w:jc w:val="left"/>
        <w:rPr>
          <w:rFonts w:ascii="Times New Roman" w:hAnsi="Times New Roman"/>
          <w:b/>
          <w:color w:val="000000"/>
          <w:sz w:val="20"/>
        </w:rPr>
      </w:pPr>
      <w:bookmarkStart w:id="10" w:name="note_1"/>
      <w:bookmarkEnd w:id="10"/>
      <w:r>
        <w:rPr>
          <w:rFonts w:ascii="Times New Roman" w:hAnsi="Times New Roman"/>
          <w:b/>
          <w:color w:val="000000"/>
          <w:sz w:val="20"/>
        </w:rPr>
        <w:t>1.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Standard BioTools Inc. (“Standard BioTools” or the “Company”) is a Delaware corporation headquartered in South San Francisco, California.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develops, manufactures and sells a diversified range of instrumentation, consumables, and services that help scientists and biomedical researchers develop better therapeutics faster. Its proprietary multi-omics tools provide unique insights into human health, immune response, and disease states across a broad range of applications, including proteomics and genomics, and other areas of translational and clinical research.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unaudited condensed consolidated financial statements have been prepared in accordance with accounting principles generally accepted in the United States of America ("GAAP") for interim financial information and applicable rules and regulations of the U.S. Securities and Exchange Commission (the "SEC") regarding financial reporting. All intercompany transactions and balances have been eliminated in consolidation. These interim condensed consolidated financial statements and related disclosures are unaudited and have been prepared on the same basis as the annual financial statements. In the opinion of management, the accompanying financial statements contain all adjustments of a normal and recurring nature, necessary for a fair statement of the Company's financial position as of June 30, 2025, results of operations for the three and six months ended June 30, 2025 and 2024, and cash flows for the six months ended June 30, 2025 and 2024. The condensed consolidated balance sheet at December 31, 2024 was derived from audited annual financial statements but does not contain all of the footnote disclosures from the annual financial statements. Certain prior period amounts have been reclassified to conform to the current period presentation.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information and disclosures normally included in consolidated financial statements prepared in accordance with GAAP have been condensed or omitted. Accordingly, these condensed consolidated financial statements should be read in conjunction with the Company's audited consolidated financial statements as of and for the year ended December 31, 2024 (the "2024 Financial Statements") included in the Company's Annual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the Company entered into a Stock Purchase Agreement (the "Purchase Agreement") with Illumina. Pursuant to the terms of the Purchase Agreement, Illumina will acquire all of the equity interests of SomaLogic, Inc. (“SomaLogic”), Sengenics Corporation LLC (“Sengenics LLC”) and Sengenics Corporation Pte Ltd (“Sengenics Pte” and together with Sengenics LLC, “Sengenics”) (such equity interests, collectively, the "Shares"), each a wholly owned subsidiary of the Company that operates the Company's aptamer-based and functional proteomics business, including KREX, Single SOMAmer, translational and diagnostic assays (collectively, the "SomaScan Business") (such transaction, the "Transaction"). The Transaction does not include the Company's mass cytometry and microfluidics businesses, which are being retained by the Company. The Transaction is expected to be completed within twelve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Consistent with Accounting Standards Codification (“ASC”) 205, </w:t>
      </w:r>
      <w:r>
        <w:rPr>
          <w:rFonts w:ascii="Times New Roman" w:hAnsi="Times New Roman"/>
          <w:i/>
          <w:color w:val="000000"/>
          <w:sz w:val="20"/>
        </w:rPr>
        <w:t>Presentation of Financial Statements</w:t>
      </w:r>
      <w:r>
        <w:rPr>
          <w:rFonts w:ascii="Times New Roman" w:hAnsi="Times New Roman"/>
          <w:color w:val="000000"/>
          <w:sz w:val="20"/>
        </w:rPr>
        <w:t>, the Company classifies disposal groups as held-for-sale in the reporting period when all the held-for-sale classification criteria are met. Disposal groups held for sale are presented as discontinued operations when the disposal represents a strategic shift with a major effect on operations, and the operations and cash flows are clearly distinguishable from the rest of the entity. Upon classification as held-for-sale, assets and liabilities are presented as held-for-sale and measured at the lower of carrying value or fair value less costs to sell, and upon classification as discontinued operations, results of operations are reclassified as discontinued operations for all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determined that the SomaScan Business met the held-for-sale and discontinued operations accounting criteria in the second quarter of 2025. Accordingly, the Company has classified the results of the SomaScan Business as discontinued operations in its condensed consolidated statements of operations for all periods presented. Additionally, the assets and liabilities of the SomaScan Business are classified as held-for-sale in the condensed consolidated balance sheets. The cash flows related to discontinued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operations have not been segregated and are included in the condensed consolidated statements of cash flows. The discussions in these notes to the condensed consolidated financial statements relate solely to the Company's continuing operations, unless otherwise noted. For further discussion of the discontinued operations related to the SomaScan Business, refer to Note 3, </w:t>
      </w:r>
      <w:r>
        <w:rPr>
          <w:rFonts w:ascii="Times New Roman" w:hAnsi="Times New Roman"/>
          <w:i/>
          <w:color w:val="000000"/>
          <w:sz w:val="20"/>
        </w:rPr>
        <w:t>Discontinued Operations</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Interim results are not necessarily indicative of the results to be expected for the full year ending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identifies operating and reportable segments based on how the chief operating decision maker ("CODM") manages the business, allocates resources, makes operating decisions and evaluates operating performance. The Company's Chief Executive Officer ("CEO") is its CODM. The Company reassesses its operating segments when facts and circumstances suggest that there may have been a change in the way that the Company is managed.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Historically, the Company has managed its business as two operating and reportable segments: proteomics and genomics. Subsequent to the completion of its merger (the "Merger") with SomaLogic on January 5, 2024, the CODM continued managing the business as proteomics and genomics segments, with SomaLogic attributed to the proteomics segment. During the first quarter of 2025, after the full integration of SomaLogic and assessment of 2024 results, the CODM evaluated how the fully integrated, combined company should be managed. Subsequently, the CODM began managing the business on a consolidated basis, as a multi-omics company. Therefore, the Company reassessed its operating and reportable segments, concluding that it has one operating and reportable segment: the consolidated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segment information presented reflects the Company's continuing operations and excludes discontinued operations. Due to the resegmentation that was implemented in the first quarter of fiscal year 2025, prior period segment results have been recast to conform to the current segment presentation. See Note 12, </w:t>
      </w:r>
      <w:r>
        <w:rPr>
          <w:rFonts w:ascii="Times New Roman" w:hAnsi="Times New Roman"/>
          <w:i/>
          <w:color w:val="000000"/>
          <w:sz w:val="20"/>
        </w:rPr>
        <w:t>Segment Reporting</w:t>
      </w:r>
      <w:r>
        <w:rPr>
          <w:rFonts w:ascii="Times New Roman" w:hAnsi="Times New Roman"/>
          <w:color w:val="000000"/>
          <w:sz w:val="20"/>
        </w:rPr>
        <w:t>, for more information on the new reportable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preparation of financial statements in accordance with GAAP requires management to make estimates and assumptions that affect the amounts reported in the financial statements and disclosed in the accompanying notes. Actual results could differ materially from these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Significant estimates and assumptions which form the basis of amounts reported in the condensed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the fair value of intangible assets acquired in business combinations; and impairment of long-lived assets (property and equipment, and operating lease right-of-use assets).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Changes and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In December 2023, the Financial Accounting Standards Board (“FASB”) issued ASU 2023-09</w:t>
      </w:r>
      <w:r>
        <w:rPr>
          <w:rFonts w:ascii="Times New Roman" w:hAnsi="Times New Roman"/>
          <w:i/>
          <w:color w:val="000000"/>
          <w:sz w:val="20"/>
        </w:rPr>
        <w:t>, Improvements to Income Tax Disclosures</w:t>
      </w:r>
      <w:r>
        <w:rPr>
          <w:rFonts w:ascii="Times New Roman" w:hAnsi="Times New Roman"/>
          <w:color w:val="000000"/>
          <w:sz w:val="20"/>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effects of adoption on its consolidated financial statements.</w:t>
      </w:r>
    </w:p>
    <w:p>
      <w:pPr>
        <w:pStyle w:val="TextBody"/>
        <w:bidi w:val="0"/>
        <w:spacing w:before="240" w:after="283"/>
        <w:jc w:val="both"/>
        <w:rPr>
          <w:rFonts w:ascii="Times New Roman" w:hAnsi="Times New Roman"/>
          <w:sz w:val="20"/>
        </w:rPr>
      </w:pPr>
      <w:r>
        <w:rPr>
          <w:rFonts w:ascii="Times New Roman" w:hAnsi="Times New Roman"/>
          <w:color w:val="000000"/>
          <w:sz w:val="20"/>
        </w:rPr>
        <w:t>In November 2024, FASB issued ASU 2024-03</w:t>
      </w:r>
      <w:r>
        <w:rPr>
          <w:rFonts w:ascii="Times New Roman" w:hAnsi="Times New Roman"/>
          <w:i/>
          <w:color w:val="000000"/>
          <w:sz w:val="20"/>
        </w:rPr>
        <w:t>, Income Statement: Reporting Comprehensive Income-Expense Disaggregation Disclosures (Subtopic 220-40)</w:t>
      </w:r>
      <w:r>
        <w:rPr>
          <w:rFonts w:ascii="Times New Roman" w:hAnsi="Times New Roman"/>
          <w:color w:val="000000"/>
          <w:sz w:val="20"/>
        </w:rPr>
        <w:t>, to improve disclosures about an entity's expenses. Upon adoption, we will be required to disclose in the notes to the financial statements a disaggregation of certain expense categories included within the expense captions on the face of the income statement. The new standard is effective for fiscal years beginning after December 15, 2026. The amendments may be applied prospectively or retrospectively, and early adoption is permitted. The Company is currently assessing the effects of adoption on its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July 2025, FASB issued Accounting Standards Update No. 2025-05, </w:t>
      </w:r>
      <w:r>
        <w:rPr>
          <w:rFonts w:ascii="Times New Roman" w:hAnsi="Times New Roman"/>
          <w:i/>
          <w:color w:val="000000"/>
          <w:sz w:val="20"/>
        </w:rPr>
        <w:t>Financial Instruments - Credit Losses</w:t>
      </w:r>
      <w:r>
        <w:rPr>
          <w:rFonts w:ascii="Times New Roman" w:hAnsi="Times New Roman"/>
          <w:color w:val="000000"/>
          <w:sz w:val="20"/>
        </w:rPr>
        <w:t xml:space="preserve">: </w:t>
      </w:r>
      <w:r>
        <w:rPr>
          <w:rFonts w:ascii="Times New Roman" w:hAnsi="Times New Roman"/>
          <w:i/>
          <w:color w:val="000000"/>
          <w:sz w:val="20"/>
        </w:rPr>
        <w:t>Measurement of Credit Losses for Accounts Receivable</w:t>
      </w:r>
      <w:r>
        <w:rPr>
          <w:rFonts w:ascii="Times New Roman" w:hAnsi="Times New Roman"/>
          <w:color w:val="000000"/>
          <w:sz w:val="20"/>
        </w:rPr>
        <w:t xml:space="preserve"> and </w:t>
      </w:r>
      <w:r>
        <w:rPr>
          <w:rFonts w:ascii="Times New Roman" w:hAnsi="Times New Roman"/>
          <w:i/>
          <w:color w:val="000000"/>
          <w:sz w:val="20"/>
        </w:rPr>
        <w:t>Contract Assets</w:t>
      </w:r>
      <w:r>
        <w:rPr>
          <w:rFonts w:ascii="Times New Roman" w:hAnsi="Times New Roman"/>
          <w:color w:val="000000"/>
          <w:sz w:val="20"/>
        </w:rPr>
        <w:t xml:space="preserve"> (“ASU 2025-05”), which provides a practical expedient for estimating expected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credit losses for current accounts receivable and current contract assets. ASU 2025-05 will be effective for annual periods beginning after December 15, 2025 and interim periods within those annual reporting periods and should be applied prospectively. The Company is currently evaluating the impact of ASU 2025-05 on its consolidated financial statements and related disclosures.</w:t>
      </w:r>
    </w:p>
    <w:p>
      <w:pPr>
        <w:pStyle w:val="TextBody"/>
        <w:bidi w:val="0"/>
        <w:spacing w:before="120" w:after="283"/>
        <w:jc w:val="left"/>
        <w:rPr/>
      </w:pPr>
      <w:r>
        <w:rPr/>
        <w:t> </w:t>
      </w:r>
    </w:p>
    <w:p>
      <w:pPr>
        <w:pStyle w:val="TextBody"/>
        <w:bidi w:val="0"/>
        <w:spacing w:before="160" w:after="283"/>
        <w:jc w:val="left"/>
        <w:rPr>
          <w:rFonts w:ascii="Times New Roman" w:hAnsi="Times New Roman"/>
          <w:b/>
          <w:color w:val="000000"/>
          <w:sz w:val="20"/>
        </w:rPr>
      </w:pPr>
      <w:bookmarkStart w:id="11" w:name="note_2"/>
      <w:bookmarkEnd w:id="11"/>
      <w:r>
        <w:rPr>
          <w:rFonts w:ascii="Times New Roman" w:hAnsi="Times New Roman"/>
          <w:b/>
          <w:color w:val="000000"/>
          <w:sz w:val="20"/>
        </w:rPr>
        <w:t>2. Business Combinations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SomaLogic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5, 2024 (the “Closing Date”), the Company completed the Merger with SomaLogic, whereby SomaLogic and its subsidiaries became wholly owned subsidiaries of Standard BioTools. Upon completion of the Merger, each share of SomaLogic common stock was exchanged for 1.11 shares of the Company's common stock. The fair value of the consideration transferred in connection with the Merger was $444.2 million. As a result of the Merger, the Company recognized a gain on bargain purchase of $25.2 million. The purchase accounting for the Merger was finalized as of December 31, 2024, and no measurement period adjustments were recorded subsequent to the Closing Date.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Sengenics</w:t>
      </w:r>
    </w:p>
    <w:p>
      <w:pPr>
        <w:pStyle w:val="TextBody"/>
        <w:bidi w:val="0"/>
        <w:spacing w:before="120" w:after="240"/>
        <w:jc w:val="both"/>
        <w:rPr>
          <w:rFonts w:ascii="Times New Roman" w:hAnsi="Times New Roman"/>
          <w:sz w:val="20"/>
        </w:rPr>
      </w:pPr>
      <w:r>
        <w:rPr>
          <w:rFonts w:ascii="Times New Roman" w:hAnsi="Times New Roman"/>
          <w:color w:val="000000"/>
          <w:sz w:val="20"/>
        </w:rPr>
        <w:t xml:space="preserve">On November 21, 2024, the Company acquired 100% of the equity interests in Sengenics. For additional details regarding both business combinations, refer to Note 3, </w:t>
      </w:r>
      <w:r>
        <w:rPr>
          <w:rFonts w:ascii="Times New Roman" w:hAnsi="Times New Roman"/>
          <w:i/>
          <w:color w:val="000000"/>
          <w:sz w:val="20"/>
        </w:rPr>
        <w:t>Business Combinations</w:t>
      </w:r>
      <w:r>
        <w:rPr>
          <w:rFonts w:ascii="Times New Roman" w:hAnsi="Times New Roman"/>
          <w:color w:val="000000"/>
          <w:sz w:val="20"/>
        </w:rPr>
        <w:t xml:space="preserve"> in the Company's 2024 Financial Statements.</w:t>
      </w:r>
    </w:p>
    <w:p>
      <w:pPr>
        <w:pStyle w:val="TextBody"/>
        <w:bidi w:val="0"/>
        <w:jc w:val="left"/>
        <w:rPr>
          <w:rFonts w:ascii="Times New Roman" w:hAnsi="Times New Roman"/>
          <w:sz w:val="20"/>
        </w:rPr>
      </w:pPr>
      <w:r>
        <w:rPr>
          <w:rFonts w:ascii="Times New Roman" w:hAnsi="Times New Roman"/>
          <w:color w:val="000000"/>
          <w:sz w:val="20"/>
        </w:rPr>
        <w:t xml:space="preserve">The assets and liabilities of SomaLogic and Sengenics, or the SomaScan Business, have been classified as held-for-sale in the condensed consolidated balance sheets, and the results of operations for the SomaScan Business have been classified as discontinued operations in the condensed consolidated statements of operations, for all periods presented. Refer to Note 3, </w:t>
      </w:r>
      <w:r>
        <w:rPr>
          <w:rFonts w:ascii="Times New Roman" w:hAnsi="Times New Roman"/>
          <w:i/>
          <w:color w:val="000000"/>
          <w:sz w:val="20"/>
        </w:rPr>
        <w:t>Discontinued Operations</w:t>
      </w:r>
      <w:r>
        <w:rPr>
          <w:rFonts w:ascii="Times New Roman" w:hAnsi="Times New Roman"/>
          <w:color w:val="000000"/>
          <w:sz w:val="20"/>
        </w:rPr>
        <w:t xml:space="preserve"> for additional details.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Discontinued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described in Note 1, </w:t>
      </w:r>
      <w:r>
        <w:rPr>
          <w:rFonts w:ascii="Times New Roman" w:hAnsi="Times New Roman"/>
          <w:i/>
          <w:color w:val="000000"/>
          <w:sz w:val="20"/>
        </w:rPr>
        <w:t>Basis of Presentation and Summary of Significant Accounting Policies</w:t>
      </w:r>
      <w:r>
        <w:rPr>
          <w:rFonts w:ascii="Times New Roman" w:hAnsi="Times New Roman"/>
          <w:color w:val="000000"/>
          <w:sz w:val="20"/>
        </w:rPr>
        <w:t>, on June 22, 2025, the Company entered into the Purchase Agreement with Illumina for the divestiture of the SomaScan Business. SomaLogic had previously entered into a collaboration agreement with Illumina in December 2021 for the joint development and commercialization of co-branded kits combining Illumina's Next Generation Sequencing technology with SomaScan technology (as amended, the "Collaboration Agreement"). Additionally, on June 22, 2025, SomaLogic and Illumina executed an amendment to the Collaboration Agreement that provides additional non-exclusive, royalty-free licenses to certain intellectual property. The amendment does not impact the transaction price, performance obligations, or timing of revenue recognition under ASC 606. Illumina's acquisition of the SomaScan Business is intended to facilitate more effective execution of this collaboration strategy, and the Collaboration Agreement will be settled upon closing of the Transaction.</w:t>
      </w:r>
    </w:p>
    <w:p>
      <w:pPr>
        <w:pStyle w:val="TextBody"/>
        <w:bidi w:val="0"/>
        <w:jc w:val="left"/>
        <w:rPr>
          <w:rFonts w:ascii="Times New Roman" w:hAnsi="Times New Roman"/>
          <w:color w:val="000000"/>
          <w:sz w:val="20"/>
        </w:rPr>
      </w:pPr>
      <w:r>
        <w:rPr>
          <w:rFonts w:ascii="Times New Roman" w:hAnsi="Times New Roman"/>
          <w:color w:val="000000"/>
          <w:sz w:val="20"/>
        </w:rPr>
        <w:t>Illumina has agreed to acquire the SomaScan Business for aggregate cash consideration of up to $425 million, comprising (i) an upfront payment of $350 million in cash, payable at the closing of the Transaction, subject to adjustment as set forth in the Purchase Agreement, and (ii) up to $75 million in earnout payments, payable upon the achievement of specified targets for net revenue generated from SomaScan assay services or any other SOMAmer-based assay services and sales of SOMAmer-based array kits and SOMAmer-based next-generation sequencing library preparation kits in fiscal years 2025 and 2026.</w:t>
      </w:r>
    </w:p>
    <w:p>
      <w:pPr>
        <w:pStyle w:val="TextBody"/>
        <w:bidi w:val="0"/>
        <w:jc w:val="left"/>
        <w:rPr>
          <w:rFonts w:ascii="Times New Roman" w:hAnsi="Times New Roman"/>
          <w:color w:val="000000"/>
          <w:sz w:val="20"/>
        </w:rPr>
      </w:pPr>
      <w:r>
        <w:rPr>
          <w:rFonts w:ascii="Times New Roman" w:hAnsi="Times New Roman"/>
          <w:color w:val="000000"/>
          <w:sz w:val="20"/>
        </w:rPr>
        <w:t>In addition, the Purchase Agreement contemplates that, at the closing of the Transaction, as additional consideration, the Company and Illumina will enter into (i) a royalty agreement, pursuant to which the Company will be entitled to a specified royalty stream on net revenues generated from sales of SOMAmer-based next-generation sequencing library preparation kits, (ii) a license agreement, pursuant to which Illumina will provide a specified license to the Company for the intellectual property relating to Single SOMAmers for potential development and commercialization of Single SOMAmer reagents for use in single plex affinity assays and (iii) a royalty agreement, pursuant to which the Company will be entitled to a specified royalty stream on net revenues generated from sales of Single SOMAmers. The royalty rates are expected be low- to mid-single digit percentages.</w:t>
      </w:r>
    </w:p>
    <w:p>
      <w:pPr>
        <w:pStyle w:val="TextBody"/>
        <w:bidi w:val="0"/>
        <w:jc w:val="left"/>
        <w:rPr>
          <w:rFonts w:ascii="Times New Roman" w:hAnsi="Times New Roman"/>
          <w:color w:val="000000"/>
          <w:sz w:val="20"/>
        </w:rPr>
      </w:pPr>
      <w:r>
        <w:rPr>
          <w:rFonts w:ascii="Times New Roman" w:hAnsi="Times New Roman"/>
          <w:color w:val="000000"/>
          <w:sz w:val="20"/>
        </w:rPr>
        <w:t>The consummation of the Transaction is subject to customary closing conditions, including, among others, the expiration or termination of the applicable waiting period (and any extension thereof) under the Hart-Scott-Rodino Antitrust Improvements Act of 1976, as amended. The Company expects the Transaction to close in the first half of 2026.</w:t>
      </w:r>
    </w:p>
    <w:p>
      <w:pPr>
        <w:pStyle w:val="TextBody"/>
        <w:bidi w:val="0"/>
        <w:jc w:val="left"/>
        <w:rPr>
          <w:rFonts w:ascii="Times New Roman" w:hAnsi="Times New Roman"/>
          <w:color w:val="000000"/>
          <w:sz w:val="20"/>
        </w:rPr>
      </w:pPr>
      <w:r>
        <w:rPr>
          <w:rFonts w:ascii="Times New Roman" w:hAnsi="Times New Roman"/>
          <w:color w:val="000000"/>
          <w:sz w:val="20"/>
        </w:rPr>
        <w:t>The Purchase Agreement also includes customary termination provisions, including, among others, the ability of the Company or Illumina to terminate the Purchase Agreement if the Transaction has not been consummated on or before March 23, 2026, subject to up to three automatic three-month extensions under certain circumstances. If the Purchase Agreement is terminated under specified circumstances, Illumina will be required to pay the Company a reverse termination fee in cash equal to $14.5 million.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loss from discontinued operations included in the condensed consolidated statements of operations are as follows:</w:t>
      </w:r>
    </w:p>
    <w:p>
      <w:pPr>
        <w:pStyle w:val="TextBody"/>
        <w:bidi w:val="0"/>
        <w:jc w:val="left"/>
        <w:rPr/>
      </w:pPr>
      <w:r>
        <w:rPr/>
        <w:t> </w:t>
      </w:r>
    </w:p>
    <w:tbl>
      <w:tblPr>
        <w:tblW w:w="9672" w:type="dxa"/>
        <w:jc w:val="left"/>
        <w:tblInd w:w="0" w:type="dxa"/>
        <w:tblLayout w:type="fixed"/>
        <w:tblCellMar>
          <w:top w:w="28" w:type="dxa"/>
          <w:left w:w="28" w:type="dxa"/>
          <w:bottom w:w="28" w:type="dxa"/>
          <w:right w:w="28" w:type="dxa"/>
        </w:tblCellMar>
      </w:tblPr>
      <w:tblGrid>
        <w:gridCol w:w="4591"/>
        <w:gridCol w:w="146"/>
        <w:gridCol w:w="211"/>
        <w:gridCol w:w="736"/>
        <w:gridCol w:w="166"/>
        <w:gridCol w:w="146"/>
        <w:gridCol w:w="211"/>
        <w:gridCol w:w="736"/>
        <w:gridCol w:w="166"/>
        <w:gridCol w:w="146"/>
        <w:gridCol w:w="211"/>
        <w:gridCol w:w="736"/>
        <w:gridCol w:w="166"/>
        <w:gridCol w:w="146"/>
        <w:gridCol w:w="211"/>
        <w:gridCol w:w="736"/>
        <w:gridCol w:w="21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br/>
              <w:t>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Six Months Ended </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Transaction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Transaction expenses relate directly to costs that are attributable to the sale of the SomaScan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assets and liabilities held for sale included in the condensed consolidated balance sheets are as follows:</w:t>
      </w:r>
    </w:p>
    <w:p>
      <w:pPr>
        <w:pStyle w:val="TextBody"/>
        <w:bidi w:val="0"/>
        <w:jc w:val="left"/>
        <w:rPr/>
      </w:pPr>
      <w:r>
        <w:rPr/>
        <w:t> </w:t>
      </w:r>
    </w:p>
    <w:tbl>
      <w:tblPr>
        <w:tblW w:w="6480" w:type="dxa"/>
        <w:jc w:val="left"/>
        <w:tblInd w:w="0" w:type="dxa"/>
        <w:tblLayout w:type="fixed"/>
        <w:tblCellMar>
          <w:top w:w="28" w:type="dxa"/>
          <w:left w:w="28" w:type="dxa"/>
          <w:bottom w:w="28" w:type="dxa"/>
          <w:right w:w="28" w:type="dxa"/>
        </w:tblCellMar>
      </w:tblPr>
      <w:tblGrid>
        <w:gridCol w:w="3226"/>
        <w:gridCol w:w="146"/>
        <w:gridCol w:w="239"/>
        <w:gridCol w:w="886"/>
        <w:gridCol w:w="146"/>
        <w:gridCol w:w="146"/>
        <w:gridCol w:w="319"/>
        <w:gridCol w:w="1181"/>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Goodwill</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226,395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Deferred revenue</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Arial" w:hAnsi="Arial"/>
          <w:sz w:val="22"/>
        </w:rPr>
      </w:pPr>
      <w:r>
        <w:rPr>
          <w:rFonts w:ascii="Times New Roman" w:hAnsi="Times New Roman"/>
          <w:color w:val="000000"/>
          <w:sz w:val="20"/>
        </w:rPr>
        <w:t>As of June 30, 2025 and December 31, 2024, $30.0</w:t>
      </w:r>
      <w:r>
        <w:rPr>
          <w:rFonts w:ascii="Arial" w:hAnsi="Arial"/>
          <w:color w:val="000000"/>
          <w:sz w:val="22"/>
        </w:rPr>
        <w:t xml:space="preserve"> </w:t>
      </w:r>
      <w:r>
        <w:rPr>
          <w:rFonts w:ascii="Times New Roman" w:hAnsi="Times New Roman"/>
          <w:color w:val="000000"/>
          <w:sz w:val="20"/>
        </w:rPr>
        <w:t>million of deferred revenue related to the Collaboration Agreement was not included in the disposal group held for sale as SomaLogic's obligation to provide SOMAmer reagents under the Collaboration Agreement will be settled upon closing of the Transaction, and will not be transferred to Illumina as a legal obligation. See Note 4 in the 2024 Financial Statements for more details about the deferred revenue related to the Collaboration Agreement.</w:t>
        <w:br/>
      </w:r>
      <w:r>
        <w:rPr>
          <w:rFonts w:ascii="Arial" w:hAnsi="Arial"/>
          <w:color w:val="000000"/>
          <w:sz w:val="22"/>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pPr>
      <w:r>
        <w:rPr>
          <w:rFonts w:ascii="Times New Roman" w:hAnsi="Times New Roman"/>
          <w:color w:val="000000"/>
          <w:sz w:val="20"/>
        </w:rPr>
        <w:t>In connection with the classification of the SomaScan Business as discontinued operations, the Company allocated $111.9</w:t>
      </w:r>
      <w:r>
        <w:rPr>
          <w:color w:val="000000"/>
        </w:rPr>
        <w:t xml:space="preserve"> </w:t>
      </w:r>
      <w:r>
        <w:rPr>
          <w:rFonts w:ascii="Times New Roman" w:hAnsi="Times New Roman"/>
          <w:color w:val="000000"/>
          <w:sz w:val="20"/>
        </w:rPr>
        <w:t>million of goodwill, representing 100% of the Company's total goodwill, to the discontinued operations. The allocation was determined based on the relative fair values of the disposal group and the remaining business, consistent with guidance in ASC 350-20.</w:t>
        <w:br/>
        <w:br/>
        <w:t>The fair value of the disposal group was determined based on the agreed-upon sale proceeds of $350.0</w:t>
      </w:r>
      <w:r>
        <w:rPr>
          <w:color w:val="000000"/>
        </w:rPr>
        <w:t xml:space="preserve"> </w:t>
      </w:r>
      <w:r>
        <w:rPr>
          <w:rFonts w:ascii="Times New Roman" w:hAnsi="Times New Roman"/>
          <w:color w:val="000000"/>
          <w:sz w:val="20"/>
        </w:rPr>
        <w:t>million plus the estimated fair value of contingent consideration totaling $396.9</w:t>
      </w:r>
      <w:r>
        <w:rPr>
          <w:color w:val="000000"/>
        </w:rPr>
        <w:t xml:space="preserve"> </w:t>
      </w:r>
      <w:r>
        <w:rPr>
          <w:rFonts w:ascii="Times New Roman" w:hAnsi="Times New Roman"/>
          <w:color w:val="000000"/>
          <w:sz w:val="20"/>
        </w:rPr>
        <w:t xml:space="preserve">million. The fair value of the contingent consideration was estimated using a Monte Carlo simulation model that incorporated probability-weighted scenarios based on the underlying performance metrics and payment terms. The fair value of the remaining business was determined using the Company's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40" w:after="283"/>
        <w:jc w:val="left"/>
        <w:rPr/>
      </w:pPr>
      <w:r>
        <w:rPr>
          <w:rFonts w:ascii="Times New Roman" w:hAnsi="Times New Roman"/>
          <w:color w:val="000000"/>
          <w:sz w:val="20"/>
        </w:rPr>
        <w:t>market capitalization, adjusted for cash and cash equivalents and short-term investments, as of June 22, 2025, which is supported by Level 1 inputs under the fair value hierarchy in ASC 820.</w:t>
        <w:br/>
        <w:br/>
        <w:t>Based on this relative fair value assessment, the disposal group represented more than 100% of the total enterprise value, resulting in the allocation of all goodwill to the discontinued operations. This allocation reflects that the expected transaction proceeds exceed the market's valuation of the Company's total enterprise value, indicating that substantially all of the Company's goodwill should be allocated to the divested business.</w:t>
        <w:br/>
        <w:br/>
        <w:t>As a result of allocating 100% of goodwill to the discontinued operations based on the relative fair value analysis described above, the Company performed an impairment assessment of its remaining long-lived assets in accordance with ASC 360-10-35. The Company conducted a recoverability test by comparing the carrying amount of the remaining long-lived assets to the sum of the undiscounted cash flows expected to result from the use and eventual disposition of the Company’s remaining asset group. Based on this analysis, the undiscounted cash flows from the remaining asset group exceeded the carrying value of its long-lived assets, and accordingly, no</w:t>
      </w:r>
      <w:r>
        <w:rPr>
          <w:color w:val="000000"/>
        </w:rPr>
        <w:t xml:space="preserve"> </w:t>
      </w:r>
      <w:r>
        <w:rPr>
          <w:rFonts w:ascii="Times New Roman" w:hAnsi="Times New Roman"/>
          <w:color w:val="000000"/>
          <w:sz w:val="20"/>
        </w:rPr>
        <w:t>impairment charge was recognized during the three or six months ended June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Details of non-cash operating expenses and capital expenditures of the discontinued operations are as follows:</w:t>
      </w:r>
    </w:p>
    <w:p>
      <w:pPr>
        <w:pStyle w:val="TextBody"/>
        <w:bidi w:val="0"/>
        <w:jc w:val="left"/>
        <w:rPr/>
      </w:pPr>
      <w:r>
        <w:rPr/>
        <w:t> </w:t>
      </w:r>
    </w:p>
    <w:tbl>
      <w:tblPr>
        <w:tblW w:w="5496" w:type="dxa"/>
        <w:jc w:val="left"/>
        <w:tblInd w:w="0" w:type="dxa"/>
        <w:tblLayout w:type="fixed"/>
        <w:tblCellMar>
          <w:top w:w="28" w:type="dxa"/>
          <w:left w:w="28" w:type="dxa"/>
          <w:bottom w:w="28" w:type="dxa"/>
          <w:right w:w="28" w:type="dxa"/>
        </w:tblCellMar>
      </w:tblPr>
      <w:tblGrid>
        <w:gridCol w:w="3091"/>
        <w:gridCol w:w="146"/>
        <w:gridCol w:w="222"/>
        <w:gridCol w:w="603"/>
        <w:gridCol w:w="154"/>
        <w:gridCol w:w="154"/>
        <w:gridCol w:w="222"/>
        <w:gridCol w:w="713"/>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2" w:name="note_3"/>
      <w:bookmarkEnd w:id="12"/>
      <w:r>
        <w:rPr>
          <w:rFonts w:ascii="Times New Roman" w:hAnsi="Times New Roman"/>
          <w:b/>
          <w:color w:val="000000"/>
          <w:sz w:val="20"/>
        </w:rPr>
        <w:t>4. Revenue and Geographic Area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 by Product Type and Geographic Area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the Company's revenue for the three and six months ended June 30, 2025 and 2024 based on product type and the geographic location of customers’ facilities (in thousands):</w:t>
      </w:r>
    </w:p>
    <w:p>
      <w:pPr>
        <w:pStyle w:val="TextBody"/>
        <w:bidi w:val="0"/>
        <w:jc w:val="left"/>
        <w:rPr/>
      </w:pPr>
      <w:r>
        <w:rPr/>
        <w:t> </w:t>
      </w:r>
    </w:p>
    <w:tbl>
      <w:tblPr>
        <w:tblW w:w="8131" w:type="dxa"/>
        <w:jc w:val="left"/>
        <w:tblInd w:w="0" w:type="dxa"/>
        <w:tblLayout w:type="fixed"/>
        <w:tblCellMar>
          <w:top w:w="28" w:type="dxa"/>
          <w:left w:w="28" w:type="dxa"/>
          <w:bottom w:w="28" w:type="dxa"/>
          <w:right w:w="28" w:type="dxa"/>
        </w:tblCellMar>
      </w:tblPr>
      <w:tblGrid>
        <w:gridCol w:w="2296"/>
        <w:gridCol w:w="146"/>
        <w:gridCol w:w="268"/>
        <w:gridCol w:w="859"/>
        <w:gridCol w:w="185"/>
        <w:gridCol w:w="185"/>
        <w:gridCol w:w="268"/>
        <w:gridCol w:w="859"/>
        <w:gridCol w:w="146"/>
        <w:gridCol w:w="146"/>
        <w:gridCol w:w="243"/>
        <w:gridCol w:w="780"/>
        <w:gridCol w:w="168"/>
        <w:gridCol w:w="168"/>
        <w:gridCol w:w="243"/>
        <w:gridCol w:w="780"/>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11,861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10,458</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18,593</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6,089</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632" w:type="dxa"/>
        <w:jc w:val="left"/>
        <w:tblInd w:w="0" w:type="dxa"/>
        <w:tblLayout w:type="fixed"/>
        <w:tblCellMar>
          <w:top w:w="28" w:type="dxa"/>
          <w:left w:w="28" w:type="dxa"/>
          <w:bottom w:w="28" w:type="dxa"/>
          <w:right w:w="28" w:type="dxa"/>
        </w:tblCellMar>
      </w:tblPr>
      <w:tblGrid>
        <w:gridCol w:w="2671"/>
        <w:gridCol w:w="146"/>
        <w:gridCol w:w="231"/>
        <w:gridCol w:w="741"/>
        <w:gridCol w:w="160"/>
        <w:gridCol w:w="160"/>
        <w:gridCol w:w="231"/>
        <w:gridCol w:w="741"/>
        <w:gridCol w:w="146"/>
        <w:gridCol w:w="146"/>
        <w:gridCol w:w="211"/>
        <w:gridCol w:w="677"/>
        <w:gridCol w:w="146"/>
        <w:gridCol w:w="146"/>
        <w:gridCol w:w="211"/>
        <w:gridCol w:w="677"/>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3,945</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21,762</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Unfulfilled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change in deferred revenue is as follows (in thousands):</w:t>
      </w:r>
    </w:p>
    <w:p>
      <w:pPr>
        <w:pStyle w:val="TextBody"/>
        <w:bidi w:val="0"/>
        <w:jc w:val="both"/>
        <w:rPr/>
      </w:pPr>
      <w:r>
        <w:rPr/>
        <w:t> </w:t>
      </w:r>
    </w:p>
    <w:tbl>
      <w:tblPr>
        <w:tblW w:w="6735" w:type="dxa"/>
        <w:jc w:val="left"/>
        <w:tblInd w:w="0" w:type="dxa"/>
        <w:tblLayout w:type="fixed"/>
        <w:tblCellMar>
          <w:top w:w="28" w:type="dxa"/>
          <w:left w:w="28" w:type="dxa"/>
          <w:bottom w:w="28" w:type="dxa"/>
          <w:right w:w="28" w:type="dxa"/>
        </w:tblCellMar>
      </w:tblPr>
      <w:tblGrid>
        <w:gridCol w:w="5491"/>
        <w:gridCol w:w="146"/>
        <w:gridCol w:w="211"/>
        <w:gridCol w:w="676"/>
        <w:gridCol w:w="211"/>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revenue from beginning deferred revenue balances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deferred during the period, net of revenue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recognize revenue from unfulfilled performance obligations associated with service contracts that were partially completed as of June 30, 2025 in the following periods (in thousands):</w:t>
      </w:r>
    </w:p>
    <w:p>
      <w:pPr>
        <w:pStyle w:val="TextBody"/>
        <w:bidi w:val="0"/>
        <w:jc w:val="left"/>
        <w:rPr/>
      </w:pPr>
      <w:r>
        <w:rPr/>
        <w:t> </w:t>
      </w:r>
    </w:p>
    <w:tbl>
      <w:tblPr>
        <w:tblW w:w="4223" w:type="dxa"/>
        <w:jc w:val="left"/>
        <w:tblInd w:w="0" w:type="dxa"/>
        <w:tblLayout w:type="fixed"/>
        <w:tblCellMar>
          <w:top w:w="28" w:type="dxa"/>
          <w:left w:w="28" w:type="dxa"/>
          <w:bottom w:w="28" w:type="dxa"/>
          <w:right w:w="28" w:type="dxa"/>
        </w:tblCellMar>
      </w:tblPr>
      <w:tblGrid>
        <w:gridCol w:w="2296"/>
        <w:gridCol w:w="146"/>
        <w:gridCol w:w="378"/>
        <w:gridCol w:w="1212"/>
        <w:gridCol w:w="1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Expected Revenue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remainder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Expected revenue includes both billed amounts included in deferred revenue and unbilled amounts that are not reflected in the Company’s condensed consolidated financial statements and are subject to change if the Company’s customers decide to cancel or modify their contracts. Purchase orders for instrument service contracts can generally be canceled before the service period begins.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unsatisfied performance obligations for service contracts with an expected term of one year or less not included in the amounts above.</w:t>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3" w:name="note_5"/>
      <w:bookmarkEnd w:id="13"/>
      <w:r>
        <w:rPr>
          <w:rFonts w:ascii="Times New Roman" w:hAnsi="Times New Roman"/>
          <w:b/>
          <w:color w:val="000000"/>
          <w:sz w:val="20"/>
        </w:rPr>
        <w:t>5. Balance Sheet Details</w:t>
      </w:r>
    </w:p>
    <w:p>
      <w:pPr>
        <w:pStyle w:val="TextBody"/>
        <w:bidi w:val="0"/>
        <w:spacing w:before="12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and restricted cash consisted of the following (in thousands):</w:t>
      </w:r>
    </w:p>
    <w:p>
      <w:pPr>
        <w:pStyle w:val="TextBody"/>
        <w:bidi w:val="0"/>
        <w:jc w:val="left"/>
        <w:rPr/>
      </w:pPr>
      <w:r>
        <w:rPr/>
        <w:t> </w:t>
      </w:r>
    </w:p>
    <w:tbl>
      <w:tblPr>
        <w:tblW w:w="7200" w:type="dxa"/>
        <w:jc w:val="left"/>
        <w:tblInd w:w="0" w:type="dxa"/>
        <w:tblLayout w:type="fixed"/>
        <w:tblCellMar>
          <w:top w:w="28" w:type="dxa"/>
          <w:left w:w="28" w:type="dxa"/>
          <w:bottom w:w="28" w:type="dxa"/>
          <w:right w:w="28" w:type="dxa"/>
        </w:tblCellMar>
      </w:tblPr>
      <w:tblGrid>
        <w:gridCol w:w="3946"/>
        <w:gridCol w:w="146"/>
        <w:gridCol w:w="239"/>
        <w:gridCol w:w="886"/>
        <w:gridCol w:w="146"/>
        <w:gridCol w:w="146"/>
        <w:gridCol w:w="319"/>
        <w:gridCol w:w="11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Restricted cash of $2.6 million and $2.1 million is included in other non-current assets on the condensed consolidated balance sheets as of June 30, 2025 and December 31, 2024, respectively.</w:t>
      </w:r>
    </w:p>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consisted of the following (in thousands):</w:t>
      </w:r>
    </w:p>
    <w:p>
      <w:pPr>
        <w:pStyle w:val="TextBody"/>
        <w:bidi w:val="0"/>
        <w:jc w:val="left"/>
        <w:rPr/>
      </w:pPr>
      <w:r>
        <w:rPr/>
        <w:t> </w:t>
      </w:r>
    </w:p>
    <w:tbl>
      <w:tblPr>
        <w:tblW w:w="6790" w:type="dxa"/>
        <w:jc w:val="left"/>
        <w:tblInd w:w="0" w:type="dxa"/>
        <w:tblLayout w:type="fixed"/>
        <w:tblCellMar>
          <w:top w:w="28" w:type="dxa"/>
          <w:left w:w="28" w:type="dxa"/>
          <w:bottom w:w="28" w:type="dxa"/>
          <w:right w:w="28" w:type="dxa"/>
        </w:tblCellMar>
      </w:tblPr>
      <w:tblGrid>
        <w:gridCol w:w="3496"/>
        <w:gridCol w:w="146"/>
        <w:gridCol w:w="267"/>
        <w:gridCol w:w="858"/>
        <w:gridCol w:w="166"/>
        <w:gridCol w:w="146"/>
        <w:gridCol w:w="357"/>
        <w:gridCol w:w="1143"/>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4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4710" w:type="dxa"/>
        <w:jc w:val="left"/>
        <w:tblInd w:w="0" w:type="dxa"/>
        <w:tblLayout w:type="fixed"/>
        <w:tblCellMar>
          <w:top w:w="28" w:type="dxa"/>
          <w:left w:w="28" w:type="dxa"/>
          <w:bottom w:w="28" w:type="dxa"/>
          <w:right w:w="28" w:type="dxa"/>
        </w:tblCellMar>
      </w:tblPr>
      <w:tblGrid>
        <w:gridCol w:w="1456"/>
        <w:gridCol w:w="146"/>
        <w:gridCol w:w="267"/>
        <w:gridCol w:w="858"/>
        <w:gridCol w:w="146"/>
        <w:gridCol w:w="146"/>
        <w:gridCol w:w="357"/>
        <w:gridCol w:w="1143"/>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charges for excess and obsolete inventory of $1.4 million and $1.9 million for the six months ended June 30, 2025 and 2024, respectively.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 (in thousands):</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4111"/>
        <w:gridCol w:w="146"/>
        <w:gridCol w:w="250"/>
        <w:gridCol w:w="875"/>
        <w:gridCol w:w="166"/>
        <w:gridCol w:w="146"/>
        <w:gridCol w:w="334"/>
        <w:gridCol w:w="116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and amortization expense related to property and equipment was $2.0 million and $1.0 million for the three months ended June 30, 2025 and 2024, respectively, and $4.1 million and $2.0 million for the six months ended June 30, 2025 and 2024, respectively.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liabilities, which are included in current liabilities on the condensed consolidated balance sheets consisted of the following (in thousands):</w:t>
      </w:r>
    </w:p>
    <w:p>
      <w:pPr>
        <w:pStyle w:val="TextBody"/>
        <w:bidi w:val="0"/>
        <w:jc w:val="left"/>
        <w:rPr/>
      </w:pPr>
      <w:r>
        <w:rPr/>
        <w:t> </w:t>
      </w:r>
    </w:p>
    <w:tbl>
      <w:tblPr>
        <w:tblW w:w="6870" w:type="dxa"/>
        <w:jc w:val="left"/>
        <w:tblInd w:w="0" w:type="dxa"/>
        <w:tblLayout w:type="fixed"/>
        <w:tblCellMar>
          <w:top w:w="28" w:type="dxa"/>
          <w:left w:w="28" w:type="dxa"/>
          <w:bottom w:w="28" w:type="dxa"/>
          <w:right w:w="28" w:type="dxa"/>
        </w:tblCellMar>
      </w:tblPr>
      <w:tblGrid>
        <w:gridCol w:w="3616"/>
        <w:gridCol w:w="146"/>
        <w:gridCol w:w="267"/>
        <w:gridCol w:w="858"/>
        <w:gridCol w:w="146"/>
        <w:gridCol w:w="146"/>
        <w:gridCol w:w="357"/>
        <w:gridCol w:w="1143"/>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Uninvoiced receipts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bookmarkStart w:id="14" w:name="note_8"/>
      <w:bookmarkEnd w:id="14"/>
      <w:r>
        <w:rPr>
          <w:rFonts w:ascii="Times New Roman" w:hAnsi="Times New Roman"/>
          <w:b/>
          <w:color w:val="000000"/>
          <w:sz w:val="20"/>
        </w:rPr>
        <w:t>6. Commitments and Contingencies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Commitments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are indeterminable. The Company does not expect the license payments to be material in any particular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the Merger, the Company is responsible for SomaLogic’s liabilities and obligations, including with respect to legal, financial, regulatory, and compliance matters. These liabilities and obligations will result in additional cost and expense by the Company and, if the Company has underestimated the amount of these costs and expenses or if the Company fails to satisfy any such liabilities or obligations, the Company may not realize the anticipated benefits of the Merger and there may be an adverse impact on the Company because of defense and settlement costs, diversion of management resources, and other factors. Further, it is possible that there may be unknown, contingent or other liabilities, obligations or other problems that may arise in the future, the existence and/or magnitude of which the Company was previously unaware. Any such liabilities, obligations or other problems could have an adverse effect on the company’s business, financial condition, results of operations or cash flows. With respect to these additional matters, the Company is not able to estimate the possible loss or range of losses that could be incurred.</w:t>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has entered into agreements in the ordinary course of business, with certain business partners, customers and suppliers, that contain indemnification provisions. Pursuant to these agreements, the Company may indemnify, hold harmless and reimburse the indemnified parties on a case-by-case basis for losses suffered or incurred by the indemnified parties in connection with any patent or other intellectual property infringement claim by any third party with respect to the Company’s products. The term of the indemnification provisions within these agreements is generally perpetual from the time of the execution of the respective agreement. The maximum potential amount of future payments the Company could be required to make under these agreements is typically not limited to a specific amount.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that may arise by reason of their status or service as officers, directors,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does not have any indemnification liabilities related to these indemnification obligations recorded on its condensed consolidated balance sheet as of June 30,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 As of June 30, 2025, the Company does not have any material losses accrued on its condensed consolidated balance sheet.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Stockholder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was filed on March 14, 2025. Oral argument was held on the motion to dismiss on July 10, 2025. On August 7, 2025, the Court issued a bench decision denying the defendants’ motion to dismiss.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2024, the Company settled previously outstanding litigation with a former stockholder of SomaLogic, whereby the Company relinquished 422,048 shares of the Company's common stock that were subject to vesting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May 2024, the Company settled previously outstanding litigation with former stockholders of SomaLogic for $6.2 million consisting of the repurchase of approximately 1.84 million shares of the Company's common stock from the stockholders at the market price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$2.40 per share, and a cash payment of $1.8 million. The Company recognized a litigation loss of $0.6 million during the year ended December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June 4, 2024, the Company received a demand pursuant to Section 220 of the Delaware General Corporation Law from a stockholder to inspect the Company’s books and records relating to the prior conversion of the Company’s Series B Preferred Stock (as defined below). The Company has responded to the demand and has produced documents.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2024, counsel for Shareholder Representative Services LLC ("SRS") sent a letter to SomaLogic alleging breaches of the Agreement described below relating to milestone payments. SomaLogic disputed these allegations and provided SRS with a Milestone Abandonment Notice. On July 3, 2025 Shareholder Representative Services LLC ("SRS"), in its capacity as representative of securityholders of Palamedrix, Inc. ("Palamedrix"), filed suit against SomaLogic in the Court of Chancery in Delaware alleging breaches of that certain Agreement and Plan of Merger, dated July 25, 2022 (the "Palamedrix Merger Agreement"), pursuant to which Palamedrix was merged into SomaLogic (the "SRS Chancery Action"). SRS alleges that SomaLogic breached the Palamedrix Merger Agreement by failing to continue to invest in developing certain Palamedrix technology. Had the technology been successfully developed and commercialized, the Palamedrix Merger Agreement would have required SomaLogic to pay certain sales milestones over a certain time period. The total aggregate amount of the three sales milestones contained in the Palamedrix Merger Agreement is $17.5 million. On August 4, 2025, SomaLogic moved to compel arbitration and/or dismiss the SRS Chancery Action in favor of the dispute resolution procedure for milestone disputes specified in the Palamedrix Merger Agreement. Litigation is inherently uncertain and there can be no assurance regarding the outcome. Whether or not any SRS's claim is successful, this type of litigation may result in significant costs and divert management's attention and resources, which could adversely affect the operation of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lawsuits against us and certain of our officers or directors may be filed in the future. If additional similar complaints are filed, absent new or different allegations that are material, we will not necessarily announce such additional filings.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pStyle w:val="TextBody"/>
        <w:bidi w:val="0"/>
        <w:spacing w:before="24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June 30,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3"/>
        <w:gridCol w:w="146"/>
        <w:gridCol w:w="211"/>
        <w:gridCol w:w="781"/>
        <w:gridCol w:w="146"/>
        <w:gridCol w:w="146"/>
        <w:gridCol w:w="261"/>
        <w:gridCol w:w="967"/>
        <w:gridCol w:w="180"/>
        <w:gridCol w:w="180"/>
        <w:gridCol w:w="292"/>
        <w:gridCol w:w="925"/>
        <w:gridCol w:w="180"/>
        <w:gridCol w:w="180"/>
        <w:gridCol w:w="466"/>
        <w:gridCol w:w="765"/>
        <w:gridCol w:w="396"/>
      </w:tblGrid>
      <w:tr>
        <w:trPr/>
        <w:tc>
          <w:tcPr>
            <w:tcW w:w="3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78,468</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Company’s assets and liabilities measured at fair value on a recurring basis within the fair value hierarchy as of December 31, 2024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21"/>
        <w:gridCol w:w="146"/>
        <w:gridCol w:w="211"/>
        <w:gridCol w:w="781"/>
        <w:gridCol w:w="146"/>
        <w:gridCol w:w="146"/>
        <w:gridCol w:w="254"/>
        <w:gridCol w:w="944"/>
        <w:gridCol w:w="175"/>
        <w:gridCol w:w="175"/>
        <w:gridCol w:w="260"/>
        <w:gridCol w:w="966"/>
        <w:gridCol w:w="175"/>
        <w:gridCol w:w="175"/>
        <w:gridCol w:w="466"/>
        <w:gridCol w:w="767"/>
        <w:gridCol w:w="397"/>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5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w:t>
              <w:br/>
              <w:t>Markets For</w:t>
              <w:br/>
              <w:t>Identical Assets</w:t>
              <w:br/>
              <w:t>(Level 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 (Level 2)</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 (Level 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129,136</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There were no transfers within the hierarchy and no changes in the valuation techniques used during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available-for-sale securities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1"/>
        <w:gridCol w:w="146"/>
        <w:gridCol w:w="1116"/>
        <w:gridCol w:w="146"/>
        <w:gridCol w:w="236"/>
        <w:gridCol w:w="875"/>
        <w:gridCol w:w="146"/>
        <w:gridCol w:w="146"/>
        <w:gridCol w:w="418"/>
        <w:gridCol w:w="688"/>
        <w:gridCol w:w="146"/>
        <w:gridCol w:w="146"/>
        <w:gridCol w:w="402"/>
        <w:gridCol w:w="719"/>
        <w:gridCol w:w="166"/>
        <w:gridCol w:w="146"/>
        <w:gridCol w:w="277"/>
        <w:gridCol w:w="1028"/>
        <w:gridCol w:w="397"/>
      </w:tblGrid>
      <w:tr>
        <w:trPr/>
        <w:tc>
          <w:tcPr>
            <w:tcW w:w="2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133,278</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78,468</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211,746</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71"/>
        <w:gridCol w:w="146"/>
        <w:gridCol w:w="1119"/>
        <w:gridCol w:w="146"/>
        <w:gridCol w:w="236"/>
        <w:gridCol w:w="876"/>
        <w:gridCol w:w="146"/>
        <w:gridCol w:w="146"/>
        <w:gridCol w:w="369"/>
        <w:gridCol w:w="740"/>
        <w:gridCol w:w="146"/>
        <w:gridCol w:w="146"/>
        <w:gridCol w:w="424"/>
        <w:gridCol w:w="698"/>
        <w:gridCol w:w="146"/>
        <w:gridCol w:w="146"/>
        <w:gridCol w:w="278"/>
        <w:gridCol w:w="1030"/>
        <w:gridCol w:w="396"/>
      </w:tblGrid>
      <w:tr>
        <w:trPr/>
        <w:tc>
          <w:tcPr>
            <w:tcW w:w="2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126,146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271,078</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2025,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 Stockholders’ Equity (Deficit)</w:t>
      </w:r>
    </w:p>
    <w:p>
      <w:pPr>
        <w:pStyle w:val="TextBody"/>
        <w:bidi w:val="0"/>
        <w:spacing w:before="120" w:after="283"/>
        <w:jc w:val="left"/>
        <w:rPr>
          <w:rFonts w:ascii="Times New Roman" w:hAnsi="Times New Roman"/>
          <w:sz w:val="20"/>
        </w:rPr>
      </w:pPr>
      <w:r>
        <w:rPr>
          <w:rFonts w:ascii="Times New Roman" w:hAnsi="Times New Roman"/>
          <w:b/>
          <w:i/>
          <w:color w:val="000000"/>
          <w:sz w:val="20"/>
        </w:rPr>
        <w:t>2024 Stock Repurchase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2024, the Company's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number of shares. During the three or six months ended June 30, 2025, the Company did not repurchase any shares of its common stock under the 2024 Share Repurchase Program. </w:t>
      </w:r>
    </w:p>
    <w:p>
      <w:pPr>
        <w:pStyle w:val="TextBody"/>
        <w:bidi w:val="0"/>
        <w:spacing w:before="360" w:after="283"/>
        <w:jc w:val="left"/>
        <w:rPr>
          <w:rFonts w:ascii="Times New Roman" w:hAnsi="Times New Roman"/>
          <w:sz w:val="20"/>
        </w:rPr>
      </w:pPr>
      <w:r>
        <w:rPr>
          <w:rFonts w:ascii="Times New Roman" w:hAnsi="Times New Roman"/>
          <w:b/>
          <w:i/>
          <w:color w:val="000000"/>
          <w:sz w:val="20"/>
        </w:rPr>
        <w:t>Common Shares Reserved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the Company had reserved shares of common stock for future issuance under equity compensation plans as follows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81"/>
        <w:gridCol w:w="146"/>
        <w:gridCol w:w="354"/>
        <w:gridCol w:w="1643"/>
        <w:gridCol w:w="146"/>
        <w:gridCol w:w="146"/>
        <w:gridCol w:w="396"/>
        <w:gridCol w:w="1841"/>
        <w:gridCol w:w="146"/>
        <w:gridCol w:w="146"/>
        <w:gridCol w:w="437"/>
        <w:gridCol w:w="2030"/>
        <w:gridCol w:w="393"/>
      </w:tblGrid>
      <w:tr>
        <w:trPr/>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Exercise Of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Securities To Be Issued Upon Release Of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Remaining Securities Available For Future Issuance</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2011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Inducement Award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2017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SomaLogic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28,383</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 Stock-based Compensation</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Company has various stock-based compensation plans, which are more fully described in the 2024 Financial Statements. Under the Company’s 2022 Inducement Equity Incentive Plan, the Company has the ability to grant several forms of incentive awards to the Company's eligible employees, directors, and non-employee consultants.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Stock-based compensation expense is reported in the Company's condensed consolidated statement of operations as follows (in thousands):</w:t>
      </w:r>
    </w:p>
    <w:tbl>
      <w:tblPr>
        <w:tblW w:w="8822" w:type="dxa"/>
        <w:jc w:val="left"/>
        <w:tblInd w:w="0" w:type="dxa"/>
        <w:tblLayout w:type="fixed"/>
        <w:tblCellMar>
          <w:top w:w="28" w:type="dxa"/>
          <w:left w:w="28" w:type="dxa"/>
          <w:bottom w:w="28" w:type="dxa"/>
          <w:right w:w="28" w:type="dxa"/>
        </w:tblCellMar>
      </w:tblPr>
      <w:tblGrid>
        <w:gridCol w:w="3661"/>
        <w:gridCol w:w="146"/>
        <w:gridCol w:w="257"/>
        <w:gridCol w:w="697"/>
        <w:gridCol w:w="178"/>
        <w:gridCol w:w="178"/>
        <w:gridCol w:w="257"/>
        <w:gridCol w:w="697"/>
        <w:gridCol w:w="146"/>
        <w:gridCol w:w="146"/>
        <w:gridCol w:w="222"/>
        <w:gridCol w:w="713"/>
        <w:gridCol w:w="154"/>
        <w:gridCol w:w="154"/>
        <w:gridCol w:w="222"/>
        <w:gridCol w:w="603"/>
        <w:gridCol w:w="3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services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5,372</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13,421</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Stock-based compensation will fluctuate based on the grant-date fair value of awards, the number of awards, the requisite service period of the awards, employee forfeitures and the timing of the awards. Expense related to each stock option and restricted stock unit (“RSU”) award is recognized on a straight-line basis over the requisite service period of the entire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award activity for stock options and RSUs for the six months ended June 30, 2025 (in thousands):</w:t>
      </w:r>
    </w:p>
    <w:p>
      <w:pPr>
        <w:pStyle w:val="TextBody"/>
        <w:bidi w:val="0"/>
        <w:jc w:val="left"/>
        <w:rPr/>
      </w:pPr>
      <w:r>
        <w:rPr/>
        <w:t> </w:t>
      </w:r>
    </w:p>
    <w:tbl>
      <w:tblPr>
        <w:tblW w:w="5557" w:type="dxa"/>
        <w:jc w:val="left"/>
        <w:tblInd w:w="0" w:type="dxa"/>
        <w:tblLayout w:type="fixed"/>
        <w:tblCellMar>
          <w:top w:w="28" w:type="dxa"/>
          <w:left w:w="28" w:type="dxa"/>
          <w:bottom w:w="28" w:type="dxa"/>
          <w:right w:w="28" w:type="dxa"/>
        </w:tblCellMar>
      </w:tblPr>
      <w:tblGrid>
        <w:gridCol w:w="2941"/>
        <w:gridCol w:w="146"/>
        <w:gridCol w:w="199"/>
        <w:gridCol w:w="926"/>
        <w:gridCol w:w="166"/>
        <w:gridCol w:w="146"/>
        <w:gridCol w:w="146"/>
        <w:gridCol w:w="676"/>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or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18,379</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basic and diluted net loss per share is calculated by dividing net loss less any redemption or induced conversion on the Series B Preferred Stock by the weighted-average number of shares of common stock outstanding for the period. RSUs, performance stock units (“PSUs”), options to purchase the Company’s common stock, restricted stock, Employee Stock Purchase Plan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23, 2022, the Company entered into separate Series B Convertible Preferred Stock Purchase Agreements (collectively, the "Purchase Agreements") with Casdin Private Growth Equity Fund II, L.P. and Casdin Partners Master Fund, L.P. (together, "Casdin"), and Viking Global Opportunities Illiquid Investments Sub Master LP and Viking Global Opportunities Drawdown LP (together, Viking, and together with Casdin, the “Investors"), whereby the Company issued and sold an aggregate of $225.0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at a purchase price of $1,000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18, 2024, the Company entered into an exchange agreement (the “Exchange Agreement”) with Casdin and Viking in which all outstanding shares of Series B Preferred Stock were exchanged for an aggregate of 92,930,553 shares of the Company's common stock. This transaction was determined to be an induced conversion due to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 for the three and six months ended June 30,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Computation of net loss per share for the three and six months ended June 30, 2025 and 2024 was as follows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84"/>
        <w:gridCol w:w="146"/>
        <w:gridCol w:w="211"/>
        <w:gridCol w:w="781"/>
        <w:gridCol w:w="166"/>
        <w:gridCol w:w="146"/>
        <w:gridCol w:w="211"/>
        <w:gridCol w:w="781"/>
        <w:gridCol w:w="166"/>
        <w:gridCol w:w="146"/>
        <w:gridCol w:w="211"/>
        <w:gridCol w:w="781"/>
        <w:gridCol w:w="166"/>
        <w:gridCol w:w="146"/>
        <w:gridCol w:w="211"/>
        <w:gridCol w:w="841"/>
        <w:gridCol w:w="211"/>
      </w:tblGrid>
      <w:tr>
        <w:trPr/>
        <w:tc>
          <w:tcPr>
            <w:tcW w:w="4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Induced conversion of redeemable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(87,862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333,228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common shares were excluded from the computations of diluted net loss per share for the periods presented because including them would have been anti-dilutive (in thousands):</w:t>
      </w:r>
    </w:p>
    <w:p>
      <w:pPr>
        <w:pStyle w:val="TextBody"/>
        <w:bidi w:val="0"/>
        <w:jc w:val="left"/>
        <w:rPr/>
      </w:pPr>
      <w:r>
        <w:rPr/>
        <w:t> </w:t>
      </w:r>
    </w:p>
    <w:tbl>
      <w:tblPr>
        <w:tblW w:w="7418" w:type="dxa"/>
        <w:jc w:val="left"/>
        <w:tblInd w:w="0" w:type="dxa"/>
        <w:tblLayout w:type="fixed"/>
        <w:tblCellMar>
          <w:top w:w="28" w:type="dxa"/>
          <w:left w:w="28" w:type="dxa"/>
          <w:bottom w:w="28" w:type="dxa"/>
          <w:right w:w="28" w:type="dxa"/>
        </w:tblCellMar>
      </w:tblPr>
      <w:tblGrid>
        <w:gridCol w:w="5011"/>
        <w:gridCol w:w="146"/>
        <w:gridCol w:w="156"/>
        <w:gridCol w:w="723"/>
        <w:gridCol w:w="156"/>
        <w:gridCol w:w="156"/>
        <w:gridCol w:w="156"/>
        <w:gridCol w:w="723"/>
        <w:gridCol w:w="191"/>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PSUs, stock options, restricted shares and ESPP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53,814</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2014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65,511</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provision for income taxes is based on an estimated annual effective income tax rate. The quarterly provision for income taxes also includes discrete items, such as changes in valuation allowances or adjustments upon finalization of tax returns as well as infrequently occurring items, if any, such as the effects of changes in tax laws or rates, in the interim period in which they occur.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income tax benefit of $0.6 million and income tax expense of less than $0.1 million in the three months ended June 30, 2025 and 2024, respectively. The Company recorded income tax benefit of $0.7 million and income tax expense of $0.2 million during the six months ended June 30, 2025 and 2024, respectively. The decrease in the Company's tax provision reflects the effect of the Company's foreign operations, which reported lower pre-tax income in the first quarter of 2025 compared to the same period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effective tax rates for both periods differ from the 21% U.S. federal statutory tax rate primarily due to valuation allowances recorded against deferred tax assets on domestic losses and the tax rate differences between the United States and foreign countries. The Company maintains a valuation allowance against its U.S. deferred tax assets as the Company believes it is more likely than not the deferred tax assets will not be realized.</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On July 4, 2025, the One Big Beautiful Bill Act (“2025 US tax reform”) was enacted into law. The 2025 US tax reform contains several key tax laws, including extensions and modifications of the Tax Cuts and Jobs Act. In accordance with ASC 740, </w:t>
      </w:r>
      <w:r>
        <w:rPr>
          <w:rFonts w:ascii="Times New Roman" w:hAnsi="Times New Roman"/>
          <w:i/>
          <w:color w:val="000000"/>
          <w:sz w:val="20"/>
        </w:rPr>
        <w:t>Income Taxes</w:t>
      </w:r>
      <w:r>
        <w:rPr>
          <w:rFonts w:ascii="Times New Roman" w:hAnsi="Times New Roman"/>
          <w:color w:val="000000"/>
          <w:sz w:val="20"/>
        </w:rPr>
        <w:t>, the Company is required to recognize the effect of the tax law changes in the period of enactment, such as remeasuring the estimated U.S. deferred tax assets and liabilities. The Company is in the process of assessing the impacts from the 2025 US tax reform.</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 Segment Reporting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As discussed in Note 1, </w:t>
      </w:r>
      <w:r>
        <w:rPr>
          <w:rFonts w:ascii="Times New Roman" w:hAnsi="Times New Roman"/>
          <w:i/>
          <w:color w:val="000000"/>
          <w:sz w:val="20"/>
        </w:rPr>
        <w:t>Basis of Presentation and Summary of Significant Accounting Policies,</w:t>
      </w:r>
      <w:r>
        <w:rPr>
          <w:rFonts w:ascii="Times New Roman" w:hAnsi="Times New Roman"/>
          <w:color w:val="000000"/>
          <w:sz w:val="20"/>
        </w:rPr>
        <w:t xml:space="preserve"> the Company reassessed its operating and reportable segments during the first quarter of 2025. As of June 30, 2025, the Company has one operating and reportable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utilizes the Company's annual operating plan, primarily consisting of an annual financial forecast, as a key input to resource allocation. The CODM makes decisions on resource allocation and assesses performance of the business using net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expenses within net loss that are regularly provided to the CODM include cost of revenue and operating expenses. Operating expenses consists of five main subcategories: research and development; selling, general and administrative (“SG&amp;A”); transaction and integration; and restructuring and related. All significant expense categories and subcategories are reported on the condensed consolidated statements of operations. Other segment items within net loss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 in fair value of contingent consideration, which is separately presented on the condensed consolidated statements of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Bargain purchase gain, which is separately presented on the condensed consolidated statements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interest expense, which are separately presented on the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See Note 4, </w:t>
      </w:r>
      <w:r>
        <w:rPr>
          <w:rFonts w:ascii="Times New Roman" w:hAnsi="Times New Roman"/>
          <w:i/>
          <w:color w:val="000000"/>
          <w:sz w:val="20"/>
        </w:rPr>
        <w:t>Revenue and Geographic Area</w:t>
      </w:r>
      <w:r>
        <w:rPr>
          <w:rFonts w:ascii="Times New Roman" w:hAnsi="Times New Roman"/>
          <w:color w:val="000000"/>
          <w:sz w:val="20"/>
        </w:rPr>
        <w:t>, for the Company's revenue by geography.</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Restructuring and Related Charges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recognized incremental restructuring charges of approximately $1.8 million during the six months ended June 30, 2025 related to its workforce reduction plan announced in April 2024, which is more fully described in the 2024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incurred $1.5 million in restructuring expenses for facility-related costs during the six months ended June 30, 2025, resulting from its 2022 restructuring plan, and anticipates ongoing similar expenses until the related lease terminates.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change in the Company’s restructuring and other related liabilities for the six months ended June 30, 2025 (in thousands):</w:t>
      </w:r>
    </w:p>
    <w:tbl>
      <w:tblPr>
        <w:tblW w:w="7242" w:type="dxa"/>
        <w:jc w:val="left"/>
        <w:tblInd w:w="0" w:type="dxa"/>
        <w:tblLayout w:type="fixed"/>
        <w:tblCellMar>
          <w:top w:w="28" w:type="dxa"/>
          <w:left w:w="28" w:type="dxa"/>
          <w:bottom w:w="28" w:type="dxa"/>
          <w:right w:w="28" w:type="dxa"/>
        </w:tblCellMar>
      </w:tblPr>
      <w:tblGrid>
        <w:gridCol w:w="2836"/>
        <w:gridCol w:w="146"/>
        <w:gridCol w:w="211"/>
        <w:gridCol w:w="631"/>
        <w:gridCol w:w="166"/>
        <w:gridCol w:w="146"/>
        <w:gridCol w:w="211"/>
        <w:gridCol w:w="631"/>
        <w:gridCol w:w="166"/>
        <w:gridCol w:w="146"/>
        <w:gridCol w:w="211"/>
        <w:gridCol w:w="376"/>
        <w:gridCol w:w="166"/>
        <w:gridCol w:w="146"/>
        <w:gridCol w:w="211"/>
        <w:gridCol w:w="631"/>
        <w:gridCol w:w="21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Severance</w:t>
              <w:br/>
              <w:t>and other</w:t>
              <w:br/>
              <w:t>employee-</w:t>
              <w:br/>
              <w:t>related</w:t>
              <w:br/>
              <w:t>benefits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Facility </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Restructuring liabilities are recorded in accrued liabilities on the condensed consolidated balance sheets. Substantially all severance and other employee-related benefits related to ongoing benefit arrangements and were recorded pursuant to ASC 712, </w:t>
      </w:r>
      <w:r>
        <w:rPr>
          <w:rFonts w:ascii="Times New Roman" w:hAnsi="Times New Roman"/>
          <w:i/>
          <w:color w:val="000000"/>
          <w:sz w:val="20"/>
        </w:rPr>
        <w:t>Termination and Other Postemployment Benefits</w:t>
      </w:r>
      <w:r>
        <w:rPr>
          <w:rFonts w:ascii="Times New Roman" w:hAnsi="Times New Roman"/>
          <w:color w:val="000000"/>
          <w:sz w:val="20"/>
        </w:rPr>
        <w:t>.</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14. Related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15" w:name="item_2_mda"/>
      <w:bookmarkEnd w:id="15"/>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the unaudited financial information and the notes thereto included appearing elsewhere in this Quarterly Report on Form 10-Q, and the audited financial information and the notes thereto included in our Annual Report.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our Annual Report on Form 10-K for the year ended December 31, 2024 filed with the Securities and Exchange Commission (the “SEC”) on March 11, 2025 (the “Annual Report”) and this Quarterly Report on Form 10-Q, our actual results could differ materially from the results described in, or implied by, the forward-looking statements contained in the following discussion and analysis.</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the context requires otherwise, references in this Quarterly Report on Form 10-Q to “Standard BioTools” the “Company,” “we,” “us,” and “our” refer to Standard BioTools Inc.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Standard BioTools Inc., we are committed to setting the new standard in the life science tools industry through strategic consolidation, best-in-class operations and a world-class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22, 2025, we entered into a Stock Purchase Agreement (the "Purchase Agreement") with Illumina, Inc. ("Illumina"). Pursuant to the terms of the Purchase Agreement, Illumina will acquire all of the equity interests of SomaLogic, Inc. (“SomaLogic”), Sengenics Corporation LLC (“Sengenics LLC”) and Sengenics Corporation Pte Ltd (“Sengenics Pte” and together with Sengenics LLC, “Sengenics”) (such equity interests, collectively, the "Shares"), each a wholly owned subsidiary of the Company that operates our aptamer-based and functional proteomics business, including KREX, Single SOMAmer, translational and diagnostic assays (collectively, the "SomaScan Business") (such transaction, the "Transaction"). The Transaction does not include our mass cytometry and microfluidics businesses, which are being retained by us.</w:t>
      </w:r>
    </w:p>
    <w:p>
      <w:pPr>
        <w:pStyle w:val="TextBody"/>
        <w:bidi w:val="0"/>
        <w:jc w:val="left"/>
        <w:rPr>
          <w:rFonts w:ascii="Times New Roman" w:hAnsi="Times New Roman"/>
          <w:color w:val="000000"/>
          <w:sz w:val="20"/>
        </w:rPr>
      </w:pPr>
      <w:r>
        <w:rPr>
          <w:rFonts w:ascii="Times New Roman" w:hAnsi="Times New Roman"/>
          <w:color w:val="000000"/>
          <w:sz w:val="20"/>
        </w:rPr>
        <w:t>Illumina has agreed to acquire the SomaScan Business for aggregate cash consideration of up to $425 million, comprising (i) an upfront payment of $350 million in cash, payable at the closing of the Transaction, subject to adjustment as set forth in the Purchase Agreement, and (ii) up to $75 million in earnout payments, payable upon the achievement of specified targets for net revenue generated from SomaScan assay services or any other SOMAmer-based assay services and sales of SOMAmer-based array kits and SOMAmer-based next-generation sequencing library preparation kits in fiscal years 2025 and 2026.</w:t>
      </w:r>
    </w:p>
    <w:p>
      <w:pPr>
        <w:pStyle w:val="TextBody"/>
        <w:bidi w:val="0"/>
        <w:jc w:val="left"/>
        <w:rPr>
          <w:rFonts w:ascii="Times New Roman" w:hAnsi="Times New Roman"/>
          <w:color w:val="000000"/>
          <w:sz w:val="20"/>
        </w:rPr>
      </w:pPr>
      <w:r>
        <w:rPr>
          <w:rFonts w:ascii="Times New Roman" w:hAnsi="Times New Roman"/>
          <w:color w:val="000000"/>
          <w:sz w:val="20"/>
        </w:rPr>
        <w:t>In addition, the Purchase Agreement contemplates that, at the closing of the Transaction, as additional consideration, we and Illumina will enter into (i) a royalty agreement, pursuant to which we will be entitled to a specified royalty stream on net revenues generated from sales of SOMAmer-based next-generation sequencing library preparation kits, (ii) a license agreement, pursuant to which Illumina will provide a specified license to us for the intellectual property relating to Single SOMAmers for potential development and commercialization of Single SOMAmer reagents for use in single plex affinity assays and (iii) a royalty agreement, pursuant to which we will be entitled to a specified royalty stream on net revenues generated from sales of Single SOMAmers.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consummation of the Transaction is subject to customary closing conditions, including, among others, the expiration or termination of the applicable waiting period (and any extension thereof) under the Hart-Scott-Rodino Antitrust Improvements Act of 1976, as amended (the “Hart-Scott Act”). We expect the Transaction to close in the first half of 2026.</w:t>
      </w:r>
    </w:p>
    <w:p>
      <w:pPr>
        <w:pStyle w:val="TextBody"/>
        <w:bidi w:val="0"/>
        <w:jc w:val="left"/>
        <w:rPr>
          <w:rFonts w:ascii="Times New Roman" w:hAnsi="Times New Roman"/>
          <w:color w:val="000000"/>
          <w:sz w:val="20"/>
        </w:rPr>
      </w:pPr>
      <w:r>
        <w:rPr>
          <w:rFonts w:ascii="Times New Roman" w:hAnsi="Times New Roman"/>
          <w:color w:val="000000"/>
          <w:sz w:val="20"/>
        </w:rPr>
        <w:t>The Purchase Agreement also includes customary termination provisions, including, among others, the ability of us or Illumina to terminate the Purchase Agreement if the Transaction has not been consummated on or before March 23, 2026, subject to up to three automatic three-month extensions under certain circumstances. If the Purchase Agreement is terminated under specified circumstances, Illumina will be required to pay us a reverse termination fee in cash equal to $14.5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Factors Affecting Our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factors have been important to our business, and we expect them to impact our results of operations and financial condition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adoption of our services and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 well-established base of marquee customer and key opinion leader relationships in place, and as we grow further, we expect to win contracts with new customers and expand the scope of existing contracts with existing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focus on growth in instrument placements which we expect to drive future growth in sales of consumables and field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enhance our single-cell and spatial proteomics offerings through continuous improvements to our proteomics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revenue may vary from period to period based on, among other things, the timing and size of new contracts, fluctuations in customer consumption of and adoption trends, ramp time and productivity of our salesforce, the impact of significant transactions, and seasonality. Failure to effectively develop and expand our sales and marketing capabilities or improve the productivity of our sales and marketing organization could harm our ability to expand our potential customer and sales pipeline, increase our customer base, and achieve broader market acceptance of our offering.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investment in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invest significantly in our commercial infrastructure.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and expect to continue to make investments in R&amp;D, including hiring employees with the necessary scientific and technical backgrounds to enable enhancements to our existing products and services and bring new products and services to market.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Ability to lower operating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focus on improving operating discipline through implementation of lean SBS principles to build more efficient operations and reduce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reduce manufacturing costs, in part, by modifying our manufacturing processes to use materials and technologies that provide equal or greater quality at lower cost, improving how we manage our materials and negotiating favorable terms for our materials purchases.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Seasonality: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revenue can be seasonal dependent upon the procurement and budgeting cycles of many of our customers, especially government- or grant-funded customers, whose cycles often coincide with government fiscal year ends.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Expansion of our proteomic content: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maintain our competitive advantage in the single-cell proteomics market, we plan to increase the number of protein reagents for commercial availability based on allocated funding, resource availability, and the successful validation of new reagents, with a focus on expanding our mass cytometry antibody panels and detection capabilities.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continue to expand our single-cell proteomics database and artificial intelligence and machine learning analytics to drive deeper insights into cellular heterogeneity, immune profiling, and biomarker discovery, creating new value and market opportunities in translational and clinical research.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our revenue from the sale of products and services. We also derive revenue from collaborative arrangements, license agreements, grants, and royalties. Customers include top biopharmaceutical companies and leading academic research universities.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generate product revenue from the sale of instruments and consumables. Consumables revenue is largely driven by the size of our active installed base of instruments and the level of usage per instrument.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Service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Cost of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Cost of service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service revenue consists of raw materials and production costs, personnel-related costs, overhead and other direct costs. Cost of service revenue is recognized in the period the related revenue is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cost of service revenue and related service margin may fluctuate depending on the variability in material and labor costs of servicing.</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including hiring additional employees, with an expected focus on advancing our products and services. As a result, we expect R&amp;D expenses will increase in absolute dollars in future periods and vary from period to period as a percentage of revenue.</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Restructuring and related charges primarily consist of severance costs related to our recent reduction-in-force and facilities costs for floors we have subleased or have the intent to sublease (net of sublease income) under our facility lease in South San Francisco. These costs, including a reduction in force, are incurred to improve operational efficiency, achieve cost savings and align our workforce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needs of the business. In addition to the reduction in force, we are reducing leased office space, optimizing our manufacturing footprint and streamlining support functions.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 and Integration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Transaction and integration expenses consist of costs incurred in connection with acquisition- and divestiture-related activities, including legal, advisory, accounting and other transaction-related costs including integration costs.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Bargain Purchase Gain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Bargain purchase gain represents the excess of fair value of the assets acquired and liabilities assumed over the fair value of the consideration transferred in connection with the merger with SomaLogic (the “Merger”). We determined that the bargain purchase gain was primarily attributable to a rapid decline in our stock price in the days following the announcement of the Merger, which persisted through the Closing Date.</w:t>
      </w:r>
    </w:p>
    <w:p>
      <w:pPr>
        <w:pStyle w:val="TextBody"/>
        <w:bidi w:val="0"/>
        <w:spacing w:before="120" w:after="283"/>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Loss from Discontinued Operations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Loss from discontinued operations represents the results of operations for business components that are classified as held-for-sale and meet the criteria for discontinued operations accounting under ASC 205, </w:t>
      </w:r>
      <w:r>
        <w:rPr>
          <w:rFonts w:ascii="Times New Roman" w:hAnsi="Times New Roman"/>
          <w:i/>
          <w:color w:val="000000"/>
          <w:sz w:val="20"/>
        </w:rPr>
        <w:t>Presentation of Financial Statements</w:t>
      </w:r>
      <w:r>
        <w:rPr>
          <w:rFonts w:ascii="Times New Roman" w:hAnsi="Times New Roman"/>
          <w:color w:val="000000"/>
          <w:sz w:val="20"/>
        </w:rPr>
        <w:t>. This includes the operating results of the discontinued components during the periods presented.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loss from discontinued operations is presented net of applicable income taxes and includes direct incremental costs associated with the disposal activities, such as legal, advisory, and other transaction-related costs. Any intercompany transactions between continuing and discontinued operations have been eliminated, and certain allocations of corporate overhead and shared costs previously allocated to the discontinued operations have been adjusted to reflect the costs that will be eliminated upon disposal.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Prior period amounts have been reclassified to conform to the current period presentation. </w:t>
      </w:r>
    </w:p>
    <w:p>
      <w:pPr>
        <w:pStyle w:val="TextBody"/>
        <w:bidi w:val="0"/>
        <w:spacing w:before="360" w:after="283"/>
        <w:jc w:val="left"/>
        <w:rPr>
          <w:rFonts w:ascii="Times New Roman" w:hAnsi="Times New Roman"/>
          <w:b/>
          <w:color w:val="000000"/>
          <w:sz w:val="20"/>
        </w:rPr>
      </w:pPr>
      <w:bookmarkStart w:id="16" w:name="section29"/>
      <w:bookmarkEnd w:id="16"/>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unaudited condensed consolidated statements of operations and as a percentage of total revenue for the three and six months ended June 30, 2025 and 2024 ($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5"/>
        <w:gridCol w:w="146"/>
        <w:gridCol w:w="196"/>
        <w:gridCol w:w="661"/>
        <w:gridCol w:w="166"/>
        <w:gridCol w:w="146"/>
        <w:gridCol w:w="146"/>
        <w:gridCol w:w="436"/>
        <w:gridCol w:w="256"/>
        <w:gridCol w:w="146"/>
        <w:gridCol w:w="196"/>
        <w:gridCol w:w="661"/>
        <w:gridCol w:w="166"/>
        <w:gridCol w:w="146"/>
        <w:gridCol w:w="146"/>
        <w:gridCol w:w="436"/>
        <w:gridCol w:w="256"/>
        <w:gridCol w:w="146"/>
        <w:gridCol w:w="196"/>
        <w:gridCol w:w="661"/>
        <w:gridCol w:w="166"/>
        <w:gridCol w:w="146"/>
        <w:gridCol w:w="146"/>
        <w:gridCol w:w="436"/>
        <w:gridCol w:w="256"/>
        <w:gridCol w:w="146"/>
        <w:gridCol w:w="196"/>
        <w:gridCol w:w="661"/>
        <w:gridCol w:w="166"/>
        <w:gridCol w:w="146"/>
        <w:gridCol w:w="146"/>
        <w:gridCol w:w="436"/>
        <w:gridCol w:w="504"/>
      </w:tblGrid>
      <w:tr>
        <w:trPr/>
        <w:tc>
          <w:tcPr>
            <w:tcW w:w="1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5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Bargain purchase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5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(77,875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5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revenue by product type, presented in dollars and as a percentage of total revenue ($ in thousands):</w:t>
      </w:r>
    </w:p>
    <w:p>
      <w:pPr>
        <w:pStyle w:val="TextBody"/>
        <w:bidi w:val="0"/>
        <w:jc w:val="left"/>
        <w:rPr/>
      </w:pPr>
      <w:r>
        <w:rPr/>
        <w:t> </w:t>
      </w:r>
    </w:p>
    <w:tbl>
      <w:tblPr>
        <w:tblW w:w="10428" w:type="dxa"/>
        <w:jc w:val="left"/>
        <w:tblInd w:w="0" w:type="dxa"/>
        <w:tblLayout w:type="fixed"/>
        <w:tblCellMar>
          <w:top w:w="28" w:type="dxa"/>
          <w:left w:w="28" w:type="dxa"/>
          <w:bottom w:w="28" w:type="dxa"/>
          <w:right w:w="28" w:type="dxa"/>
        </w:tblCellMar>
      </w:tblPr>
      <w:tblGrid>
        <w:gridCol w:w="1281"/>
        <w:gridCol w:w="346"/>
        <w:gridCol w:w="196"/>
        <w:gridCol w:w="601"/>
        <w:gridCol w:w="146"/>
        <w:gridCol w:w="146"/>
        <w:gridCol w:w="196"/>
        <w:gridCol w:w="601"/>
        <w:gridCol w:w="346"/>
        <w:gridCol w:w="346"/>
        <w:gridCol w:w="196"/>
        <w:gridCol w:w="571"/>
        <w:gridCol w:w="166"/>
        <w:gridCol w:w="146"/>
        <w:gridCol w:w="146"/>
        <w:gridCol w:w="346"/>
        <w:gridCol w:w="256"/>
        <w:gridCol w:w="146"/>
        <w:gridCol w:w="196"/>
        <w:gridCol w:w="601"/>
        <w:gridCol w:w="146"/>
        <w:gridCol w:w="146"/>
        <w:gridCol w:w="196"/>
        <w:gridCol w:w="601"/>
        <w:gridCol w:w="146"/>
        <w:gridCol w:w="146"/>
        <w:gridCol w:w="196"/>
        <w:gridCol w:w="571"/>
        <w:gridCol w:w="166"/>
        <w:gridCol w:w="146"/>
        <w:gridCol w:w="146"/>
        <w:gridCol w:w="346"/>
        <w:gridCol w:w="501"/>
      </w:tblGrid>
      <w:tr>
        <w:trPr/>
        <w:tc>
          <w:tcPr>
            <w:tcW w:w="12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Product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Instruments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Consumables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product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Services and other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22,492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For the three months ended June 30, 2025, total revenue declined $0.7 million, or 3%, compared to the prior year period. The decline was primarily driven by a $1.8 million decrease in instruments revenue, primarily due to lower unit sales of our CyTOF XT mass cytometry instrument, with services revenue also declining $0.5 million. Consumables revenue increased $1.6 million, or 18%, offsetting the majority of these declines.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six months ended June 30, 2025, total revenue declined $2.2 million, or 5%, compared to the prior year period. This reflects a $1.4 million decrease in services and other revenue as a result of lower service requirements from improved instrument reliability and timing of customer maintenance schedules, and a $0.7 million decrease in consumables revenue.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Revenue and 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revenue, gross profit, and gross margin were as follows ($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1"/>
        <w:gridCol w:w="146"/>
        <w:gridCol w:w="196"/>
        <w:gridCol w:w="601"/>
        <w:gridCol w:w="241"/>
        <w:gridCol w:w="146"/>
        <w:gridCol w:w="196"/>
        <w:gridCol w:w="601"/>
        <w:gridCol w:w="241"/>
        <w:gridCol w:w="146"/>
        <w:gridCol w:w="224"/>
        <w:gridCol w:w="498"/>
        <w:gridCol w:w="189"/>
        <w:gridCol w:w="166"/>
        <w:gridCol w:w="166"/>
        <w:gridCol w:w="395"/>
        <w:gridCol w:w="269"/>
        <w:gridCol w:w="146"/>
        <w:gridCol w:w="199"/>
        <w:gridCol w:w="613"/>
        <w:gridCol w:w="245"/>
        <w:gridCol w:w="148"/>
        <w:gridCol w:w="199"/>
        <w:gridCol w:w="613"/>
        <w:gridCol w:w="241"/>
        <w:gridCol w:w="146"/>
        <w:gridCol w:w="213"/>
        <w:gridCol w:w="622"/>
        <w:gridCol w:w="180"/>
        <w:gridCol w:w="159"/>
        <w:gridCol w:w="159"/>
        <w:gridCol w:w="377"/>
        <w:gridCol w:w="323"/>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2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14,039</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service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(821</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6,268</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7,129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11,134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12,118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20,307</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22,746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21,677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three months ended June 30, 2025, gross profit increased $0.3 million, or 2%, compared to the prior year period, despite the revenue decline. The increase was primarily driven by favorable product mix, as consumables revenue grew 18% while instrument revenue declined 26%.</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six months ended June 30, 2025, gross profit increased $0.3 million, or 1%, compared to the prior year period, primarily due to lower overall cost of revenue. Lower cost of revenue was offset by lower product and services and other revenue.</w:t>
      </w:r>
    </w:p>
    <w:p>
      <w:pPr>
        <w:pStyle w:val="TextBody"/>
        <w:bidi w:val="0"/>
        <w:spacing w:before="40" w:after="283"/>
        <w:jc w:val="left"/>
        <w:rPr/>
      </w:pPr>
      <w:r>
        <w:rPr/>
        <w:t> </w:t>
      </w:r>
    </w:p>
    <w:p>
      <w:pPr>
        <w:pStyle w:val="TextBody"/>
        <w:bidi w:val="0"/>
        <w:spacing w:before="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were as follows ($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tbl>
      <w:tblPr>
        <w:tblW w:w="10343"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676"/>
        <w:gridCol w:w="146"/>
        <w:gridCol w:w="146"/>
        <w:gridCol w:w="211"/>
        <w:gridCol w:w="631"/>
        <w:gridCol w:w="166"/>
        <w:gridCol w:w="146"/>
        <w:gridCol w:w="146"/>
        <w:gridCol w:w="376"/>
        <w:gridCol w:w="271"/>
        <w:gridCol w:w="146"/>
        <w:gridCol w:w="211"/>
        <w:gridCol w:w="676"/>
        <w:gridCol w:w="146"/>
        <w:gridCol w:w="146"/>
        <w:gridCol w:w="211"/>
        <w:gridCol w:w="676"/>
        <w:gridCol w:w="146"/>
        <w:gridCol w:w="146"/>
        <w:gridCol w:w="211"/>
        <w:gridCol w:w="736"/>
        <w:gridCol w:w="166"/>
        <w:gridCol w:w="146"/>
        <w:gridCol w:w="146"/>
        <w:gridCol w:w="37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Year-over-Year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2025, R&amp;D expense decreased by $1.0 million, or 14%, compared to the prior year period. The reduction in R&amp;D expense was primarily driven by the deferral of long-horizon R&amp;D projects, which reduced material and supply costs by $0.8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R&amp;D expense decreased $3.2 million, or 21%, compared to the prior year period. The reduction reflects the deferral of long-horizon R&amp;D projects, which reduced material and supply costs by $1.2 million and consulting fees by $0.5 million. Additionally, the current period benefited from restructuring activities completed in 2024, which reduced corporate overhead costs by $1.1 million and personnel-related costs by $0.6 million.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SG&amp;A expenses for the three and six months ended June 30, 2025 increased $3.2 million and $6.7 million, or 13% and 13%, respectively, compared to the prior year periods, reflecting the classification of the SomaScan Business as discontinued operations. Following this classification, certain personnel-related costs and corporate overhead costs that previously supported both business segments now remain with the continuing operations, as these shared services and infrastructure costs could not be proportionally allocated to the discontinued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these stranded costs, we continue to pursue operational efficiencies and expect to realize additional cost savings as we optimize our cost structure for the remaining business.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Restructuring and Related Charges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Restructuring and related charges for the three and six months ended June 30, 2025 decreased by $4.0 million and $6.8 million, or 70% and 67%, respectively, compared to the prior year periods, as restructuring activities stemming from the Merger were completed in 2024. </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Transaction and Integration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 and integration expenses for the three and six months ended June 30, 2025 decreased by $2.5 million and $18.5 million, or 90% and 93%, respectively, compared to the prior year periods. The decrease was due significant legal, advisory, accounting, and integration expenses incurred in connection with the Merger during the six months ended June 30, 2024, the majority of which were one-time in nature. The Company expects to incur additional transaction and integration expenses in connection with future transactions.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Bargain purchase gain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Bargain purchase gain decreased by $25.2 million, or 100%, for the six months ended June 30, 2025 compared to the six months ended June 30, 2024. The bargain purchase gain recognized during the six months ended June 30, 2024 was due to the consummation of the Merger, which resulted in the fair value of assets acquired and liabilities assumed exceeding the fair value of the consideration transferred due to a decline in our stock price following the announcement of the Merger. The Company did not recognize any gains on bargain purchases of businesses during the three or six months ended June 30,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decreased by $2.8 million and $6.1 million, or 54% and 53%, for the three and six months ended June 30, 2025, respectively, compared to the prior year periods. The decreases were primarily due to a reduction in the interest earned on balances of money market funds and short-term investments. The interest earned on money market funds and short-term investments decreased due to lower account balances and interest rates during the three and six months ended June 30, 2025.</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Interest Expense</w:t>
      </w:r>
    </w:p>
    <w:p>
      <w:pPr>
        <w:pStyle w:val="TextBody"/>
        <w:bidi w:val="0"/>
        <w:spacing w:before="240" w:after="283"/>
        <w:jc w:val="left"/>
        <w:rPr>
          <w:rFonts w:ascii="Times New Roman" w:hAnsi="Times New Roman"/>
          <w:sz w:val="20"/>
        </w:rPr>
      </w:pPr>
      <w:r>
        <w:rPr>
          <w:rFonts w:ascii="Times New Roman" w:hAnsi="Times New Roman"/>
          <w:color w:val="000000"/>
          <w:sz w:val="20"/>
        </w:rPr>
        <w:t>Interest expense decreased by $0.8 million and $1.9 million, or 99% and 99%, for the three and six months ended June 30, 2025, respectively, compared to the prior year periods.</w:t>
      </w:r>
      <w:r>
        <w:rPr>
          <w:rFonts w:ascii="Times New Roman" w:hAnsi="Times New Roman"/>
          <w:color w:val="242424"/>
          <w:sz w:val="20"/>
        </w:rPr>
        <w:t xml:space="preserve"> During 2024, the Company fully repaid its outstanding term loan facility, as well as the balance on convertible notes issued during 2019. As a result, the Company had no material debt outstanding during the three and six months ended June 30, 2025, which resulted in negligible interest expense for the periods.</w:t>
      </w:r>
    </w:p>
    <w:p>
      <w:pPr>
        <w:pStyle w:val="TextBody"/>
        <w:bidi w:val="0"/>
        <w:spacing w:before="360" w:after="283"/>
        <w:jc w:val="left"/>
        <w:rPr>
          <w:rFonts w:ascii="Times New Roman" w:hAnsi="Times New Roman"/>
          <w:b/>
          <w:i/>
          <w:color w:val="242424"/>
          <w:sz w:val="20"/>
        </w:rPr>
      </w:pPr>
      <w:r>
        <w:rPr>
          <w:rFonts w:ascii="Times New Roman" w:hAnsi="Times New Roman"/>
          <w:b/>
          <w:i/>
          <w:color w:val="242424"/>
          <w:sz w:val="20"/>
        </w:rPr>
        <w:t>Other Income (Expense),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(expense), net increased $4.6 million and $7.4 million for the three and six months ended June 30, 2025, respectively, compared to the prior year periods. Both increases were primarily due to foreign currency transaction gains on receivables denominated in foreign currencies, reflecting the weakening of the U.S. Dollar against other currencies in which we transact. The six-month period benefited from an additional $3.4 million gain from a decrease in the fair value of our contingent consideration liability.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recorded an income tax benefit of $0.6 million and income tax expense of less than $0.1 million in the three months ended June 30, 2025 and 2024, respectively. We recorded an income tax benefit of $0.7 million and income tax expense of $0.2 million for the six months ended June 30,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decreases in our tax provisions reflect the effect of our foreign operations, which reported lower pre-tax income in the three and six months ended June 30, 2025 compared to the same periods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from discontinued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Loss from discontinued operations decreased by $4.5 million and $17.6 million, or 22% and 49%, for the three and six months ended June 30, 2025, respectively, compared to the corresponding periods in 2024. The decreases in loss from discontinued operations were primarily due to reductions in operating expenses as a result of restructuring activities undertaken in 2024, which reduced personnel-related costs and other operating expenses within the SomaScan Business.</w:t>
      </w:r>
    </w:p>
    <w:p>
      <w:pPr>
        <w:pStyle w:val="TextBody"/>
        <w:bidi w:val="0"/>
        <w:spacing w:before="360" w:after="283"/>
        <w:jc w:val="left"/>
        <w:rPr>
          <w:rFonts w:ascii="Times New Roman" w:hAnsi="Times New Roman"/>
          <w:b/>
          <w:color w:val="000000"/>
          <w:sz w:val="20"/>
        </w:rPr>
      </w:pPr>
      <w:bookmarkStart w:id="17" w:name="section30"/>
      <w:bookmarkEnd w:id="17"/>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operating losses since inception and have an accumulated deficit of $1,245.1 million as of June 30, 2025. To date, we have funded our operating losses primarily through equity offerings, term loans, convertible notes and redeemable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including our enterprise resource planning upgrade; and costs and timing of acquiring other businesses, assets or technologies or disposing of our businesses, assets or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Quarterly Report on Form 10-Q.</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sources of liquidity are cash, cash equivalents and short-term investments. Our collective balances of cash, cash equivalents and short-term investments were $237.1 million and $292.9 million at June 30, 2025 and December 31, 2024, respectively.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Capital Resources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arrangements that serve as sources of capital and the associated contractual agreements may result in firm or contingent obligations of us. In addition to our common stockholders’ equity, our sources of capital have historically included debt and operating leases. Our operating lease arrangements require cash repayment, and our convertible debt contains rights that may result in their conversion to our common stock prior to maturity. However, as of June 30, 2025, we have repaid the majority of our traditional debt obligations and no longer maintain access to credit facilities. Accordingly, our ongoing sources of capital are primarily limited to equity and cash generated from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enter into contractual and legally binding commitments to purchase goods. Most of these contracts are cancellable with little or no notice or penalty. However, once a vendor has incurred costs to fulfill a contract with us, and which costs cannot be otherwise deployed, we are liable for those costs upon cancellation.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Flow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 summary was as follows ($ in thousands):</w:t>
      </w:r>
    </w:p>
    <w:p>
      <w:pPr>
        <w:pStyle w:val="TextBody"/>
        <w:bidi w:val="0"/>
        <w:jc w:val="left"/>
        <w:rPr/>
      </w:pPr>
      <w:r>
        <w:rPr/>
        <w:t> </w:t>
      </w:r>
    </w:p>
    <w:tbl>
      <w:tblPr>
        <w:tblW w:w="8699" w:type="dxa"/>
        <w:jc w:val="left"/>
        <w:tblInd w:w="0" w:type="dxa"/>
        <w:tblLayout w:type="fixed"/>
        <w:tblCellMar>
          <w:top w:w="28" w:type="dxa"/>
          <w:left w:w="28" w:type="dxa"/>
          <w:bottom w:w="28" w:type="dxa"/>
          <w:right w:w="28" w:type="dxa"/>
        </w:tblCellMar>
      </w:tblPr>
      <w:tblGrid>
        <w:gridCol w:w="6031"/>
        <w:gridCol w:w="146"/>
        <w:gridCol w:w="211"/>
        <w:gridCol w:w="736"/>
        <w:gridCol w:w="166"/>
        <w:gridCol w:w="146"/>
        <w:gridCol w:w="211"/>
        <w:gridCol w:w="841"/>
        <w:gridCol w:w="2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 summary: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218,601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six months ended June 30, 2025, we used $49.1 million of net proceeds from the sales and maturities of short-term investments to help fund $51.0 million of net cash used in operating activities. We did not repurchase any common stock or repay and debt during the six months ended June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six months ended June 30, 2024, we used $91.0 million of net proceeds from the sales and maturities of short-term investments to help fund $101.5 million of net cash used in operating activities, $40.5 million of common stock repurchases under the 2024 Stock Repurchase Program, and $8.2 million of repayments on our term loan facility and convertible notes issued in 2014.</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decreased by $50.6 million for the six months ended June 30, 2025 compared to the same period in 2024. The decrease in cash use is due to a decrease in operating expenses for the six months ended June 30, 2025 compared to the same period in 2024, resulting from the completion of restructuring activities during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$42.1 million for the six months ended June 30, 2025, compared to $368.3 million for the same period in 2024. The activity for the six months ended June 30, 2025 is primarily due to $49.1 million of proceeds from sales and maturities of short-term investments, net of purchases, partially offset by purchases of property and equipment of $6.9 million. In contrast, the net cash provided for the six months ended June 30, 2024 reflects $280.0 million of cash acquired in the Merger, along with $91.0 million of proceeds from sales and maturities of short-term investments, net of purchases.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less than $0.1 million for the six months ended June 30, 2025 compared to $48.1 million for the six months ended June 30, 2024. During the six months ended June 30, 2024, we executed $40.5 million of common share repurchases under the 2024 Stock Repurchase Program and made $8.2 million of payments on the Company's term loan and convertible notes issued in 2014. We did not repurchase any common shares or repay any debt during the six months ended June 30, 2025.</w:t>
      </w:r>
    </w:p>
    <w:p>
      <w:pPr>
        <w:pStyle w:val="TextBody"/>
        <w:bidi w:val="0"/>
        <w:spacing w:before="360" w:after="283"/>
        <w:jc w:val="left"/>
        <w:rPr>
          <w:rFonts w:ascii="Times New Roman" w:hAnsi="Times New Roman"/>
          <w:b/>
          <w:color w:val="000000"/>
          <w:sz w:val="20"/>
        </w:rPr>
      </w:pPr>
      <w:bookmarkStart w:id="18" w:name="section31"/>
      <w:bookmarkEnd w:id="18"/>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discussion and analysis of our financial condition and results of operations are based on our unaudited condensed consolidated financial statements and related notes, which have been prepared in accordance with accounting principles generally accepted in the United States. The preparation of these financial statements requires the use of estimates and assumptions to determine the value of the assets, liabilities, revenues and expenses reported on the condensed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lease liabilities and income tax liabilities (assets). Refer to Item 7 in our Annual Report for additional information regarding our critical accounting policies and estimates.</w:t>
      </w:r>
    </w:p>
    <w:p>
      <w:pPr>
        <w:pStyle w:val="TextBody"/>
        <w:bidi w:val="0"/>
        <w:spacing w:before="360" w:after="283"/>
        <w:jc w:val="left"/>
        <w:rPr>
          <w:rFonts w:ascii="Times New Roman" w:hAnsi="Times New Roman"/>
          <w:b/>
          <w:color w:val="000000"/>
          <w:sz w:val="20"/>
        </w:rPr>
      </w:pPr>
      <w:bookmarkStart w:id="19" w:name="section32"/>
      <w:bookmarkEnd w:id="19"/>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standards are issued by FASB or other standard setting bodies and adopted by us as of the specified effective date. Unless otherwise discussed, the impact of recently issued standards that are not yet effective will not have a material impact on our financial position or results of operations upon adoption.</w:t>
      </w:r>
    </w:p>
    <w:p>
      <w:pPr>
        <w:pStyle w:val="TextBody"/>
        <w:bidi w:val="0"/>
        <w:spacing w:before="360" w:after="283"/>
        <w:jc w:val="left"/>
        <w:rPr>
          <w:rFonts w:ascii="Times New Roman" w:hAnsi="Times New Roman"/>
          <w:b/>
          <w:color w:val="000000"/>
          <w:sz w:val="20"/>
        </w:rPr>
      </w:pPr>
      <w:bookmarkStart w:id="20" w:name="item_3_quantitative_and_qualitative"/>
      <w:bookmarkEnd w:id="2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risk represents the risk of loss that may impact our financial position due to adverse changes in financial market prices and rates. Our market risk exposure is primarily the result of fluctuations in interest rates and foreign exchange rates, as well as, to a lesser extent, inflation and capital market risk.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interest rate risk in the ordinary course of our business. Our cash and cash equivalents are comprised of funds held in checking accounts and money market accounts.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our operations outside of the United States, we are exposed to market risk related to changes in foreign currency exchange rates. Historically, we have not hedged our foreign currency exposure. Changes in the relative values of currencies occur regularly and, in some instances, could materially adversely affect our business, our financial conditions, our results of operations or our cash flows. For the six months ended June 30, 2025, the Company recognized $5.5 million of foreign currency exchange gains due to changes in foreign currency exchange rates. For the three and six months ended June 30, 2024, foreign currency exchange rates did not have a material impact on our historical financial position, our business, our financial condition, our results of operations or our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had a material effect on our business, financial condition, results of operations or cash flows in the last two years. If global inflation trends continue, we expect appreciable increases in labor and other operating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our revenue from the sale of products and services and from collaborative arrangements, license agreements, grants, and royalties, but we may in the future raise funds through other sources. One possible source of funding is through further securities offerings. Our ability to raise funds in this manner depends upon capital market forces affecting our stock price among other things.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360" w:after="283"/>
        <w:jc w:val="left"/>
        <w:rPr>
          <w:rFonts w:ascii="Times New Roman" w:hAnsi="Times New Roman"/>
          <w:b/>
          <w:color w:val="000000"/>
          <w:sz w:val="20"/>
        </w:rPr>
      </w:pPr>
      <w:bookmarkStart w:id="21" w:name="item4_controls_and_procedures"/>
      <w:bookmarkEnd w:id="2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CEO and our Chief Financial Officer (“CFO”), evaluated the effectiveness of our disclosure controls and procedures as of June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2025, our CEO and CFO concluded that, as of such date, our disclosure controls and procedures were effective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in our internal control over financial reporting that occurred during the three months ended June 30, 2025 that have materially affected, or are reasonably likely to materially affect, our internal control over financial reporting.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Limitations on the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22" w:name="part_ii_other_information"/>
      <w:bookmarkEnd w:id="22"/>
      <w:r>
        <w:rPr>
          <w:rFonts w:ascii="Times New Roman" w:hAnsi="Times New Roman"/>
          <w:b/>
          <w:color w:val="000000"/>
          <w:sz w:val="20"/>
        </w:rPr>
        <w:t>PART II. OTHER INFORMATION</w:t>
      </w:r>
    </w:p>
    <w:p>
      <w:pPr>
        <w:pStyle w:val="TextBody"/>
        <w:bidi w:val="0"/>
        <w:spacing w:before="240" w:after="283"/>
        <w:jc w:val="left"/>
        <w:rPr>
          <w:rFonts w:ascii="Times New Roman" w:hAnsi="Times New Roman"/>
          <w:b/>
          <w:color w:val="000000"/>
          <w:sz w:val="20"/>
        </w:rPr>
      </w:pPr>
      <w:bookmarkStart w:id="23" w:name="item_1_legal_proceeding"/>
      <w:bookmarkEnd w:id="23"/>
      <w:r>
        <w:rPr>
          <w:rFonts w:ascii="Times New Roman" w:hAnsi="Times New Roman"/>
          <w:b/>
          <w:color w:val="000000"/>
          <w:sz w:val="20"/>
        </w:rPr>
        <w:t>Item 1. Legal Proceedings</w:t>
      </w:r>
    </w:p>
    <w:p>
      <w:pPr>
        <w:pStyle w:val="TextBody"/>
        <w:bidi w:val="0"/>
        <w:spacing w:before="120" w:after="283"/>
        <w:jc w:val="left"/>
        <w:rPr/>
      </w:pPr>
      <w:r>
        <w:rPr>
          <w:rFonts w:ascii="Times New Roman" w:hAnsi="Times New Roman"/>
          <w:color w:val="000000"/>
          <w:sz w:val="20"/>
        </w:rPr>
        <w:t xml:space="preserve">Information with respect to certain legal proceedings is included in </w:t>
      </w:r>
      <w:hyperlink w:anchor="note_8">
        <w:r>
          <w:rPr>
            <w:rStyle w:val="InternetLink"/>
            <w:rFonts w:ascii="Times New Roman" w:hAnsi="Times New Roman"/>
            <w:color w:val="0000FF"/>
            <w:sz w:val="20"/>
            <w:u w:val="single"/>
          </w:rPr>
          <w:t>Note 6</w:t>
        </w:r>
      </w:hyperlink>
      <w:r>
        <w:rPr>
          <w:rFonts w:ascii="Times New Roman" w:hAnsi="Times New Roman"/>
          <w:color w:val="000000"/>
          <w:sz w:val="20"/>
        </w:rPr>
        <w:t xml:space="preserve"> to our accompanying financial statements appearing elsewhere in this Quarterly Report on Form 10-Q.</w:t>
      </w:r>
    </w:p>
    <w:p>
      <w:pPr>
        <w:pStyle w:val="TextBody"/>
        <w:bidi w:val="0"/>
        <w:spacing w:before="360" w:after="283"/>
        <w:jc w:val="left"/>
        <w:rPr>
          <w:rFonts w:ascii="Times New Roman" w:hAnsi="Times New Roman"/>
          <w:b/>
          <w:color w:val="000000"/>
          <w:sz w:val="20"/>
        </w:rPr>
      </w:pPr>
      <w:bookmarkStart w:id="24" w:name="item_1a_riskfactors"/>
      <w:bookmarkEnd w:id="2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rapidly changing environment that involves numerous uncertainties and risks. You should carefully consider the risk factors discussed in this Item 1A, as well as those risk factors discussed in Part I Item 1A “Risk Factors” in our Annual Report, which could materially affect our business, financial condition or results of operations. The risks below and the risks in our Annual Report are not the only ones we face. Our business is also subject to the risks that affect many other companies, such as employee relations, general economic conditions, global geopolitical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Past and potential future divestitures or other transactions could adversely affect our costs, revenues, profitability and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position our business to take advantage of particular future growth opportunities and/or consolidate our more capable businesses, we have in the past and may in the future pursue a strategy of focusing on one or more specialized facets of our products and services. These actions may require that we abandon or divest certain assets or businesses that no longer fit within our evolving strategic direction, as is currently contemplated by the Transaction with Illumina.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There can be no assurance that the proposed Transaction with Illumina will be consummated. The announcement and pendency of the Transaction, or the failure of the Transaction to be consummated, could have an adverse effect on our stock price, business, financial condition, results of operations or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22, 2025, we entered into the Purchase Agreement with Illumina, pursuant to which Illumina will acquire all of the Shares of SomaLogic and Sengenics and we will divest the SomaScan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Consummation of the Transaction is subject to conditions specified in the Purchase Agreement, including the expiration or termination of the applicable waiting period (and any extension thereof) under the Hart-Scott Act. As a result, there can be no assurance that the Transaction will be consummated.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announcement and pendency of the Transaction could disrupt our businesses, in any of the following ways,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employees may experience uncertainty about their future roles, which might adversely affect our ability to retain and hire key managers and other employees;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attention of our management may be directed toward completion of the Transaction, divesture planning and transaction-related considerations and may be diverted from our day-to-day business operations;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vendors, suppliers or others may seek to modify or terminate their business relationship with us; and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we may experience negative reactions from our stockholders,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disruptions could be exacerbated by a delay in the completion of the Transaction or termination of the Purchase Agreement. Additionally, if the Transaction is not consummated, we will have incurred costs and diverted the time and attention of management. A failure to consummate the Transaction may also result in negative publicity, potential litigation and a negative impression of us in the financial markets. The occurrence of any of these events individually or in combination could have a material adverse effect on our financial statements and stock price.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may be unable to fully realize the expected benefits from the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achieve substantial operating and capital cost savings as a result of the Transaction. If we are unable to successfully divest the SomaScan Business, we may face material adverse effects including, but not limited to (i) diversion of the attention of management and key personnel and potential disruption of our ongoing business, (ii) the loss of employees, (iii) challenges of managing a divesture, including challenges related to controls, procedures and accounting and other policies, (iv) difficulties in achieving anticipated cost savings, (v) declines in our results of operations, financial condition or cash flows, (vi) a decline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price of our common stock, and (vii) potential liabilities, adverse consequences, increased expenses or other problems associated with the Transaction and/or the resulting scaled back business. Many of these factors are outside of our control, and any one of them could result in increased costs, decreased expected revenues and further diversion of management time and energy, which could materially impact our business, financial statements and prospects.</w:t>
      </w:r>
    </w:p>
    <w:p>
      <w:pPr>
        <w:pStyle w:val="TextBody"/>
        <w:bidi w:val="0"/>
        <w:jc w:val="left"/>
        <w:rPr>
          <w:rFonts w:ascii="Times New Roman" w:hAnsi="Times New Roman"/>
          <w:b/>
          <w:i/>
          <w:color w:val="000000"/>
          <w:sz w:val="20"/>
        </w:rPr>
      </w:pPr>
      <w:r>
        <w:rPr>
          <w:rFonts w:ascii="Times New Roman" w:hAnsi="Times New Roman"/>
          <w:b/>
          <w:i/>
          <w:color w:val="000000"/>
          <w:sz w:val="20"/>
        </w:rPr>
        <w:t>A delay in completing the Transaction may reduce or eliminate the expected benefits from the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is subject to a number of conditions, some of which are beyond our control, which could prevent, delay or otherwise materially adversely affect its completion. We cannot predict whether and when the conditions will be satisfied. The requirement to wait for the expiration or termination of the applicable waiting period (and any extension thereof) under the Hart-Scott Act could delay the completion of the Transaction for a significant period of time or prevent it from occurring. A delay in completing the Transaction could cause us to not realize some or all of the cost savings and other benefits we expect to achieve if the Transaction is successfully completed within its expected time frame. In addition, a delay could cause management to focus on completion of the Transaction instead of on other opportunities that could be beneficial to us or day-to-day business operations.</w:t>
      </w:r>
    </w:p>
    <w:p>
      <w:pPr>
        <w:pStyle w:val="TextBody"/>
        <w:bidi w:val="0"/>
        <w:jc w:val="left"/>
        <w:rPr/>
      </w:pPr>
      <w:r>
        <w:rPr/>
        <w:t> </w:t>
      </w:r>
    </w:p>
    <w:p>
      <w:pPr>
        <w:pStyle w:val="TextBody"/>
        <w:bidi w:val="0"/>
        <w:spacing w:before="360" w:after="283"/>
        <w:jc w:val="left"/>
        <w:rPr>
          <w:rFonts w:ascii="Times New Roman" w:hAnsi="Times New Roman"/>
          <w:sz w:val="20"/>
        </w:rPr>
      </w:pPr>
      <w:bookmarkStart w:id="25" w:name="item_2_unregistered"/>
      <w:bookmarkEnd w:id="25"/>
      <w:r>
        <w:rPr>
          <w:rFonts w:ascii="Times New Roman" w:hAnsi="Times New Roman"/>
          <w:b/>
          <w:color w:val="000000"/>
          <w:sz w:val="20"/>
        </w:rPr>
        <w:t>Item 2. Unregistered</w:t>
      </w:r>
      <w:r>
        <w:rPr>
          <w:rFonts w:ascii="Times New Roman" w:hAnsi="Times New Roman"/>
          <w:color w:val="000000"/>
          <w:sz w:val="20"/>
        </w:rPr>
        <w:t xml:space="preserve"> </w:t>
      </w:r>
      <w:r>
        <w:rPr>
          <w:rFonts w:ascii="Times New Roman" w:hAnsi="Times New Roman"/>
          <w:b/>
          <w:color w:val="000000"/>
          <w:sz w:val="20"/>
        </w:rPr>
        <w:t>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212529"/>
          <w:sz w:val="20"/>
        </w:rPr>
      </w:pPr>
      <w:r>
        <w:rPr>
          <w:rFonts w:ascii="Times New Roman" w:hAnsi="Times New Roman"/>
          <w:b/>
          <w:i/>
          <w:color w:val="212529"/>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our board of directors authorized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As of June 30, 2025, we have repurchased 15,448,533 shares of our common stock for an aggregate of $40.5 million under the 2024 Share Repurchase Program. We did not purchase any shares of common stock during the three months ended June 30, 2025.</w:t>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6" w:name="item_3_defaults_upon_senior_securities"/>
      <w:bookmarkEnd w:id="2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7" w:name="item_4_mine_safety_disclosures"/>
      <w:bookmarkEnd w:id="27"/>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8" w:name="item_5_other_information"/>
      <w:bookmarkEnd w:id="28"/>
      <w:r>
        <w:rPr>
          <w:rFonts w:ascii="Times New Roman" w:hAnsi="Times New Roman"/>
          <w:b/>
          <w:color w:val="000000"/>
          <w:sz w:val="20"/>
        </w:rPr>
        <w:t>Item 5.</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10b5-1 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our officers (as defined in Rule 16a-1(f) of the Exchange Act) and directors may enter into Rule 10b5-1 or non-Rule 10b5-1 trading arrangements (as each such term is defined in Item 408 of Regulation S-K). During the three months ended June 30, 2025, none of our officers or directors adopted, modified or terminated any such trading arrangements.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b/>
          <w:color w:val="000000"/>
          <w:sz w:val="20"/>
        </w:rPr>
      </w:pPr>
      <w:bookmarkStart w:id="29" w:name="item_6_exhibits"/>
      <w:bookmarkEnd w:id="29"/>
      <w:r>
        <w:rPr>
          <w:rFonts w:ascii="Times New Roman" w:hAnsi="Times New Roman"/>
          <w:b/>
          <w:color w:val="000000"/>
          <w:sz w:val="20"/>
        </w:rPr>
        <w:t>Item 6. Exhibits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documents listed in the Exhibit List, which follows below, are incorporated by reference or are filed with this Quarterly Report on Form 10-Q, in each case as indicated therein (numbered in accordance with Item 601 of Regulation S-K).</w:t>
      </w:r>
    </w:p>
    <w:p>
      <w:pPr>
        <w:pStyle w:val="TextBody"/>
        <w:bidi w:val="0"/>
        <w:spacing w:before="240" w:after="283"/>
        <w:jc w:val="center"/>
        <w:rPr>
          <w:rFonts w:ascii="Times New Roman" w:hAnsi="Times New Roman"/>
          <w:b/>
          <w:color w:val="000000"/>
          <w:sz w:val="20"/>
        </w:rPr>
      </w:pPr>
      <w:bookmarkStart w:id="30" w:name="exhibit_list"/>
      <w:bookmarkEnd w:id="30"/>
      <w:r>
        <w:rPr>
          <w:rFonts w:ascii="Times New Roman" w:hAnsi="Times New Roman"/>
          <w:b/>
          <w:color w:val="000000"/>
          <w:sz w:val="20"/>
        </w:rPr>
        <w:t>EXHIBIT LIST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1"/>
        <w:gridCol w:w="146"/>
        <w:gridCol w:w="5911"/>
        <w:gridCol w:w="146"/>
        <w:gridCol w:w="1143"/>
        <w:gridCol w:w="146"/>
        <w:gridCol w:w="1071"/>
        <w:gridCol w:w="146"/>
        <w:gridCol w:w="735"/>
      </w:tblGrid>
      <w:tr>
        <w:trPr/>
        <w:tc>
          <w:tcPr>
            <w:tcW w:w="7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1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5" w:type="dxa"/>
            <w:tcBorders/>
            <w:shd w:fill="FFFFFF" w:val="clear"/>
            <w:vAlign w:val="center"/>
          </w:tcPr>
          <w:p>
            <w:pPr>
              <w:pStyle w:val="TableContents"/>
              <w:bidi w:val="0"/>
              <w:spacing w:before="0" w:after="283"/>
              <w:jc w:val="left"/>
              <w:rPr>
                <w:sz w:val="4"/>
                <w:szCs w:val="4"/>
              </w:rPr>
            </w:pPr>
            <w:r>
              <w:rPr>
                <w:sz w:val="4"/>
                <w:szCs w:val="4"/>
              </w:rPr>
            </w:r>
          </w:p>
        </w:tc>
      </w:tr>
      <w:tr>
        <w:trPr/>
        <w:tc>
          <w:tcPr>
            <w:tcW w:w="761"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 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jc w:val="center"/>
              <w:rPr>
                <w:rFonts w:ascii="Times New Roman" w:hAnsi="Times New Roman"/>
                <w:b/>
                <w:color w:val="000000"/>
                <w:sz w:val="16"/>
              </w:rPr>
            </w:pPr>
            <w:r>
              <w:rPr>
                <w:rFonts w:ascii="Times New Roman" w:hAnsi="Times New Roman"/>
                <w:b/>
                <w:color w:val="000000"/>
                <w:sz w:val="16"/>
              </w:rPr>
              <w:t>From 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Stock Purchase Agreement, dated as of June 22, 2025, by and between Standard BioTools Inc., and Illumina,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5"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6/23/2025</w:t>
            </w:r>
          </w:p>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Eighth Amended and Restated Certificate of Incorporation filed on February 15, 2011.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3/28/2011</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of Standard BioTools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the Eighth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4/1/2022</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Second Certificate of Amendment to the Eighth Amended and Restated Certificate of Incorporation, as amended.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1/5/2024</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jc w:val="left"/>
              <w:rPr/>
            </w:pPr>
            <w:hyperlink w:anchor="lab-ex10_1.htm">
              <w:r>
                <w:rPr>
                  <w:rStyle w:val="InternetLink"/>
                  <w:rFonts w:ascii="Times New Roman" w:hAnsi="Times New Roman"/>
                  <w:color w:val="0000FF"/>
                  <w:sz w:val="20"/>
                  <w:u w:val="single"/>
                </w:rPr>
                <w:t>Omnibus Amendment Re Collaboration Agreement, by and among Illumina Cambridge, Ltd., SomaLogic, Inc. and Illumina, Inc.</w:t>
              </w:r>
            </w:hyperlink>
            <w:hyperlink w:anchor="lab-ex10_1.htm">
              <w:r>
                <w:rPr>
                  <w:rStyle w:val="InternetLink"/>
                  <w:rFonts w:ascii="Times New Roman" w:hAnsi="Times New Roman"/>
                  <w:color w:val="0000FF"/>
                  <w:sz w:val="20"/>
                </w:rPr>
                <w:t xml:space="preserve"> </w:t>
              </w:r>
            </w:hyperlink>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Standard BioTools Inc. Amended and Restated 2011 Equity Incentive Plan, as Amended.</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43"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6/20/2025</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1_1.htm">
              <w:r>
                <w:rPr>
                  <w:rStyle w:val="InternetLink"/>
                  <w:rFonts w:ascii="Times New Roman" w:hAnsi="Times New Roman"/>
                  <w:color w:val="0000FF"/>
                  <w:sz w:val="20"/>
                  <w:u w:val="single"/>
                </w:rPr>
                <w:t>Certification Pursuant to Rule 13a-14(a)/15d-14(a), as Adopted Pursuant to Section 302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1_2.htm">
              <w:r>
                <w:rPr>
                  <w:rStyle w:val="InternetLink"/>
                  <w:rFonts w:ascii="Times New Roman" w:hAnsi="Times New Roman"/>
                  <w:color w:val="0000FF"/>
                  <w:sz w:val="20"/>
                  <w:u w:val="single"/>
                </w:rPr>
                <w:t>Certification Pursuant to Rule 13a-14(a)/15d-14(a), as Adopted Pursuant to Section 302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2_1.htm">
              <w:r>
                <w:rPr>
                  <w:rStyle w:val="InternetLink"/>
                  <w:rFonts w:ascii="Times New Roman" w:hAnsi="Times New Roman"/>
                  <w:color w:val="0000FF"/>
                  <w:sz w:val="20"/>
                  <w:u w:val="single"/>
                </w:rPr>
                <w:t>Certification Pursuant to 18 U.S.C. Section 1350, as Adopted Pursuant to Section 906 of the Sarbanes-Oxley Act of 2002 of Chief Executive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hyperlink w:anchor="lab-ex32_2.htm">
              <w:r>
                <w:rPr>
                  <w:rStyle w:val="InternetLink"/>
                  <w:rFonts w:ascii="Times New Roman" w:hAnsi="Times New Roman"/>
                  <w:color w:val="0000FF"/>
                  <w:sz w:val="20"/>
                  <w:u w:val="single"/>
                </w:rPr>
                <w:t>Certification Pursuant to 18 U.S.C. Section 1350, as Adopted Pursuant to Section 906 of the Sarbanes-Oxley Act of 2002 of Chief Financial Officer.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Portions of this exhibit have been omitted pursuant to Item 601(b)(10)(iv) of Regulation S-K because they are both (i) not material and (ii) are the type of information the Registrant customarily and actually treats as private or confidential.</w:t>
      </w:r>
    </w:p>
    <w:p>
      <w:pPr>
        <w:pStyle w:val="TextBody"/>
        <w:bidi w:val="0"/>
        <w:jc w:val="left"/>
        <w:rPr>
          <w:rFonts w:ascii="Times New Roman" w:hAnsi="Times New Roman"/>
          <w:color w:val="000000"/>
          <w:sz w:val="18"/>
        </w:rPr>
      </w:pPr>
      <w:r>
        <w:rPr>
          <w:rFonts w:ascii="Times New Roman" w:hAnsi="Times New Roman"/>
          <w:color w:val="000000"/>
          <w:sz w:val="18"/>
        </w:rPr>
        <w:t>* Certain schedules and attachments have been omitted pursuant to Item 601(a)(5) of Regulation S-K. The Company agrees to provide, on a supplemental basis, a copy of any omitted schedules and attachments to the Securities and Exchange Commission or its staff upon request.</w:t>
      </w:r>
    </w:p>
    <w:p>
      <w:pPr>
        <w:pStyle w:val="TextBody"/>
        <w:bidi w:val="0"/>
        <w:jc w:val="left"/>
        <w:rPr>
          <w:rFonts w:ascii="Times New Roman" w:hAnsi="Times New Roman"/>
          <w:color w:val="000000"/>
          <w:sz w:val="18"/>
        </w:rPr>
      </w:pPr>
      <w:r>
        <w:rPr>
          <w:rFonts w:ascii="Times New Roman" w:hAnsi="Times New Roman"/>
          <w:color w:val="000000"/>
          <w:sz w:val="18"/>
        </w:rPr>
        <w:t> Certain confidential portions of this Exhibit were omitted by means of marking such portions with brackets (“[***]”) because the identified confidential portions (i) are not material and (ii) is the type that the Registrant treats as private or confidential.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 Management contracts or compensation plans or arrangements in which directors or executive officers are eligible to participate.</w:t>
      </w:r>
    </w:p>
    <w:p>
      <w:pPr>
        <w:pStyle w:val="TextBody"/>
        <w:bidi w:val="0"/>
        <w:jc w:val="left"/>
        <w:rPr>
          <w:rFonts w:ascii="Times New Roman" w:hAnsi="Times New Roman"/>
          <w:color w:val="000000"/>
          <w:sz w:val="18"/>
        </w:rPr>
      </w:pPr>
      <w:r>
        <w:rPr>
          <w:rFonts w:ascii="Times New Roman" w:hAnsi="Times New Roman"/>
          <w:color w:val="000000"/>
          <w:sz w:val="18"/>
        </w:rPr>
        <w:t>~ In accordance with Item 601(b)(32)(ii) of Regulation S-K and SEC Release No. 33-8238 and 34-47986, Final Rule: Management’s Report on Internal Control Over Financial Reporting and Certification of Disclosure in Exchange Act Periodic Reports, the certifications furnished in Exhibits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them by reference.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spacing w:before="180" w:after="283"/>
        <w:jc w:val="left"/>
        <w:rPr/>
      </w:pPr>
      <w:r>
        <w:rPr/>
        <w:t> </w:t>
      </w:r>
    </w:p>
    <w:p>
      <w:pPr>
        <w:pStyle w:val="TextBody"/>
        <w:bidi w:val="0"/>
        <w:jc w:val="center"/>
        <w:rPr>
          <w:rFonts w:ascii="Times New Roman" w:hAnsi="Times New Roman"/>
          <w:b/>
          <w:color w:val="000000"/>
          <w:sz w:val="20"/>
        </w:rPr>
      </w:pPr>
      <w:bookmarkStart w:id="31" w:name="signatures"/>
      <w:bookmarkEnd w:id="3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74" w:type="dxa"/>
        <w:jc w:val="left"/>
        <w:tblInd w:w="0" w:type="dxa"/>
        <w:tblLayout w:type="fixed"/>
        <w:tblCellMar>
          <w:top w:w="28" w:type="dxa"/>
          <w:left w:w="28" w:type="dxa"/>
          <w:bottom w:w="28" w:type="dxa"/>
          <w:right w:w="28" w:type="dxa"/>
        </w:tblCellMar>
      </w:tblPr>
      <w:tblGrid>
        <w:gridCol w:w="2056"/>
        <w:gridCol w:w="406"/>
        <w:gridCol w:w="146"/>
        <w:gridCol w:w="3766"/>
      </w:tblGrid>
      <w:tr>
        <w:trPr/>
        <w:tc>
          <w:tcPr>
            <w:tcW w:w="20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3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STANDARD BIOTOOLS INC.</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August 15, 2025</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Michael Egholm, Ph.D.</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Dated: August 15, 2025</w:t>
            </w:r>
          </w:p>
        </w:tc>
        <w:tc>
          <w:tcPr>
            <w:tcW w:w="406"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bottom w:val="single" w:sz="4" w:space="0" w:color="000000"/>
            </w:tcBorders>
            <w:tcMar>
              <w:top w:w="0" w:type="dxa"/>
              <w:left w:w="0" w:type="dxa"/>
              <w:right w:w="0" w:type="dxa"/>
            </w:tcMar>
            <w:vAlign w:val="center"/>
          </w:tcPr>
          <w:p>
            <w:pPr>
              <w:pStyle w:val="TableContents"/>
              <w:bidi w:val="0"/>
              <w:spacing w:before="75" w:after="30"/>
              <w:jc w:val="left"/>
              <w:rPr>
                <w:rFonts w:ascii="Times New Roman" w:hAnsi="Times New Roman"/>
                <w:color w:val="000000"/>
                <w:sz w:val="20"/>
              </w:rPr>
            </w:pPr>
            <w:r>
              <w:rPr>
                <w:rFonts w:ascii="Times New Roman" w:hAnsi="Times New Roman"/>
                <w:color w:val="000000"/>
                <w:sz w:val="20"/>
              </w:rPr>
              <w:t>/s/ Alex Kim</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32" w:name="lab-ex10_1.htm"/>
      <w:bookmarkStart w:id="33" w:name="kslabex10_1"/>
      <w:bookmarkEnd w:id="32"/>
      <w:bookmarkEnd w:id="33"/>
      <w:r>
        <w:rPr>
          <w:rFonts w:ascii="Times New Roman" w:hAnsi="Times New Roman"/>
          <w:b/>
          <w:color w:val="000000"/>
          <w:sz w:val="24"/>
        </w:rPr>
        <w:t>Exhibit 10.1</w:t>
      </w:r>
      <w:r>
        <w:br w:type="page"/>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OMNIBUS AMENDMENT RE COLLABORATION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Omnibus Amendment re Collaboration Agreement (the “</w:t>
      </w:r>
      <w:r>
        <w:rPr>
          <w:rFonts w:ascii="Times New Roman" w:hAnsi="Times New Roman"/>
          <w:b/>
          <w:color w:val="000000"/>
          <w:sz w:val="24"/>
        </w:rPr>
        <w:t>Amendment</w:t>
      </w:r>
      <w:r>
        <w:rPr>
          <w:rFonts w:ascii="Times New Roman" w:hAnsi="Times New Roman"/>
          <w:color w:val="000000"/>
          <w:sz w:val="20"/>
        </w:rPr>
        <w:t>”</w:t>
      </w:r>
      <w:r>
        <w:rPr>
          <w:rFonts w:ascii="Times New Roman" w:hAnsi="Times New Roman"/>
          <w:color w:val="000000"/>
          <w:sz w:val="24"/>
        </w:rPr>
        <w:t>) is effective as of date of last signature below (the “</w:t>
      </w:r>
      <w:r>
        <w:rPr>
          <w:rFonts w:ascii="Times New Roman" w:hAnsi="Times New Roman"/>
          <w:b/>
          <w:color w:val="000000"/>
          <w:sz w:val="24"/>
        </w:rPr>
        <w:t>Omnibus Amendment Effective Date</w:t>
      </w:r>
      <w:r>
        <w:rPr>
          <w:rFonts w:ascii="Times New Roman" w:hAnsi="Times New Roman"/>
          <w:color w:val="000000"/>
          <w:sz w:val="20"/>
        </w:rPr>
        <w:t>”</w:t>
      </w:r>
      <w:r>
        <w:rPr>
          <w:rFonts w:ascii="Times New Roman" w:hAnsi="Times New Roman"/>
          <w:color w:val="000000"/>
          <w:sz w:val="24"/>
        </w:rPr>
        <w:t>) by and among Illumina Cambridge, Ltd., a private company limited by shares organized under the laws of England and Wales, with an address at Illumina Centre, 19 Granta Park, Great Abington, Cambridge, CB21 6DF, United Kingdom (“</w:t>
      </w:r>
      <w:r>
        <w:rPr>
          <w:rFonts w:ascii="Times New Roman" w:hAnsi="Times New Roman"/>
          <w:b/>
          <w:color w:val="000000"/>
          <w:sz w:val="24"/>
        </w:rPr>
        <w:t>Illumina</w:t>
      </w:r>
      <w:r>
        <w:rPr>
          <w:rFonts w:ascii="Times New Roman" w:hAnsi="Times New Roman"/>
          <w:color w:val="000000"/>
          <w:sz w:val="20"/>
        </w:rPr>
        <w:t>”</w:t>
      </w:r>
      <w:r>
        <w:rPr>
          <w:rFonts w:ascii="Times New Roman" w:hAnsi="Times New Roman"/>
          <w:color w:val="000000"/>
          <w:sz w:val="24"/>
        </w:rPr>
        <w:t>), SomaLogic, Inc., a Delaware corporation having a place of business at 2945 Wilderness Place, Boulder, CO 80301 (“</w:t>
      </w:r>
      <w:r>
        <w:rPr>
          <w:rFonts w:ascii="Times New Roman" w:hAnsi="Times New Roman"/>
          <w:b/>
          <w:color w:val="000000"/>
          <w:sz w:val="24"/>
        </w:rPr>
        <w:t>SomaLogic</w:t>
      </w:r>
      <w:r>
        <w:rPr>
          <w:rFonts w:ascii="Times New Roman" w:hAnsi="Times New Roman"/>
          <w:color w:val="000000"/>
          <w:sz w:val="20"/>
        </w:rPr>
        <w:t>”</w:t>
      </w:r>
      <w:r>
        <w:rPr>
          <w:rFonts w:ascii="Times New Roman" w:hAnsi="Times New Roman"/>
          <w:color w:val="000000"/>
          <w:sz w:val="24"/>
        </w:rPr>
        <w:t>) and, solely for purposes of Section 11.7 of the Agreement (as defined), Illumina, Inc., a Delaware corporation having a place of business at 5200 Illumina Way, San Diego, CA 92122 (“</w:t>
      </w:r>
      <w:r>
        <w:rPr>
          <w:rFonts w:ascii="Times New Roman" w:hAnsi="Times New Roman"/>
          <w:b/>
          <w:color w:val="000000"/>
          <w:sz w:val="24"/>
        </w:rPr>
        <w:t>Guarantor</w:t>
      </w:r>
      <w:r>
        <w:rPr>
          <w:rFonts w:ascii="Times New Roman" w:hAnsi="Times New Roman"/>
          <w:color w:val="000000"/>
          <w:sz w:val="20"/>
        </w:rPr>
        <w:t>”</w:t>
      </w:r>
      <w:r>
        <w:rPr>
          <w:rFonts w:ascii="Times New Roman" w:hAnsi="Times New Roman"/>
          <w:color w:val="000000"/>
          <w:sz w:val="24"/>
        </w:rPr>
        <w:t>). Illumina and SomaLogic are referred to herein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Parties</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SomaLogic and Illumina entered into Collaboration Agreement effective as of December 31, 2021 (as previously amended, 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in accordance with which the Parties are engaged in a co-exclusive collaboration for the development of co-branded NGS-based proteomic distributable Kits;</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SomaLogic and Illumina entered into that certain Agreement re Assay Kit Purchase Terms and Conditions effective as of December 8, 2023 and amended effective January 31, 2025 (the “</w:t>
      </w:r>
      <w:r>
        <w:rPr>
          <w:rFonts w:ascii="Times New Roman" w:hAnsi="Times New Roman"/>
          <w:b/>
          <w:color w:val="000000"/>
          <w:sz w:val="24"/>
        </w:rPr>
        <w:t>Letter</w:t>
      </w:r>
      <w:r>
        <w:rPr>
          <w:rFonts w:ascii="Times New Roman" w:hAnsi="Times New Roman"/>
          <w:color w:val="000000"/>
          <w:sz w:val="20"/>
        </w:rPr>
        <w:t>”</w:t>
      </w:r>
      <w:r>
        <w:rPr>
          <w:rFonts w:ascii="Times New Roman" w:hAnsi="Times New Roman"/>
          <w:color w:val="000000"/>
          <w:sz w:val="24"/>
        </w:rPr>
        <w:t>), in accordance with which SomaLogic has agreed to supply to Illumina, and Illumina has agreed to purchase from SomaLogic, certain SOMAmer Reagents for the uses specified therein; and</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The Parties now wish to amend the Agreement and the Letter as set forth herein.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agree as follows:</w:t>
      </w:r>
    </w:p>
    <w:p>
      <w:pPr>
        <w:pStyle w:val="TextBody"/>
        <w:bidi w:val="0"/>
        <w:spacing w:before="0" w:after="240"/>
        <w:jc w:val="both"/>
        <w:rPr>
          <w:rFonts w:ascii="Times New Roman" w:hAnsi="Times New Roman"/>
          <w:sz w:val="20"/>
        </w:rPr>
      </w:pPr>
      <w:r>
        <w:rPr>
          <w:rFonts w:ascii="Times New Roman" w:hAnsi="Times New Roman"/>
          <w:color w:val="000000"/>
          <w:sz w:val="24"/>
        </w:rPr>
        <w:t>1.</w:t>
      </w:r>
      <w:r>
        <w:rPr>
          <w:rFonts w:ascii="Times New Roman" w:hAnsi="Times New Roman"/>
          <w:color w:val="000000"/>
          <w:sz w:val="20"/>
        </w:rPr>
        <w:t xml:space="preserve"> </w:t>
      </w:r>
      <w:r>
        <w:rPr>
          <w:rFonts w:ascii="Times New Roman" w:hAnsi="Times New Roman"/>
          <w:color w:val="000000"/>
          <w:sz w:val="24"/>
        </w:rPr>
        <w:t>The terms in this Amendment with initial letters capitalized have the meanings set forth in this Amendment or, if not defined herein, as set forth in the Agreement or, if not set defined therein, in the Letter.</w:t>
      </w:r>
    </w:p>
    <w:p>
      <w:pPr>
        <w:pStyle w:val="TextBody"/>
        <w:bidi w:val="0"/>
        <w:spacing w:before="0" w:after="240"/>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b/>
          <w:color w:val="000000"/>
          <w:sz w:val="24"/>
        </w:rPr>
        <w:t>Amendments to Agreement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Article 1 (Definitions)</w:t>
      </w:r>
      <w:r>
        <w:rPr>
          <w:rFonts w:ascii="Times New Roman" w:hAnsi="Times New Roman"/>
          <w:color w:val="000000"/>
          <w:sz w:val="24"/>
        </w:rPr>
        <w:t>. The following definitions are added to Article 1 of the Agreement in proper alphabetical order:</w:t>
      </w:r>
    </w:p>
    <w:p>
      <w:pPr>
        <w:pStyle w:val="TextBody"/>
        <w:bidi w:val="0"/>
        <w:spacing w:before="0" w:after="240"/>
        <w:jc w:val="both"/>
        <w:rPr/>
      </w:pPr>
      <w:r>
        <w:rPr>
          <w:color w:val="000000"/>
        </w:rPr>
        <w: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means a set of electronic [***] and associated computer files provided to Illumina under this Agreement (and all copyright, Know-How, and Trade Secret rights embodied therein) and Controlled by SomaLogic that [***]. The term “[***]” includes any [***] necessary to accomplish the activities described in the preceding sentence; in each case, Controlled by SomaLogic. “</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includes [***] Improvements.</w:t>
      </w:r>
    </w:p>
    <w:p>
      <w:pPr>
        <w:pStyle w:val="TextBody"/>
        <w:bidi w:val="0"/>
        <w:spacing w:before="0" w:after="240"/>
        <w:jc w:val="both"/>
        <w:rPr/>
      </w:pPr>
      <w:r>
        <w:rPr>
          <w:color w:val="000000"/>
        </w:rPr>
        <w:t>“</w:t>
      </w:r>
      <w:r>
        <w:rPr>
          <w:rFonts w:ascii="Times New Roman" w:hAnsi="Times New Roman"/>
          <w:b/>
          <w:color w:val="000000"/>
          <w:sz w:val="24"/>
        </w:rPr>
        <w:t>[***] Improvements</w:t>
      </w:r>
      <w:r>
        <w:rPr>
          <w:rFonts w:ascii="Times New Roman" w:hAnsi="Times New Roman"/>
          <w:color w:val="000000"/>
          <w:sz w:val="20"/>
        </w:rPr>
        <w:t xml:space="preserve">” </w:t>
      </w:r>
      <w:r>
        <w:rPr>
          <w:rFonts w:ascii="Times New Roman" w:hAnsi="Times New Roman"/>
          <w:color w:val="000000"/>
          <w:sz w:val="24"/>
        </w:rPr>
        <w:t>means any Improvement to the [***] that is created, conceived, reduced to practice, discovered, generated, developed, or otherwise made at any time during the Term in connection with this Agreement.</w:t>
      </w:r>
    </w:p>
    <w:p>
      <w:pPr>
        <w:pStyle w:val="TextBody"/>
        <w:bidi w:val="0"/>
        <w:spacing w:before="0" w:after="240"/>
        <w:jc w:val="both"/>
        <w:rPr/>
      </w:pPr>
      <w:r>
        <w:rPr>
          <w:color w:val="000000"/>
        </w:rPr>
        <w:t>“</w:t>
      </w:r>
      <w:r>
        <w:rPr>
          <w:rFonts w:ascii="Times New Roman" w:hAnsi="Times New Roman"/>
          <w:b/>
          <w:color w:val="000000"/>
          <w:sz w:val="24"/>
        </w:rPr>
        <w:t>Licensed Improvement IP</w:t>
      </w:r>
      <w:r>
        <w:rPr>
          <w:rFonts w:ascii="Times New Roman" w:hAnsi="Times New Roman"/>
          <w:color w:val="000000"/>
          <w:sz w:val="20"/>
        </w:rPr>
        <w:t xml:space="preserve">” </w:t>
      </w:r>
      <w:r>
        <w:rPr>
          <w:rFonts w:ascii="Times New Roman" w:hAnsi="Times New Roman"/>
          <w:color w:val="000000"/>
          <w:sz w:val="24"/>
        </w:rPr>
        <w:t>means Foreground IP that (i) constitutes an [***], (ii) is created, conceived, reduced to practice, discovered, generated, developed, or otherwise made at any time during the Term: (A) solely by one or more employees, consultants, or</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contractors of one Party or its Affiliates; or (B) jointly by or on behalf of, on the one hand, one or more employees, consultants, or contractors or Illumina or its Affiliates and, on the other hand, one or more employees, consultants, or contractors of SomaLogic or its Affiliates; and (iii) is Covered by a Patent. Licensed Improvement IP may be Illumina Licensed Improvement IP or SomaLogic Licensed Improvement IP, depending on the contextual usage of the term. For clarity, SomaLogic Licensed Improvement IP includes, without limitation, any Licensed Improvement IP that is an Improvement to [***].</w:t>
      </w:r>
    </w:p>
    <w:p>
      <w:pPr>
        <w:pStyle w:val="TextBody"/>
        <w:bidi w:val="0"/>
        <w:spacing w:before="0" w:after="240"/>
        <w:jc w:val="both"/>
        <w:rPr/>
      </w:pPr>
      <w:r>
        <w:rPr>
          <w:color w:val="000000"/>
        </w:rPr>
        <w:t>“</w:t>
      </w:r>
      <w:r>
        <w:rPr>
          <w:rFonts w:ascii="Times New Roman" w:hAnsi="Times New Roman"/>
          <w:b/>
          <w:color w:val="000000"/>
          <w:sz w:val="24"/>
        </w:rPr>
        <w:t>Licenses</w:t>
      </w:r>
      <w:r>
        <w:rPr>
          <w:rFonts w:ascii="Times New Roman" w:hAnsi="Times New Roman"/>
          <w:color w:val="000000"/>
          <w:sz w:val="20"/>
        </w:rPr>
        <w:t xml:space="preserve">” </w:t>
      </w:r>
      <w:r>
        <w:rPr>
          <w:rFonts w:ascii="Times New Roman" w:hAnsi="Times New Roman"/>
          <w:color w:val="000000"/>
          <w:sz w:val="24"/>
        </w:rPr>
        <w:t>has the meaning set forth in Section 2.1(b).</w:t>
      </w:r>
    </w:p>
    <w:p>
      <w:pPr>
        <w:pStyle w:val="TextBody"/>
        <w:bidi w:val="0"/>
        <w:spacing w:before="0" w:after="240"/>
        <w:jc w:val="both"/>
        <w:rPr/>
      </w:pPr>
      <w:r>
        <w:rPr>
          <w:color w:val="000000"/>
        </w:rPr>
        <w:t>“</w:t>
      </w:r>
      <w:r>
        <w:rPr>
          <w:rFonts w:ascii="Times New Roman" w:hAnsi="Times New Roman"/>
          <w:b/>
          <w:color w:val="000000"/>
          <w:sz w:val="24"/>
        </w:rPr>
        <w:t>Liquid Handler</w:t>
      </w:r>
      <w:r>
        <w:rPr>
          <w:rFonts w:ascii="Times New Roman" w:hAnsi="Times New Roman"/>
          <w:color w:val="000000"/>
          <w:sz w:val="20"/>
        </w:rPr>
        <w:t xml:space="preserve">” </w:t>
      </w:r>
      <w:r>
        <w:rPr>
          <w:rFonts w:ascii="Times New Roman" w:hAnsi="Times New Roman"/>
          <w:color w:val="000000"/>
          <w:sz w:val="24"/>
        </w:rPr>
        <w:t>means a [***].</w:t>
      </w:r>
    </w:p>
    <w:p>
      <w:pPr>
        <w:pStyle w:val="TextBody"/>
        <w:bidi w:val="0"/>
        <w:spacing w:before="0" w:after="240"/>
        <w:jc w:val="both"/>
        <w:rPr/>
      </w:pPr>
      <w:r>
        <w:rPr>
          <w:color w:val="000000"/>
        </w:rPr>
        <w:t>“</w:t>
      </w:r>
      <w:r>
        <w:rPr>
          <w:rFonts w:ascii="Times New Roman" w:hAnsi="Times New Roman"/>
          <w:b/>
          <w:color w:val="000000"/>
          <w:sz w:val="24"/>
        </w:rPr>
        <w:t>Non-Exclusive License</w:t>
      </w:r>
      <w:r>
        <w:rPr>
          <w:rFonts w:ascii="Times New Roman" w:hAnsi="Times New Roman"/>
          <w:color w:val="000000"/>
          <w:sz w:val="20"/>
        </w:rPr>
        <w:t xml:space="preserve">” </w:t>
      </w:r>
      <w:r>
        <w:rPr>
          <w:rFonts w:ascii="Times New Roman" w:hAnsi="Times New Roman"/>
          <w:color w:val="000000"/>
          <w:sz w:val="24"/>
        </w:rPr>
        <w:t>has the meaning set forth in Section 2.1(b).</w:t>
      </w:r>
    </w:p>
    <w:p>
      <w:pPr>
        <w:pStyle w:val="TextBody"/>
        <w:bidi w:val="0"/>
        <w:spacing w:before="0" w:after="240"/>
        <w:jc w:val="both"/>
        <w:rPr/>
      </w:pPr>
      <w:r>
        <w:rPr>
          <w:color w:val="000000"/>
        </w:rPr>
        <w:t>“</w:t>
      </w:r>
      <w:r>
        <w:rPr>
          <w:rFonts w:ascii="Times New Roman" w:hAnsi="Times New Roman"/>
          <w:b/>
          <w:color w:val="000000"/>
          <w:sz w:val="24"/>
        </w:rPr>
        <w:t>[***] Documentation</w:t>
      </w:r>
      <w:r>
        <w:rPr>
          <w:rFonts w:ascii="Times New Roman" w:hAnsi="Times New Roman"/>
          <w:color w:val="000000"/>
          <w:sz w:val="20"/>
        </w:rPr>
        <w:t xml:space="preserve">” </w:t>
      </w:r>
      <w:r>
        <w:rPr>
          <w:rFonts w:ascii="Times New Roman" w:hAnsi="Times New Roman"/>
          <w:color w:val="000000"/>
          <w:sz w:val="24"/>
        </w:rPr>
        <w:t>means SomaLogic’s published functional specifications, software user manuals, reference manuals, installation guides, and any other documentation that SomaLogic makes available for the [***], as may be modified by SomaLogic from time to time.</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b/>
          <w:color w:val="000000"/>
          <w:sz w:val="24"/>
        </w:rPr>
        <w:t>Section 2.1(b)</w:t>
      </w:r>
      <w:r>
        <w:rPr>
          <w:rFonts w:ascii="Times New Roman" w:hAnsi="Times New Roman"/>
          <w:color w:val="000000"/>
          <w:sz w:val="24"/>
        </w:rPr>
        <w:t>. Section 2.1(b) is hereby deleted in its entirety and replaced with the following:</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Non-Exclusive License. The licenses in this Section 2.1(b) are referred to collectively as the “</w:t>
      </w:r>
      <w:r>
        <w:rPr>
          <w:rFonts w:ascii="Times New Roman" w:hAnsi="Times New Roman"/>
          <w:b/>
          <w:color w:val="000000"/>
          <w:sz w:val="24"/>
        </w:rPr>
        <w:t>Non-Exclusive License</w:t>
      </w:r>
      <w:r>
        <w:rPr>
          <w:rFonts w:ascii="Times New Roman" w:hAnsi="Times New Roman"/>
          <w:color w:val="000000"/>
          <w:sz w:val="20"/>
        </w:rPr>
        <w:t>”</w:t>
      </w:r>
      <w:r>
        <w:rPr>
          <w:rFonts w:ascii="Times New Roman" w:hAnsi="Times New Roman"/>
          <w:color w:val="000000"/>
          <w:sz w:val="24"/>
        </w:rPr>
        <w:t>, and, together, with the Co-Exclusive License, the “</w:t>
      </w:r>
      <w:r>
        <w:rPr>
          <w:rFonts w:ascii="Times New Roman" w:hAnsi="Times New Roman"/>
          <w:b/>
          <w:color w:val="000000"/>
          <w:sz w:val="24"/>
        </w:rPr>
        <w:t>Licenses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SomaLogic, on behalf of itself and its Affiliates, hereby grants to Illumina, and Illumina hereby accepts, a non-exclusive, royalty-bearing, non transferable (except as set forth in Section 14.2) license, with the right to grant sublicenses through multiple tiers solely in accordance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Section 2.2, under (i) the Licensed Patents, [***] to make, have made (on Illumina’s behalf), use, Sell, have Sold, offer for Sale, import and export Licensed Products in the Field in the Territory; and (ii) the [***], solely to the extent (A) reasonably necessary or useful to make or have made (on Illumina’s behalf) Licensed Products in the Field in the Territory; or (B) reasonably necessary to use, Sell, have Sold, offer for Sale, import and export Licensed Products in the Field in the Territory, in each of (i) and (ii), during the Non-Exclusivity Term.</w:t>
      </w:r>
    </w:p>
    <w:p>
      <w:pPr>
        <w:pStyle w:val="TextBody"/>
        <w:bidi w:val="0"/>
        <w:spacing w:before="0" w:after="24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SomaLogic, on behalf of itself and its Affiliates, hereby grants to Illumina, and Illumina hereby accepts, a non-exclusive, royalty-free, non-transferable (except as set forth in Section 14.2) license, with the right to grant sublicenses through multiple tiers solely to its Affiliates and distributors in accordance with Section 2.2 and only if subject to the restrictions set forth in this Section 2.1(b)(ii), under the [***]to (A) install or have installed unmodified or modified object code copies of the [***]; (B) Sell, in the Territory and in accordance with the restrictions stated in this Section 2.1(b)(ii), unmodified or modified object code copies of the [***]; (C) reproduce or have reproduced copies of [***] solely as necessary to exercise the rights granted in this Section 2.1(b)(ii); (D) internally use [***] to develop and commercialize [***] incorporating the [***] for use with Licensed Products, in each of (A) through (D), during the Term. Without limiting the foregoing and except as otherwise expressly provided in this Agreement, Illumina shall not at any time, directly or indirectly: (1) rent, lease, lend, sell, sublicense, assign, distribute, publish, transfer, or otherwise make available, in whole or in part, [***] to [***] other than as included in a [***]; (2) remove any proprietary notices from the [***]; or (3) use the [***] in any manner or for any</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purpose that, to Illumina’s Knowledge, infringes, misappropriates, or otherwise violates any Intellectual Property right or other right of any Person, or that violates any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Illumina, on behalf of itself and its Affiliates, hereby grants to SomaLogic, and SomaLogic hereby accepts, a non-exclusive, royalty-free, non-transferable (except as set forth in Section 14.2) license, with the right to grant sublicenses through multiple tiers solely to its Affiliates and distributors in accordance with Section 2.2, under the [***] created by Illumina to (A) install or have installed unmodified or modified object code copies of the [***]; (B) Sell, in the Territory and in accordance with the restrictions stated in this Section 2.1(b)(iii), unmodified or modified object code copies of the [***]; (C) reproduce or have reproduced copies of [***] Improvements solely as necessary to exercise the rights granted in this Section 2.1(b)(iii); (D) internally use [***] Improvements (alone or incorporated into [***]) to develop and commercialize [***] Improvements for use with SomaLogic’s products and services, in each of (A) through (D), during the Term. Without limiting the foregoing and except as otherwise expressly provided in this Agreement, SomaLogic shall not at any time, directly or indirectly: (1) rent, lease, lend, sell, sublicense, assign, distribute, publish, transfer, or otherwise make available, in whole or in part, the [***]; (2) remove any proprietary notices from the [***] Improvements; or (3) use the [***] Improvements in any manner or for any purpose that, to SomaLogic’s Knowledge, infringes, misappropriates, or otherwise violates any Intellectual Property right or other right of any Person, or that violates any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b/>
          <w:color w:val="000000"/>
          <w:sz w:val="24"/>
        </w:rPr>
        <w:t>New Section 2.1(g)</w:t>
      </w:r>
      <w:r>
        <w:rPr>
          <w:rFonts w:ascii="Times New Roman" w:hAnsi="Times New Roman"/>
          <w:color w:val="000000"/>
          <w:sz w:val="24"/>
        </w:rPr>
        <w:t>. A new Section 2.1(g) is created and inserted into the document in proper alphanumeric order, which will read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Licenses to Improvements.</w:t>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Illumina Licensed Improvement IP. SomaLogic on behalf of itself and its Affiliates, will grant, and hereby does grant, to Illumina a worldwide, non-exclusive, royalty-free, fully paid up, non-sublicensable (without the consent of SomaLogic) license under any SomaLogic Foreground IP and SomaLogic’s interest in any Joint Foreground IP that constitutes Illumina Licensed Improvement IP for use for any purpose, subject to the terms and conditions of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SomaLogic Licensed Improvement IP. Illumina, on behalf of itself and its Affiliates, will grant, and hereby does grant, to SomaLogic a worldwide, non-exclusive, royalty-free, fully paid up, non-sublicensable (without the consent of Illumina) license under any Illumina Foreground IP and Illumina’s interest in any Joint Foreground IP that constitutes SomaLogic Licensed Improvement IP for use for any purpose, subject to the terms and conditions of this Agreement; provided, however, that SomaLogic shall not be permitted to practice any Licensed Improvement IP (other than Licensed Improvement IP directed to [***]) licensed to it pursuant to this Section 2.1(g) in the field of [***].</w:t>
      </w:r>
    </w:p>
    <w:p>
      <w:pPr>
        <w:pStyle w:val="TextBody"/>
        <w:bidi w:val="0"/>
        <w:spacing w:before="0" w:after="24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b/>
          <w:color w:val="000000"/>
          <w:sz w:val="24"/>
        </w:rPr>
        <w:t>New Section 2.3(b)</w:t>
      </w:r>
      <w:r>
        <w:rPr>
          <w:rFonts w:ascii="Times New Roman" w:hAnsi="Times New Roman"/>
          <w:color w:val="000000"/>
          <w:sz w:val="24"/>
        </w:rPr>
        <w:t>. A new Section 2.3(b) is created and inserted into the document in proper alphanumeric order, which will read as follows:</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 for use in accordance with this Agreement. Within [***] ([***]) Business Days after the Omnibus Amendment Effective Date, SomaLogic shall provide to Illumina its then-current version of [***]. Thereafter during the Term, each Party will provide the other, upon written request but not more frequently than [***], its then-current [***] Improvements implemented by such Party on its own or its customers’ [***]. SomaLogic</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elect in its sole discretion to collaborate with Illumina with respect to [***] at a cost of [***] Dollars ($[***]) per installation at one of Illumina’s sites on additional terms to be agreed by the Parties.</w:t>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b/>
          <w:color w:val="000000"/>
          <w:sz w:val="24"/>
        </w:rPr>
        <w:t>Section 9.2(c)</w:t>
      </w:r>
      <w:r>
        <w:rPr>
          <w:rFonts w:ascii="Times New Roman" w:hAnsi="Times New Roman"/>
          <w:color w:val="000000"/>
          <w:sz w:val="24"/>
        </w:rPr>
        <w:t>. Section 9.2(c) is hereby deleted in its entirety and replaced with the following:</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u w:val="single"/>
        </w:rPr>
        <w:t>Disclosure of Certain Improvements</w:t>
      </w:r>
      <w:r>
        <w:rPr>
          <w:rFonts w:ascii="Times New Roman" w:hAnsi="Times New Roman"/>
          <w:color w:val="000000"/>
          <w:sz w:val="24"/>
        </w:rPr>
        <w:t>. Each Party shall promptly disclose to the other Party all Joint Foreground IP and, to the extent of its Knowledge, Licensed Improvement IP, including any invention disclosures or other similar documents submitted to such Party by its employees, consultants or contractors describing such Joint Foreground IP or Licensed Improvement IP, and shall promptly respond to reasonable requests from the other Party for additional information relating to such Joint Foreground IP or Licensed Improvement IP; provided, however, that in connection with such reasonable requests, neither Party shall be obligated to share any Intellectual Property Controlled by such Party with the other Party other than the Joint Foreground IP or Licensed Improvement IP; provided, further, that disclosure shall not be required to the extent such Joint Foreground IP or Licensed Improvement IP is already in the other Party’s possession and such other Party has acknowledged in writing its status as Joint Foreground IP or Licensed Improvement IP. Except to the extent SomaLogic has granted Illumina an exclusive license under SomaLogic’s joint ownership interest in Joint Foreground IP, and subject to Illumina’s payment, reporting and accounting obligations with respect to Licensed Products under this Agreement, each Party shall have the right to practice and use, and to grant licenses under, such Party’s own joint ownership interest in Joint Foreground IP without the other Party’s consent, and shall have no duty to account to the other Party for such practice, use or license, and each Party hereby waives any right it may have under the laws of any country to require such consent or accounting.</w:t>
      </w:r>
    </w:p>
    <w:p>
      <w:pPr>
        <w:pStyle w:val="TextBody"/>
        <w:bidi w:val="0"/>
        <w:spacing w:before="0" w:after="240"/>
        <w:jc w:val="both"/>
        <w:rPr>
          <w:rFonts w:ascii="Times New Roman" w:hAnsi="Times New Roman"/>
          <w:sz w:val="20"/>
        </w:rPr>
      </w:pPr>
      <w:r>
        <w:rPr>
          <w:rFonts w:ascii="Times New Roman" w:hAnsi="Times New Roman"/>
          <w:color w:val="000000"/>
          <w:sz w:val="24"/>
        </w:rPr>
        <w:t>(f)</w:t>
      </w:r>
      <w:r>
        <w:rPr>
          <w:rFonts w:ascii="Times New Roman" w:hAnsi="Times New Roman"/>
          <w:color w:val="000000"/>
          <w:sz w:val="20"/>
        </w:rPr>
        <w:t xml:space="preserve"> </w:t>
      </w:r>
      <w:r>
        <w:rPr>
          <w:rFonts w:ascii="Times New Roman" w:hAnsi="Times New Roman"/>
          <w:b/>
          <w:color w:val="000000"/>
          <w:sz w:val="24"/>
        </w:rPr>
        <w:t>Section 9.3</w:t>
      </w:r>
      <w:r>
        <w:rPr>
          <w:rFonts w:ascii="Times New Roman" w:hAnsi="Times New Roman"/>
          <w:color w:val="000000"/>
          <w:sz w:val="24"/>
        </w:rPr>
        <w:t>. Section 9.3 is hereby amended by adding the words “or any Licensed Improvement IP” after the words “Joint Foreground IP”.</w:t>
      </w:r>
    </w:p>
    <w:p>
      <w:pPr>
        <w:pStyle w:val="TextBody"/>
        <w:bidi w:val="0"/>
        <w:spacing w:before="0" w:after="240"/>
        <w:jc w:val="both"/>
        <w:rPr>
          <w:rFonts w:ascii="Times New Roman" w:hAnsi="Times New Roman"/>
          <w:sz w:val="20"/>
        </w:rPr>
      </w:pPr>
      <w:r>
        <w:rPr>
          <w:rFonts w:ascii="Times New Roman" w:hAnsi="Times New Roman"/>
          <w:color w:val="000000"/>
          <w:sz w:val="24"/>
        </w:rPr>
        <w:t>(g)</w:t>
      </w:r>
      <w:r>
        <w:rPr>
          <w:rFonts w:ascii="Times New Roman" w:hAnsi="Times New Roman"/>
          <w:color w:val="000000"/>
          <w:sz w:val="20"/>
        </w:rPr>
        <w:t xml:space="preserve"> </w:t>
      </w:r>
      <w:r>
        <w:rPr>
          <w:rFonts w:ascii="Times New Roman" w:hAnsi="Times New Roman"/>
          <w:b/>
          <w:color w:val="000000"/>
          <w:sz w:val="24"/>
        </w:rPr>
        <w:t>Section 9.5(a)</w:t>
      </w:r>
      <w:r>
        <w:rPr>
          <w:rFonts w:ascii="Times New Roman" w:hAnsi="Times New Roman"/>
          <w:color w:val="000000"/>
          <w:sz w:val="24"/>
        </w:rPr>
        <w:t>. Section 9.5(a) is hereby deleted in its entirety and replaced with the following:</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Notice</w:t>
      </w:r>
      <w:r>
        <w:rPr>
          <w:rFonts w:ascii="Times New Roman" w:hAnsi="Times New Roman"/>
          <w:color w:val="000000"/>
          <w:sz w:val="24"/>
        </w:rPr>
        <w:t>. If either Party becomes aware of (i) any Infringement or threatened Infringement by any Third Party of any Licensed Patent, Joint Patent, or Patent Covering any Licensed Improvement IP or (ii) any declaratory judgment, revocation or equivalent Action challenging any Licensed Patent, Joint Patent, or Patent Covering any Licensed Improvement IP in connection with any such Infringement or threatened Infringement (in each case of (i) or (ii), a “Product Infringement”), it shall promptly notify the other Party in writing to that effect. Any such notice shall include a summary of available information that would support an allegation of Infringement or threatened Infringement, or declaratory judgment or equivalent Action, by such Third Party.</w:t>
      </w:r>
    </w:p>
    <w:p>
      <w:pPr>
        <w:pStyle w:val="TextBody"/>
        <w:bidi w:val="0"/>
        <w:spacing w:before="0" w:after="240"/>
        <w:jc w:val="both"/>
        <w:rPr>
          <w:rFonts w:ascii="Times New Roman" w:hAnsi="Times New Roman"/>
          <w:sz w:val="20"/>
        </w:rPr>
      </w:pPr>
      <w:r>
        <w:rPr>
          <w:rFonts w:ascii="Times New Roman" w:hAnsi="Times New Roman"/>
          <w:color w:val="000000"/>
          <w:sz w:val="24"/>
        </w:rPr>
        <w:t>(h)</w:t>
      </w:r>
      <w:r>
        <w:rPr>
          <w:rFonts w:ascii="Times New Roman" w:hAnsi="Times New Roman"/>
          <w:color w:val="000000"/>
          <w:sz w:val="20"/>
        </w:rPr>
        <w:t xml:space="preserve"> </w:t>
      </w:r>
      <w:r>
        <w:rPr>
          <w:rFonts w:ascii="Times New Roman" w:hAnsi="Times New Roman"/>
          <w:b/>
          <w:color w:val="000000"/>
          <w:sz w:val="24"/>
        </w:rPr>
        <w:t>New Section 11.1(e)</w:t>
      </w:r>
      <w:r>
        <w:rPr>
          <w:rFonts w:ascii="Times New Roman" w:hAnsi="Times New Roman"/>
          <w:color w:val="000000"/>
          <w:sz w:val="24"/>
        </w:rPr>
        <w:t>. A new Section 11.1(e) is created and inserted into the document in proper alphanumeric order, which will read as follows:</w:t>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the development, manufacture or Commercialization of any [***] by or on behalf of SomaLogic, its Affiliates, or Sublicensees after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b/>
          <w:color w:val="000000"/>
          <w:sz w:val="24"/>
        </w:rPr>
        <w:t>New Section 11.2(e)</w:t>
      </w:r>
      <w:r>
        <w:rPr>
          <w:rFonts w:ascii="Times New Roman" w:hAnsi="Times New Roman"/>
          <w:color w:val="000000"/>
          <w:sz w:val="24"/>
        </w:rPr>
        <w:t>. A new Section 11.2(e) is created and inserted into the document in proper alphanumeric order, which will read as follows:</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color w:val="000000"/>
          <w:sz w:val="24"/>
        </w:rPr>
        <w:t>the development, manufacture or Commercialization of any [***], [***] by or on behalf of Illumina, its Affiliates, or Sublicensees after the Effective Date.</w:t>
      </w:r>
    </w:p>
    <w:p>
      <w:pPr>
        <w:pStyle w:val="TextBody"/>
        <w:bidi w:val="0"/>
        <w:spacing w:before="0" w:after="240"/>
        <w:jc w:val="both"/>
        <w:rPr>
          <w:rFonts w:ascii="Times New Roman" w:hAnsi="Times New Roman"/>
          <w:sz w:val="20"/>
        </w:rPr>
      </w:pPr>
      <w:r>
        <w:rPr>
          <w:rFonts w:ascii="Times New Roman" w:hAnsi="Times New Roman"/>
          <w:color w:val="000000"/>
          <w:sz w:val="24"/>
        </w:rPr>
        <w:t>3.</w:t>
      </w:r>
      <w:r>
        <w:rPr>
          <w:rFonts w:ascii="Times New Roman" w:hAnsi="Times New Roman"/>
          <w:color w:val="000000"/>
          <w:sz w:val="20"/>
        </w:rPr>
        <w:t xml:space="preserve"> </w:t>
      </w:r>
      <w:r>
        <w:rPr>
          <w:rFonts w:ascii="Times New Roman" w:hAnsi="Times New Roman"/>
          <w:b/>
          <w:color w:val="000000"/>
          <w:sz w:val="24"/>
        </w:rPr>
        <w:t>Amendment to Letter.</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Article 1 (Definitions)</w:t>
      </w:r>
      <w:r>
        <w:rPr>
          <w:rFonts w:ascii="Times New Roman" w:hAnsi="Times New Roman"/>
          <w:color w:val="000000"/>
          <w:sz w:val="24"/>
        </w:rPr>
        <w:t>. The following definition is added to Article 1 of the Letter in proper alphabetical order:</w:t>
      </w:r>
    </w:p>
    <w:p>
      <w:pPr>
        <w:pStyle w:val="TextBody"/>
        <w:bidi w:val="0"/>
        <w:spacing w:before="0" w:after="240"/>
        <w:jc w:val="both"/>
        <w:rPr/>
      </w:pPr>
      <w:r>
        <w:rPr>
          <w:color w:val="000000"/>
        </w:rPr>
        <w:t>“</w:t>
      </w:r>
      <w:r>
        <w:rPr>
          <w:rFonts w:ascii="Times New Roman" w:hAnsi="Times New Roman"/>
          <w:b/>
          <w:color w:val="000000"/>
          <w:sz w:val="24"/>
        </w:rPr>
        <w:t>Alternative Sample Type Assay Kit</w:t>
      </w:r>
      <w:r>
        <w:rPr>
          <w:rFonts w:ascii="Times New Roman" w:hAnsi="Times New Roman"/>
          <w:color w:val="000000"/>
          <w:sz w:val="20"/>
        </w:rPr>
        <w:t xml:space="preserve">” </w:t>
      </w:r>
      <w:r>
        <w:rPr>
          <w:rFonts w:ascii="Times New Roman" w:hAnsi="Times New Roman"/>
          <w:color w:val="000000"/>
          <w:sz w:val="24"/>
        </w:rPr>
        <w:t>means an Assay Kit, [***].</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b/>
          <w:color w:val="000000"/>
          <w:sz w:val="24"/>
        </w:rPr>
        <w:t>Section 3.a.i</w:t>
      </w:r>
      <w:r>
        <w:rPr>
          <w:rFonts w:ascii="Times New Roman" w:hAnsi="Times New Roman"/>
          <w:color w:val="000000"/>
          <w:sz w:val="24"/>
        </w:rPr>
        <w:t>. Section 3.a.i is hereby deleted in its entirety and replaced with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Illumina shall purchase [***] under this Agreement only for the following uses: (1) internal research and development of [***] by Illumina and its Affiliates in accordance with the Collaboration Agreement; or (2) developmental use of [***]. Notwithstanding anything to the contrary in this Agreement, [***] may only be used by Illumina for [***] of [***] by Illumina and its Affiliates in accordance with the Collaboration Agreement and shall not be (i) [***]; or (ii) [***].</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b/>
          <w:color w:val="000000"/>
          <w:sz w:val="24"/>
        </w:rPr>
        <w:t>Section 3.b</w:t>
      </w:r>
      <w:r>
        <w:rPr>
          <w:rFonts w:ascii="Times New Roman" w:hAnsi="Times New Roman"/>
          <w:color w:val="000000"/>
          <w:sz w:val="24"/>
        </w:rPr>
        <w:t>. Section 3.b is hereby deleted in its entirety and replaced with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expressly authorized herein or as otherwise agreed by SomaLogic and Illumina in writing, [***] are sold to Illumina solely for use by it and its Affiliates and, in accordance with Section 3(a) above (excluding [***]), External Partners. Illumina and Illumina’s Affiliates are permitted to sell, distribute, or otherwise transfer [***] only to External Partners as part of Illumina’s Early Access Program and not for any other purpose. Illumina shall not, and shall cause its Affiliates and External Partners not to, sell or otherwise transfer or distribute any [***] purchased hereunder (or any component or other part thereof) to any Third Party. For clarity, Illumina and its Affiliates shall not sell, resell, or otherwise transfer any [***] for any purpose.</w:t>
      </w:r>
    </w:p>
    <w:p>
      <w:pPr>
        <w:pStyle w:val="TextBody"/>
        <w:bidi w:val="0"/>
        <w:spacing w:before="0" w:after="240"/>
        <w:jc w:val="both"/>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b/>
          <w:color w:val="000000"/>
          <w:sz w:val="24"/>
        </w:rPr>
        <w:t>Schedule 1</w:t>
      </w:r>
      <w:r>
        <w:rPr>
          <w:rFonts w:ascii="Times New Roman" w:hAnsi="Times New Roman"/>
          <w:color w:val="000000"/>
          <w:sz w:val="24"/>
        </w:rPr>
        <w:t>. A new table is added to Schedule 1 of the Letter at the end of such Schedule 1, which will read as follows: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Pricing for [***]</w:t>
      </w:r>
      <w:r>
        <w:rPr>
          <w:rFonts w:ascii="Times New Roman" w:hAnsi="Times New Roman"/>
          <w:color w:val="000000"/>
          <w:sz w:val="20"/>
        </w:rPr>
        <w:t xml:space="preserve"> </w:t>
      </w:r>
    </w:p>
    <w:tbl>
      <w:tblPr>
        <w:tblW w:w="3872" w:type="dxa"/>
        <w:jc w:val="left"/>
        <w:tblInd w:w="0" w:type="dxa"/>
        <w:tblLayout w:type="fixed"/>
        <w:tblCellMar>
          <w:top w:w="28" w:type="dxa"/>
          <w:left w:w="28" w:type="dxa"/>
          <w:bottom w:w="28" w:type="dxa"/>
          <w:right w:w="28" w:type="dxa"/>
        </w:tblCellMar>
      </w:tblPr>
      <w:tblGrid>
        <w:gridCol w:w="3211"/>
        <w:gridCol w:w="661"/>
      </w:tblGrid>
      <w:tr>
        <w:trPr/>
        <w:tc>
          <w:tcPr>
            <w:tcW w:w="3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3211"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Product Description</w:t>
            </w:r>
          </w:p>
        </w:tc>
        <w:tc>
          <w:tcPr>
            <w:tcW w:w="66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left"/>
              <w:rPr>
                <w:rFonts w:ascii="Times New Roman" w:hAnsi="Times New Roman"/>
                <w:b/>
                <w:color w:val="000000"/>
                <w:sz w:val="22"/>
              </w:rPr>
            </w:pPr>
            <w:r>
              <w:rPr>
                <w:rFonts w:ascii="Times New Roman" w:hAnsi="Times New Roman"/>
                <w:b/>
                <w:color w:val="000000"/>
                <w:sz w:val="22"/>
              </w:rPr>
              <w:t>Price</w:t>
            </w:r>
          </w:p>
        </w:tc>
      </w:tr>
      <w:tr>
        <w:trPr/>
        <w:tc>
          <w:tcPr>
            <w:tcW w:w="321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All commercially available [***]</w:t>
            </w:r>
          </w:p>
        </w:tc>
        <w:tc>
          <w:tcPr>
            <w:tcW w:w="6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4.</w:t>
      </w:r>
      <w:r>
        <w:rPr>
          <w:rFonts w:ascii="Times New Roman" w:hAnsi="Times New Roman"/>
          <w:color w:val="000000"/>
          <w:sz w:val="20"/>
        </w:rPr>
        <w:t xml:space="preserve"> </w:t>
      </w:r>
      <w:r>
        <w:rPr>
          <w:rFonts w:ascii="Times New Roman" w:hAnsi="Times New Roman"/>
          <w:b/>
          <w:color w:val="000000"/>
          <w:sz w:val="24"/>
        </w:rPr>
        <w:t>Termination</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In the event [***], this Amendment, including all rights and licenses granted to Illumina hereunder (except as set forth in Section 4(b)(iv) of this Amendment) and any SomaLogic obligations to Illumina as set forth in this Amendment shall simultaneously and automatically terminate. Upon such termination, the terms and conditions of the Agreement, as in effect prior to the date hereof, shall be reinstated and shall continue in full force and effect as if this Amendment had not been entered into.</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Upon termination of this Amendment, the following shall occur:</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The licenses granted to Illumina or SomaLogic, respectively, pursuant to new Section 2.1(b)(ii), Section 2.1(b)(iii), Section 2.1(g)(i) and Section 2.1(g)(ii) as set forth in this Amendment (including any such revised licenses) shall automatically become irrevocable and perpetual;</w:t>
      </w:r>
    </w:p>
    <w:p>
      <w:pPr>
        <w:pStyle w:val="TextBody"/>
        <w:bidi w:val="0"/>
        <w:spacing w:before="0" w:after="240"/>
        <w:jc w:val="both"/>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within [***] ([***]) days of such termination, Illumina shall return to SomaLogic any [***] obtained pursuant to this Amendment, and, within [***] ([***]) days of receiving any such [***], SomaLogic shall refund to Illumina any amounts paid by Illumina therefor;</w:t>
      </w:r>
    </w:p>
    <w:p>
      <w:pPr>
        <w:pStyle w:val="TextBody"/>
        <w:bidi w:val="0"/>
        <w:spacing w:before="0" w:after="240"/>
        <w:jc w:val="both"/>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SomaLogic may elect in its sole discretion to continue collaborating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Section 4(b) shall survive any termination of this Amendment.</w:t>
      </w:r>
    </w:p>
    <w:p>
      <w:pPr>
        <w:pStyle w:val="TextBody"/>
        <w:bidi w:val="0"/>
        <w:spacing w:before="0" w:after="240"/>
        <w:jc w:val="both"/>
        <w:rPr>
          <w:rFonts w:ascii="Times New Roman" w:hAnsi="Times New Roman"/>
          <w:sz w:val="20"/>
        </w:rPr>
      </w:pPr>
      <w:r>
        <w:rPr>
          <w:rFonts w:ascii="Times New Roman" w:hAnsi="Times New Roman"/>
          <w:color w:val="000000"/>
          <w:sz w:val="24"/>
        </w:rPr>
        <w:t>5.</w:t>
      </w:r>
      <w:r>
        <w:rPr>
          <w:rFonts w:ascii="Times New Roman" w:hAnsi="Times New Roman"/>
          <w:color w:val="000000"/>
          <w:sz w:val="20"/>
        </w:rPr>
        <w:t xml:space="preserve"> </w:t>
      </w:r>
      <w:r>
        <w:rPr>
          <w:rFonts w:ascii="Times New Roman" w:hAnsi="Times New Roman"/>
          <w:color w:val="000000"/>
          <w:sz w:val="24"/>
        </w:rPr>
        <w:t>Except as specifically modified by this Amendment, all provisions of the Agreement and the Letter will remain in full force and effect from their respective Effective Dates.</w:t>
      </w:r>
    </w:p>
    <w:p>
      <w:pPr>
        <w:pStyle w:val="TextBody"/>
        <w:bidi w:val="0"/>
        <w:spacing w:before="0" w:after="240"/>
        <w:jc w:val="both"/>
        <w:rPr>
          <w:rFonts w:ascii="Times New Roman" w:hAnsi="Times New Roman"/>
          <w:sz w:val="20"/>
        </w:rPr>
      </w:pPr>
      <w:r>
        <w:rPr>
          <w:rFonts w:ascii="Times New Roman" w:hAnsi="Times New Roman"/>
          <w:color w:val="000000"/>
          <w:sz w:val="24"/>
        </w:rPr>
        <w:t>6.</w:t>
      </w:r>
      <w:r>
        <w:rPr>
          <w:rFonts w:ascii="Times New Roman" w:hAnsi="Times New Roman"/>
          <w:color w:val="000000"/>
          <w:sz w:val="20"/>
        </w:rPr>
        <w:t xml:space="preserve"> </w:t>
      </w:r>
      <w:r>
        <w:rPr>
          <w:rFonts w:ascii="Times New Roman" w:hAnsi="Times New Roman"/>
          <w:color w:val="000000"/>
          <w:sz w:val="24"/>
        </w:rPr>
        <w:t xml:space="preserve">Each Party warrants and represents that it </w:t>
      </w: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 xml:space="preserve">it has the right to enter into this Amendment; and </w:t>
      </w: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the terms of this Amendment are not inconsistent with other contractual obligations, expressed or implied, which it may have.</w:t>
      </w:r>
    </w:p>
    <w:p>
      <w:pPr>
        <w:pStyle w:val="TextBody"/>
        <w:bidi w:val="0"/>
        <w:spacing w:before="0" w:after="240"/>
        <w:jc w:val="both"/>
        <w:rPr>
          <w:rFonts w:ascii="Times New Roman" w:hAnsi="Times New Roman"/>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color w:val="000000"/>
          <w:sz w:val="24"/>
        </w:rPr>
        <w:t>This Amendment may be executed in one or more counterparts, each of which will be deemed to be an original and all of which, when taken together, will constitute a single legal instrument. Signature pages of this Amendment may be exchanged by facsimile or electronically as a portable document format (.pdf) file or similar electronic file and such signature pages will be deemed to be originals.</w:t>
      </w:r>
    </w:p>
    <w:p>
      <w:pPr>
        <w:pStyle w:val="TextBody"/>
        <w:bidi w:val="0"/>
        <w:spacing w:before="0" w:after="240"/>
        <w:jc w:val="both"/>
        <w:rPr>
          <w:rFonts w:ascii="Times New Roman" w:hAnsi="Times New Roman"/>
          <w:sz w:val="20"/>
        </w:rPr>
      </w:pPr>
      <w:r>
        <w:rPr>
          <w:rFonts w:ascii="Times New Roman" w:hAnsi="Times New Roman"/>
          <w:color w:val="000000"/>
          <w:sz w:val="24"/>
        </w:rPr>
        <w:t>8.</w:t>
      </w:r>
      <w:r>
        <w:rPr>
          <w:rFonts w:ascii="Times New Roman" w:hAnsi="Times New Roman"/>
          <w:color w:val="000000"/>
          <w:sz w:val="20"/>
        </w:rPr>
        <w:t xml:space="preserve"> </w:t>
      </w:r>
      <w:r>
        <w:rPr>
          <w:rFonts w:ascii="Times New Roman" w:hAnsi="Times New Roman"/>
          <w:color w:val="000000"/>
          <w:sz w:val="24"/>
        </w:rPr>
        <w:t>This Amendment, together with the Agreement and the Letter, constitutes the entire agreement between the Parties as to the subject matter of the Agreement and the Letter and supersedes and merges all prior agreements and understandings regarding the same.</w:t>
      </w:r>
    </w:p>
    <w:p>
      <w:pPr>
        <w:pStyle w:val="TextBody"/>
        <w:bidi w:val="0"/>
        <w:jc w:val="left"/>
        <w:rPr>
          <w:rFonts w:ascii="Times New Roman" w:hAnsi="Times New Roman"/>
          <w:color w:val="000000"/>
          <w:sz w:val="24"/>
        </w:rPr>
      </w:pPr>
      <w:r>
        <w:rPr>
          <w:rFonts w:ascii="Times New Roman" w:hAnsi="Times New Roman"/>
          <w:color w:val="000000"/>
          <w:sz w:val="24"/>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have executed this Omnibus Amendment as of the Amendment Effective Date.</w:t>
      </w:r>
    </w:p>
    <w:p>
      <w:pPr>
        <w:pStyle w:val="TextBody"/>
        <w:bidi w:val="0"/>
        <w:spacing w:before="0" w:after="480"/>
        <w:jc w:val="both"/>
        <w:rPr>
          <w:rFonts w:ascii="Times New Roman" w:hAnsi="Times New Roman"/>
          <w:sz w:val="20"/>
        </w:rPr>
      </w:pPr>
      <w:r>
        <w:rPr>
          <w:rFonts w:ascii="Times New Roman" w:hAnsi="Times New Roman"/>
          <w:b/>
          <w:color w:val="000000"/>
          <w:sz w:val="24"/>
        </w:rPr>
        <w:t>ILLUMINA CAMBRIDGE, LTD.</w:t>
      </w:r>
      <w:r>
        <w:rPr>
          <w:rFonts w:ascii="Times New Roman" w:hAnsi="Times New Roman"/>
          <w:color w:val="000000"/>
          <w:sz w:val="20"/>
        </w:rPr>
        <w:t xml:space="preserve"> </w:t>
      </w:r>
      <w:r>
        <w:rPr>
          <w:rFonts w:ascii="Times New Roman" w:hAnsi="Times New Roman"/>
          <w:b/>
          <w:color w:val="000000"/>
          <w:sz w:val="24"/>
        </w:rPr>
        <w:t>SOMALOGIC, INC.</w:t>
      </w:r>
    </w:p>
    <w:p>
      <w:pPr>
        <w:pStyle w:val="TextBody"/>
        <w:bidi w:val="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 Mark Robinson</w:t>
      </w:r>
      <w:r>
        <w:rPr>
          <w:rFonts w:ascii="Times New Roman" w:hAnsi="Times New Roman"/>
          <w:color w:val="000000"/>
          <w:sz w:val="20"/>
          <w:u w:val="single"/>
        </w:rPr>
        <w:t xml:space="preserve"> </w:t>
      </w: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 Micheal Egholm</w:t>
      </w:r>
      <w:r>
        <w:rPr>
          <w:rFonts w:ascii="Times New Roman" w:hAnsi="Times New Roman"/>
          <w:color w:val="000000"/>
          <w:sz w:val="20"/>
          <w:u w:val="single"/>
        </w:rPr>
        <w:t xml:space="preserve"> </w:t>
      </w:r>
    </w:p>
    <w:p>
      <w:pPr>
        <w:pStyle w:val="TextBody"/>
        <w:bidi w:val="0"/>
        <w:jc w:val="both"/>
        <w:rPr>
          <w:rFonts w:ascii="Times New Roman" w:hAnsi="Times New Roman"/>
          <w:sz w:val="20"/>
        </w:rPr>
      </w:pPr>
      <w:r>
        <w:rPr>
          <w:rFonts w:ascii="Times New Roman" w:hAnsi="Times New Roman"/>
          <w:color w:val="000000"/>
          <w:sz w:val="24"/>
        </w:rPr>
        <w:t>Name: Mark Robinson</w:t>
      </w:r>
      <w:r>
        <w:rPr>
          <w:rFonts w:ascii="Times New Roman" w:hAnsi="Times New Roman"/>
          <w:color w:val="000000"/>
          <w:sz w:val="20"/>
        </w:rPr>
        <w:t xml:space="preserve"> </w:t>
      </w:r>
      <w:r>
        <w:rPr>
          <w:rFonts w:ascii="Times New Roman" w:hAnsi="Times New Roman"/>
          <w:color w:val="000000"/>
          <w:sz w:val="24"/>
        </w:rPr>
        <w:t>Name: Michael Egholm</w:t>
      </w:r>
    </w:p>
    <w:p>
      <w:pPr>
        <w:pStyle w:val="TextBody"/>
        <w:bidi w:val="0"/>
        <w:jc w:val="both"/>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Director</w:t>
      </w:r>
      <w:r>
        <w:rPr>
          <w:rFonts w:ascii="Times New Roman" w:hAnsi="Times New Roman"/>
          <w:color w:val="000000"/>
          <w:sz w:val="20"/>
        </w:rPr>
        <w:t xml:space="preserve"> </w:t>
      </w: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President and CEO</w:t>
      </w:r>
    </w:p>
    <w:p>
      <w:pPr>
        <w:pStyle w:val="TextBody"/>
        <w:bidi w:val="0"/>
        <w:spacing w:before="0" w:after="720"/>
        <w:jc w:val="both"/>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June 23, 2025</w:t>
      </w:r>
      <w:r>
        <w:rPr>
          <w:rFonts w:ascii="Times New Roman" w:hAnsi="Times New Roman"/>
          <w:color w:val="000000"/>
          <w:sz w:val="20"/>
        </w:rPr>
        <w:t xml:space="preserve"> </w:t>
      </w: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June 23, 2025</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Solely for purposes of Section 11.7 of the </w:t>
        <w:br/>
        <w:t>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ILLUMINA, INC.</w:t>
      </w:r>
    </w:p>
    <w:p>
      <w:pPr>
        <w:pStyle w:val="TextBody"/>
        <w:bidi w:val="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rPr>
        <w:t xml:space="preserve"> </w:t>
      </w:r>
      <w:r>
        <w:rPr>
          <w:rFonts w:ascii="Times New Roman" w:hAnsi="Times New Roman"/>
          <w:color w:val="000000"/>
          <w:sz w:val="24"/>
          <w:u w:val="single"/>
        </w:rPr>
        <w:t>/s/ Jacob Thaysen</w:t>
      </w:r>
      <w:r>
        <w:rPr>
          <w:rFonts w:ascii="Times New Roman" w:hAnsi="Times New Roman"/>
          <w:color w:val="000000"/>
          <w:sz w:val="20"/>
          <w:u w:val="single"/>
        </w:rPr>
        <w:t xml:space="preserve"> </w:t>
      </w:r>
    </w:p>
    <w:p>
      <w:pPr>
        <w:pStyle w:val="TextBody"/>
        <w:bidi w:val="0"/>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rPr>
        <w:t xml:space="preserve"> </w:t>
      </w:r>
      <w:r>
        <w:rPr>
          <w:rFonts w:ascii="Times New Roman" w:hAnsi="Times New Roman"/>
          <w:color w:val="000000"/>
          <w:sz w:val="24"/>
        </w:rPr>
        <w:t>Jacob Thaysen</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Title:</w:t>
      </w:r>
      <w:r>
        <w:rPr>
          <w:rFonts w:ascii="Times New Roman" w:hAnsi="Times New Roman"/>
          <w:color w:val="000000"/>
          <w:sz w:val="20"/>
        </w:rPr>
        <w:t xml:space="preserve"> </w:t>
      </w:r>
      <w:r>
        <w:rPr>
          <w:rFonts w:ascii="Times New Roman" w:hAnsi="Times New Roman"/>
          <w:color w:val="000000"/>
          <w:sz w:val="24"/>
        </w:rPr>
        <w:t>Chief Executive Officer</w:t>
      </w:r>
    </w:p>
    <w:p>
      <w:pPr>
        <w:pStyle w:val="TextBody"/>
        <w:bidi w:val="0"/>
        <w:spacing w:before="0" w:after="240"/>
        <w:jc w:val="both"/>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r>
        <w:rPr>
          <w:rFonts w:ascii="Times New Roman" w:hAnsi="Times New Roman"/>
          <w:color w:val="000000"/>
          <w:sz w:val="24"/>
        </w:rPr>
        <w:t>June 23, 2025</w:t>
      </w:r>
    </w:p>
    <w:p>
      <w:pPr>
        <w:pStyle w:val="TextBody"/>
        <w:bidi w:val="0"/>
        <w:jc w:val="left"/>
        <w:rPr/>
      </w:pPr>
      <w:r>
        <w:rPr/>
        <w:t> </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 = CERTAIN CONFIDENTIAL INFORMATION CONTAINED IN THIS DOCUMENT, MARKED BY BRACKETS, HAS BEEN OMITTED BECAUSE THE INFORMATION (I) IS NOT MATERIAL AND (II) IS THE TYPE THAT THE REGISTRANT TREATS AS PRIVATE OR CONFIDENTIAL.</w:t>
      </w:r>
    </w:p>
    <w:p>
      <w:pPr>
        <w:pStyle w:val="HorizontalLine"/>
        <w:pBdr>
          <w:bottom w:val="double" w:sz="2" w:space="0" w:color="808080"/>
        </w:pBdr>
        <w:bidi w:val="0"/>
        <w:spacing w:before="0" w:after="283"/>
        <w:jc w:val="left"/>
        <w:rPr/>
      </w:pPr>
      <w:r>
        <w:rPr/>
      </w:r>
    </w:p>
    <w:p>
      <w:pPr>
        <w:pStyle w:val="TextBody"/>
        <w:bidi w:val="0"/>
        <w:jc w:val="left"/>
        <w:rPr/>
      </w:pPr>
      <w:bookmarkStart w:id="34" w:name="lab-ex31_1.htm"/>
      <w:bookmarkStart w:id="35" w:name="kslabex31_1"/>
      <w:bookmarkEnd w:id="34"/>
      <w:bookmarkEnd w:id="35"/>
      <w:r>
        <w:rPr/>
        <w:t> </w:t>
      </w:r>
      <w:r>
        <w:br w:type="page"/>
      </w:r>
    </w:p>
    <w:p>
      <w:pPr>
        <w:pStyle w:val="TextBody"/>
        <w:bidi w:val="0"/>
        <w:jc w:val="right"/>
        <w:rPr>
          <w:rFonts w:ascii="Times New Roman" w:hAnsi="Times New Roman"/>
          <w:b/>
          <w:color w:val="000000"/>
          <w:sz w:val="20"/>
        </w:rPr>
      </w:pPr>
      <w:bookmarkStart w:id="36" w:name="section1"/>
      <w:bookmarkEnd w:id="36"/>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PRESIDENT AND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677" w:type="dxa"/>
        <w:jc w:val="left"/>
        <w:tblInd w:w="0" w:type="dxa"/>
        <w:tblLayout w:type="fixed"/>
        <w:tblCellMar>
          <w:top w:w="28" w:type="dxa"/>
          <w:left w:w="28" w:type="dxa"/>
          <w:bottom w:w="28" w:type="dxa"/>
          <w:right w:w="28" w:type="dxa"/>
        </w:tblCellMar>
      </w:tblPr>
      <w:tblGrid>
        <w:gridCol w:w="1951"/>
        <w:gridCol w:w="109"/>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15,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lab-ex31_2.htm"/>
      <w:bookmarkStart w:id="38" w:name="kslabex31_2"/>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SECURITIES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Standard BioTools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6269" w:type="dxa"/>
        <w:jc w:val="left"/>
        <w:tblInd w:w="0" w:type="dxa"/>
        <w:tblLayout w:type="fixed"/>
        <w:tblCellMar>
          <w:top w:w="28" w:type="dxa"/>
          <w:left w:w="28" w:type="dxa"/>
          <w:bottom w:w="28" w:type="dxa"/>
          <w:right w:w="28" w:type="dxa"/>
        </w:tblCellMar>
      </w:tblPr>
      <w:tblGrid>
        <w:gridCol w:w="1951"/>
        <w:gridCol w:w="146"/>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15,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lab-ex32_1.htm"/>
      <w:bookmarkStart w:id="40" w:name="kslabex32_1"/>
      <w:bookmarkEnd w:id="39"/>
      <w:bookmarkEnd w:id="40"/>
      <w:r>
        <w:rPr/>
        <w:t> </w:t>
      </w:r>
      <w:r>
        <w:br w:type="page"/>
      </w:r>
    </w:p>
    <w:p>
      <w:pPr>
        <w:pStyle w:val="TextBody"/>
        <w:bidi w:val="0"/>
        <w:jc w:val="right"/>
        <w:rPr>
          <w:rFonts w:ascii="Times New Roman" w:hAnsi="Times New Roman"/>
          <w:b/>
          <w:color w:val="000000"/>
          <w:sz w:val="20"/>
        </w:rPr>
      </w:pPr>
      <w:bookmarkStart w:id="41" w:name="section11"/>
      <w:bookmarkEnd w:id="41"/>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Egholm, Ph.D., the Chief Executive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June 30, 2025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568" w:type="dxa"/>
        <w:jc w:val="left"/>
        <w:tblInd w:w="0" w:type="dxa"/>
        <w:tblLayout w:type="fixed"/>
        <w:tblCellMar>
          <w:top w:w="28" w:type="dxa"/>
          <w:left w:w="28" w:type="dxa"/>
          <w:bottom w:w="28" w:type="dxa"/>
          <w:right w:w="28" w:type="dxa"/>
        </w:tblCellMar>
      </w:tblPr>
      <w:tblGrid>
        <w:gridCol w:w="1951"/>
        <w:gridCol w:w="406"/>
        <w:gridCol w:w="32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15,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Egholm,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Egholm, Ph.D.</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lab-ex32_2.htm"/>
      <w:bookmarkStart w:id="43" w:name="kslabex32_2"/>
      <w:bookmarkEnd w:id="42"/>
      <w:bookmarkEnd w:id="43"/>
      <w:r>
        <w:rPr/>
        <w:t> </w:t>
      </w:r>
      <w:r>
        <w:br w:type="page"/>
      </w:r>
    </w:p>
    <w:p>
      <w:pPr>
        <w:pStyle w:val="TextBody"/>
        <w:bidi w:val="0"/>
        <w:jc w:val="right"/>
        <w:rPr>
          <w:rFonts w:ascii="Times New Roman" w:hAnsi="Times New Roman"/>
          <w:b/>
          <w:color w:val="000000"/>
          <w:sz w:val="20"/>
        </w:rPr>
      </w:pPr>
      <w:bookmarkStart w:id="44" w:name="section12"/>
      <w:bookmarkEnd w:id="44"/>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sz w:val="20"/>
        </w:rPr>
      </w:pPr>
      <w:r>
        <w:rPr>
          <w:rFonts w:ascii="Times New Roman" w:hAnsi="Times New Roman"/>
          <w:b/>
          <w:color w:val="000000"/>
          <w:sz w:val="20"/>
        </w:rPr>
        <w:t>PURSUANT TO 18 U.S.C. SECTION 1350,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Kim, the Chief Financial Officer of Standard BioTools Inc. (the “Company”), certify for the purposes of 18 U.S.C. Section 1350, as adopted pursuant to Section 906 of the Sarbanes-Oxley Act of 2002, that, to the best of my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June 30, 2025 (the “Report”) fully complies with the requirements of Section 13(a) or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1951"/>
        <w:gridCol w:w="406"/>
        <w:gridCol w:w="3766"/>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15, 2025</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Kim</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62194/000110465925061438/tm2518613d1_ex2-1.htm" TargetMode="External"/><Relationship Id="rId4" Type="http://schemas.openxmlformats.org/officeDocument/2006/relationships/hyperlink" Target="https://www.sec.gov/Archives/edgar/data/1162194/000119312511078412/dex31.htm" TargetMode="External"/><Relationship Id="rId5" Type="http://schemas.openxmlformats.org/officeDocument/2006/relationships/hyperlink" Target="https://www.sec.gov/Archives/edgar/data/1162194/000119312522093794/d300506dex48.htm" TargetMode="External"/><Relationship Id="rId6" Type="http://schemas.openxmlformats.org/officeDocument/2006/relationships/hyperlink" Target="https://www.sec.gov/Archives/edgar/data/1162194/000119312522093794/d300506dex43.htm" TargetMode="External"/><Relationship Id="rId7" Type="http://schemas.openxmlformats.org/officeDocument/2006/relationships/hyperlink" Target="https://www.sec.gov/Archives/edgar/data/1162194/000110465924001640/tm2333984d3_ex3-1.htm" TargetMode="External"/><Relationship Id="rId8" Type="http://schemas.openxmlformats.org/officeDocument/2006/relationships/hyperlink" Target="https://www.sec.gov/Archives/edgar/data/1162194/000095017025088519/lab-ex10_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22718</Words>
  <Characters>125801</Characters>
  <CharactersWithSpaces>149764</CharactersWithSpaces>
  <Paragraphs>7269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