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59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593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Loh Jeremy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02/09/2011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250A TWIN DOLPHIN DRIVE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REDWOOD</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94065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8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9"/>
              </w:rPr>
              <w:t>Series E Preferred Warrant (Right to Buy)</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jc w:val="center"/>
              <w:ind w:left="100"/>
              <w:spacing w:after="0"/>
              <w:rPr>
                <w:sz w:val="20"/>
                <w:szCs w:val="20"/>
                <w:color w:val="auto"/>
              </w:rPr>
            </w:pPr>
            <w:r>
              <w:rPr>
                <w:rFonts w:ascii="Arial" w:cs="Arial" w:eastAsia="Arial" w:hAnsi="Arial"/>
                <w:sz w:val="18"/>
                <w:szCs w:val="18"/>
                <w:color w:val="0000FF"/>
                <w:w w:val="84"/>
              </w:rPr>
              <w:t>43,853</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(3)(4)(5)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(6)</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jc w:val="center"/>
              <w:ind w:left="100"/>
              <w:spacing w:after="0"/>
              <w:rPr>
                <w:sz w:val="20"/>
                <w:szCs w:val="20"/>
                <w:color w:val="auto"/>
              </w:rPr>
            </w:pPr>
            <w:r>
              <w:rPr>
                <w:rFonts w:ascii="Arial" w:cs="Arial" w:eastAsia="Arial" w:hAnsi="Arial"/>
                <w:sz w:val="18"/>
                <w:szCs w:val="18"/>
                <w:color w:val="0000FF"/>
                <w:w w:val="83"/>
              </w:rPr>
              <w:t>1,047,955</w:t>
            </w:r>
            <w:r>
              <w:rPr>
                <w:rFonts w:ascii="Arial" w:cs="Arial" w:eastAsia="Arial" w:hAnsi="Arial"/>
                <w:sz w:val="22"/>
                <w:szCs w:val="22"/>
                <w:color w:val="008000"/>
                <w:w w:val="83"/>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(3)(4)(5)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jc w:val="center"/>
              <w:ind w:left="100"/>
              <w:spacing w:after="0"/>
              <w:rPr>
                <w:sz w:val="20"/>
                <w:szCs w:val="20"/>
                <w:color w:val="auto"/>
              </w:rPr>
            </w:pPr>
            <w:r>
              <w:rPr>
                <w:rFonts w:ascii="Arial" w:cs="Arial" w:eastAsia="Arial" w:hAnsi="Arial"/>
                <w:sz w:val="18"/>
                <w:szCs w:val="18"/>
                <w:color w:val="0000FF"/>
                <w:w w:val="84"/>
              </w:rPr>
              <w:t>623,531</w:t>
            </w:r>
            <w:r>
              <w:rPr>
                <w:rFonts w:ascii="Arial" w:cs="Arial" w:eastAsia="Arial" w:hAnsi="Arial"/>
                <w:sz w:val="22"/>
                <w:szCs w:val="22"/>
                <w:color w:val="008000"/>
                <w:w w:val="84"/>
                <w:vertAlign w:val="superscript"/>
              </w:rPr>
              <w:t>(7)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(3)(4)(5)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1"/>
                <w:szCs w:val="11"/>
                <w:color w:val="008000"/>
              </w:rPr>
              <w:t>(7)</w:t>
            </w:r>
          </w:p>
        </w:tc>
        <w:tc>
          <w:tcPr>
            <w:tcW w:w="1820" w:type="dxa"/>
            <w:vAlign w:val="bottom"/>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tcPr>
          <w:p>
            <w:pPr>
              <w:jc w:val="center"/>
              <w:ind w:left="100"/>
              <w:spacing w:after="0"/>
              <w:rPr>
                <w:sz w:val="20"/>
                <w:szCs w:val="20"/>
                <w:color w:val="auto"/>
              </w:rPr>
            </w:pPr>
            <w:r>
              <w:rPr>
                <w:rFonts w:ascii="Arial" w:cs="Arial" w:eastAsia="Arial" w:hAnsi="Arial"/>
                <w:sz w:val="18"/>
                <w:szCs w:val="18"/>
                <w:color w:val="0000FF"/>
                <w:w w:val="84"/>
              </w:rPr>
              <w:t>128,025</w:t>
            </w:r>
            <w:r>
              <w:rPr>
                <w:rFonts w:ascii="Arial" w:cs="Arial" w:eastAsia="Arial" w:hAnsi="Arial"/>
                <w:sz w:val="22"/>
                <w:szCs w:val="22"/>
                <w:color w:val="008000"/>
                <w:w w:val="84"/>
                <w:vertAlign w:val="superscript"/>
              </w:rPr>
              <w:t>(7)</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gridSpan w:val="2"/>
          </w:tcPr>
          <w:p>
            <w:pPr>
              <w:ind w:left="10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(4)(5)(8)</w:t>
            </w: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38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top w:val="single" w:sz="8" w:color="2C2C2C"/>
              <w:bottom w:val="single" w:sz="8" w:color="2C2C2C"/>
            </w:tcBorders>
          </w:tcPr>
          <w:p>
            <w:pPr>
              <w:jc w:val="right"/>
              <w:ind w:right="318"/>
              <w:spacing w:after="0"/>
              <w:rPr>
                <w:sz w:val="20"/>
                <w:szCs w:val="20"/>
                <w:color w:val="auto"/>
              </w:rPr>
            </w:pPr>
            <w:r>
              <w:rPr>
                <w:rFonts w:ascii="Arial" w:cs="Arial" w:eastAsia="Arial" w:hAnsi="Arial"/>
                <w:sz w:val="11"/>
                <w:szCs w:val="11"/>
                <w:color w:val="008000"/>
              </w:rPr>
              <w:t>(9)</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820" w:type="dxa"/>
            <w:vAlign w:val="bottom"/>
            <w:tcBorders>
              <w:top w:val="single" w:sz="8" w:color="2C2C2C"/>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tcBorders>
              <w:top w:val="single" w:sz="8" w:color="2C2C2C"/>
              <w:bottom w:val="single" w:sz="8" w:color="2C2C2C"/>
            </w:tcBorders>
          </w:tcPr>
          <w:p>
            <w:pPr>
              <w:jc w:val="center"/>
              <w:ind w:left="100"/>
              <w:spacing w:after="0"/>
              <w:rPr>
                <w:sz w:val="20"/>
                <w:szCs w:val="20"/>
                <w:color w:val="auto"/>
              </w:rPr>
            </w:pPr>
            <w:r>
              <w:rPr>
                <w:rFonts w:ascii="Arial" w:cs="Arial" w:eastAsia="Arial" w:hAnsi="Arial"/>
                <w:sz w:val="18"/>
                <w:szCs w:val="18"/>
                <w:color w:val="0000FF"/>
                <w:w w:val="84"/>
              </w:rPr>
              <w:t>8,670</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8.38</w:t>
            </w:r>
          </w:p>
        </w:tc>
        <w:tc>
          <w:tcPr>
            <w:tcW w:w="880" w:type="dxa"/>
            <w:vAlign w:val="bottom"/>
            <w:tcBorders>
              <w:top w:val="single" w:sz="8" w:color="2C2C2C"/>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79"/>
                <w:vertAlign w:val="subscript"/>
              </w:rPr>
              <w:t>D</w:t>
            </w:r>
            <w:r>
              <w:rPr>
                <w:rFonts w:ascii="Arial" w:cs="Arial" w:eastAsia="Arial" w:hAnsi="Arial"/>
                <w:sz w:val="11"/>
                <w:szCs w:val="11"/>
                <w:color w:val="008000"/>
                <w:w w:val="79"/>
              </w:rPr>
              <w:t>(5)</w:t>
            </w:r>
          </w:p>
        </w:tc>
        <w:tc>
          <w:tcPr>
            <w:tcW w:w="15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E Preferred Stock into 1.3 shares of Common Stock to occur upon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Expires immediately prior to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Biomedical Sciences Investment Fund Pte ltd is the record holder of the securities reported on Lines 1, 2 and 3 of Table II.</w:t>
      </w:r>
    </w:p>
    <w:p>
      <w:pPr>
        <w:spacing w:after="0" w:line="41" w:lineRule="exact"/>
        <w:rPr>
          <w:rFonts w:ascii="Arial" w:cs="Arial" w:eastAsia="Arial" w:hAnsi="Arial"/>
          <w:sz w:val="14"/>
          <w:szCs w:val="14"/>
          <w:color w:val="008000"/>
        </w:rPr>
      </w:pPr>
    </w:p>
    <w:p>
      <w:pPr>
        <w:ind w:left="40" w:right="8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EDB Investments Pte Ltd, or EDB Investments, is the parent entity of Biomedical Sciences Investment Fund Pte Ltd and Singapore Bio-Innovations Pte Ltd. The Economic Development Board of Singapore, or EDB, is the parent entity of EDB Investments. EDB is a Singapore government entity. EDB Investments, EDB and the Singapore government may be deemed to have shared voting and dispositive power over the shares owned beneficially and of record by Biomedical Sciences Investment Fund Pte Ltd and Singapore Bio-Innovations Pte Ltd. Jeremy Loh, the reporting person, is a member of the Issuer's Board of Directors and a Vice President (Investments), San Francisco Center for EDB Investments Pte Ltd, Singapore. Dr. Loh disclaims beneficial ownership of these shares, except to the extent of his pecuniary interest in such shares.</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on February 3, 2011 (Commission File No. 333-170965).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has no expiration date.</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C Preferred Stock and Series D Preferred Stock into one share of Common Stock to occur upon the closing of the Issuer's initial public offering. Each share has no expiration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Singapore Bio-Innovations Pte Ltd is the record holder of the securities reported on Line 4 of Table II.</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1/12th of the shares subject to such Option shall vest on each monthly anniversary of November 30, 2010 (the "Vesting Commencement Date"), such that the Option will be fully vested on the first annual anniversary of the Vesting Commencement Date. The Option shall expire on January 6, 2021.</w:t>
      </w:r>
    </w:p>
    <w:p>
      <w:pPr>
        <w:ind w:left="6860"/>
        <w:spacing w:after="0" w:line="183" w:lineRule="auto"/>
        <w:rPr>
          <w:sz w:val="20"/>
          <w:szCs w:val="20"/>
          <w:color w:val="auto"/>
        </w:rPr>
      </w:pPr>
      <w:r>
        <w:rPr>
          <w:rFonts w:ascii="Arial" w:cs="Arial" w:eastAsia="Arial" w:hAnsi="Arial"/>
          <w:sz w:val="17"/>
          <w:szCs w:val="17"/>
          <w:color w:val="0000FF"/>
        </w:rPr>
        <w:t xml:space="preserve">Stephanie K. Sterling, attorney- </w:t>
      </w:r>
      <w:r>
        <w:rPr>
          <w:rFonts w:ascii="Arial" w:cs="Arial" w:eastAsia="Arial" w:hAnsi="Arial"/>
          <w:sz w:val="33"/>
          <w:szCs w:val="33"/>
          <w:color w:val="0000FF"/>
          <w:vertAlign w:val="subscript"/>
        </w:rPr>
        <w:t>02/09/2011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47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Jeremy Loh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05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58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5059"/>
        <w:spacing w:after="0" w:line="268" w:lineRule="auto"/>
        <w:rPr>
          <w:sz w:val="20"/>
          <w:szCs w:val="20"/>
          <w:color w:val="auto"/>
        </w:rPr>
      </w:pPr>
      <w:r>
        <w:rPr>
          <w:rFonts w:ascii="Courier New" w:cs="Courier New" w:eastAsia="Courier New" w:hAnsi="Courier New"/>
          <w:sz w:val="16"/>
          <w:szCs w:val="16"/>
          <w:color w:val="auto"/>
        </w:rPr>
        <w:t>The undersigned, as a Section 16 reporting person of Fluidigm Corporation (the Company) hereby constitutes and appoints the responsible attorneys and paralegals of Gibson, Dunn Crutcher LLP, and each of them, as the undersigned's true and lawful attorney-in-fact to:</w:t>
      </w:r>
    </w:p>
    <w:p>
      <w:pPr>
        <w:spacing w:after="0" w:line="1" w:lineRule="exact"/>
        <w:rPr>
          <w:sz w:val="20"/>
          <w:szCs w:val="20"/>
          <w:color w:val="auto"/>
        </w:rPr>
      </w:pPr>
    </w:p>
    <w:p>
      <w:pPr>
        <w:ind w:right="5159" w:firstLine="8"/>
        <w:spacing w:after="0" w:line="268"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 w:lineRule="exact"/>
        <w:rPr>
          <w:rFonts w:ascii="Courier New" w:cs="Courier New" w:eastAsia="Courier New" w:hAnsi="Courier New"/>
          <w:sz w:val="16"/>
          <w:szCs w:val="16"/>
          <w:color w:val="auto"/>
        </w:rPr>
      </w:pPr>
    </w:p>
    <w:p>
      <w:pPr>
        <w:ind w:right="525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7" w:lineRule="exact"/>
        <w:rPr>
          <w:rFonts w:ascii="Courier New" w:cs="Courier New" w:eastAsia="Courier New" w:hAnsi="Courier New"/>
          <w:sz w:val="18"/>
          <w:szCs w:val="18"/>
          <w:color w:val="auto"/>
        </w:rPr>
      </w:pPr>
    </w:p>
    <w:p>
      <w:pPr>
        <w:ind w:right="52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w:t>
      </w:r>
    </w:p>
    <w:p>
      <w:pPr>
        <w:spacing w:after="0" w:line="185" w:lineRule="exact"/>
        <w:rPr>
          <w:rFonts w:ascii="Courier New" w:cs="Courier New" w:eastAsia="Courier New" w:hAnsi="Courier New"/>
          <w:sz w:val="18"/>
          <w:szCs w:val="18"/>
          <w:color w:val="auto"/>
        </w:rPr>
      </w:pPr>
    </w:p>
    <w:p>
      <w:pPr>
        <w:ind w:right="5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any of the undersigned's responsibilities to comply with Section 16 of the Securities Exchange Act of 1934 (as amended).</w:t>
      </w:r>
    </w:p>
    <w:p>
      <w:pPr>
        <w:spacing w:after="0" w:line="4" w:lineRule="exact"/>
        <w:rPr>
          <w:rFonts w:ascii="Courier New" w:cs="Courier New" w:eastAsia="Courier New" w:hAnsi="Courier New"/>
          <w:sz w:val="18"/>
          <w:szCs w:val="18"/>
          <w:color w:val="auto"/>
        </w:rPr>
      </w:pPr>
    </w:p>
    <w:p>
      <w:pPr>
        <w:ind w:right="5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 IN WITNESS WHEREOF, the undersigned has caused this Power of Attorney to be executed as of this 8th day of February, 2011.</w:t>
      </w:r>
    </w:p>
    <w:p>
      <w:pPr>
        <w:spacing w:after="0" w:line="21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Jeremy Loh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11848"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2019-12-18T16:35:46Z</dcterms:created>
  <dcterms:modified xsi:type="dcterms:W3CDTF">2019-12-18T16:35:46Z</dcterms:modified>
</cp:coreProperties>
</file>