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September 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Fluidigm Corporation</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7"/>
          <w:szCs w:val="17"/>
          <w:b w:val="1"/>
          <w:bCs w:val="1"/>
          <w:color w:val="auto"/>
        </w:rPr>
        <w:t>001-34180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77-0513190</w:t>
      </w:r>
    </w:p>
    <w:p>
      <w:pPr>
        <w:spacing w:after="0" w:line="67" w:lineRule="exact"/>
        <w:rPr>
          <w:sz w:val="24"/>
          <w:szCs w:val="24"/>
          <w:color w:val="auto"/>
        </w:rPr>
      </w:pPr>
    </w:p>
    <w:p>
      <w:pPr>
        <w:sectPr>
          <w:pgSz w:w="11900" w:h="16838" w:orient="portrait"/>
          <w:cols w:equalWidth="0" w:num="3">
            <w:col w:w="4640" w:space="720"/>
            <w:col w:w="2920" w:space="720"/>
            <w:col w:w="2240"/>
          </w:cols>
          <w:pgMar w:left="320" w:top="556" w:right="339" w:bottom="1440" w:gutter="0" w:footer="0" w:header="0"/>
          <w:type w:val="continuous"/>
        </w:sectPr>
      </w:pPr>
    </w:p>
    <w:p>
      <w:pPr>
        <w:jc w:val="center"/>
        <w:ind w:right="70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7"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540" w:space="720"/>
            <w:col w:w="2800" w:space="720"/>
            <w:col w:w="2460"/>
          </w:cols>
          <w:pgMar w:left="320" w:top="556" w:right="339" w:bottom="1440" w:gutter="0" w:footer="0" w:header="0"/>
          <w:type w:val="continuous"/>
        </w:sectPr>
      </w:pP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 Tower Place, Suite 2000, South San Francisco, California 94080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556" w:right="339" w:bottom="1440" w:gutter="0" w:footer="0" w:header="0"/>
          <w:type w:val="continuous"/>
        </w:sectPr>
      </w:pPr>
    </w:p>
    <w:p>
      <w:pPr>
        <w:spacing w:after="0" w:line="23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89" w:lineRule="exact"/>
        <w:rPr>
          <w:sz w:val="24"/>
          <w:szCs w:val="24"/>
          <w:color w:val="auto"/>
        </w:rPr>
      </w:pPr>
    </w:p>
    <w:p>
      <w:pPr>
        <w:ind w:left="580" w:hanging="37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9" w:lineRule="exact"/>
        <w:rPr>
          <w:rFonts w:ascii="MS PGothic" w:cs="MS PGothic" w:eastAsia="MS PGothic" w:hAnsi="MS PGothic"/>
          <w:sz w:val="18"/>
          <w:szCs w:val="18"/>
          <w:color w:val="auto"/>
        </w:rPr>
      </w:pPr>
    </w:p>
    <w:p>
      <w:pPr>
        <w:ind w:left="580" w:hanging="37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37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37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FLDM</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306"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firstLine="389"/>
        <w:spacing w:after="0" w:line="276" w:lineRule="auto"/>
        <w:rPr>
          <w:sz w:val="20"/>
          <w:szCs w:val="20"/>
          <w:color w:val="auto"/>
        </w:rPr>
      </w:pPr>
      <w:r>
        <w:rPr>
          <w:rFonts w:ascii="Times New Roman" w:cs="Times New Roman" w:eastAsia="Times New Roman" w:hAnsi="Times New Roman"/>
          <w:sz w:val="17"/>
          <w:szCs w:val="17"/>
          <w:color w:val="auto"/>
        </w:rPr>
        <w:t>From August 13, 2020 through September 3, 2020, Fluidigm Corporation (the “Company”) sold a total of 2,479,517 shares of its common stock for aggregate gross proceeds of approximately $20.9 million before commissions and offering expenses under its previously announced “at-the-market” equity</w:t>
      </w:r>
    </w:p>
    <w:p>
      <w:pPr>
        <w:spacing w:after="0" w:line="1" w:lineRule="exact"/>
        <w:rPr>
          <w:sz w:val="20"/>
          <w:szCs w:val="20"/>
          <w:color w:val="auto"/>
        </w:rPr>
      </w:pPr>
    </w:p>
    <w:p>
      <w:pPr>
        <w:ind w:right="340"/>
        <w:spacing w:after="0" w:line="209" w:lineRule="auto"/>
        <w:rPr>
          <w:sz w:val="20"/>
          <w:szCs w:val="20"/>
          <w:color w:val="auto"/>
        </w:rPr>
      </w:pPr>
      <w:r>
        <w:rPr>
          <w:rFonts w:ascii="Times New Roman" w:cs="Times New Roman" w:eastAsia="Times New Roman" w:hAnsi="Times New Roman"/>
          <w:sz w:val="18"/>
          <w:szCs w:val="18"/>
          <w:color w:val="auto"/>
        </w:rPr>
        <w:t>offering program. The sales were completed pursuant to the Open Market Sale Agreement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with Jefferies LLC dated as of March 4, 2020, which the Company filed as an exhibit to a Current Report on Form 8-K filed with the Securities and Exchange Commission on March 5, 2020.</w:t>
      </w:r>
    </w:p>
    <w:p>
      <w:pPr>
        <w:spacing w:after="0" w:line="20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shares were issued pursuant to the Company’s effective shelf registration statement on Form S-3 (File No. 333-230383), as amended. The offering was made only by means of a written prospectus and prospectus supplements that form a part of the registration statement.</w:t>
      </w:r>
    </w:p>
    <w:p>
      <w:pPr>
        <w:spacing w:after="0" w:line="16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This Current Report does not constitute an offer to sell or the solicitation of an offer to buy the securities discussed herein, nor shall there be any sale of such securities in any state or jurisdiction in which such offer, solicitation or sale would be unlawful prior to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FLUIDIGM CORPORATION</w:t>
      </w:r>
    </w:p>
    <w:p>
      <w:pPr>
        <w:spacing w:after="0" w:line="229" w:lineRule="exact"/>
        <w:rPr>
          <w:sz w:val="20"/>
          <w:szCs w:val="20"/>
          <w:color w:val="auto"/>
        </w:rPr>
      </w:pPr>
    </w:p>
    <w:p>
      <w:pPr>
        <w:spacing w:after="0"/>
        <w:tabs>
          <w:tab w:leader="none" w:pos="5620" w:val="left"/>
          <w:tab w:leader="none" w:pos="6400" w:val="left"/>
        </w:tabs>
        <w:rPr>
          <w:sz w:val="20"/>
          <w:szCs w:val="20"/>
          <w:color w:val="auto"/>
        </w:rPr>
      </w:pPr>
      <w:r>
        <w:rPr>
          <w:rFonts w:ascii="Times New Roman" w:cs="Times New Roman" w:eastAsia="Times New Roman" w:hAnsi="Times New Roman"/>
          <w:sz w:val="18"/>
          <w:szCs w:val="18"/>
          <w:color w:val="auto"/>
        </w:rPr>
        <w:t>Date: September 8,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Vikram Jog</w:t>
      </w:r>
    </w:p>
    <w:p>
      <w:pPr>
        <w:spacing w:after="0" w:line="2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600"/>
      </w:cols>
      <w:pgMar w:left="320" w:top="576"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2020-09-08T05:15:36Z</dcterms:created>
  <dcterms:modified xsi:type="dcterms:W3CDTF">2020-09-08T05:15:36Z</dcterms:modified>
</cp:coreProperties>
</file>