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4"/>
                <w:szCs w:val="14"/>
                <w:color w:val="auto"/>
                <w:w w:val="95"/>
              </w:rPr>
              <w:t>4. If Amendment, Date of Original Filed (Month/Day/Year)</w:t>
            </w:r>
          </w:p>
        </w:tc>
        <w:tc>
          <w:tcPr>
            <w:tcW w:w="3880" w:type="dxa"/>
            <w:vAlign w:val="bottom"/>
            <w:tcBorders>
              <w:top w:val="single" w:sz="8" w:color="2C2C2C"/>
              <w:bottom w:val="single" w:sz="8" w:color="2C2C2C"/>
            </w:tcBorders>
            <w:gridSpan w:val="6"/>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388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388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ind w:left="220"/>
              <w:spacing w:after="0" w:line="102"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434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tcPr>
          <w:p>
            <w:pPr>
              <w:ind w:left="4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40" w:type="dxa"/>
            <w:vAlign w:val="bottom"/>
            <w:gridSpan w:val="2"/>
            <w:vMerge w:val="restart"/>
          </w:tcPr>
          <w:p>
            <w:pPr>
              <w:ind w:left="540"/>
              <w:spacing w:after="0"/>
              <w:rPr>
                <w:sz w:val="20"/>
                <w:szCs w:val="20"/>
                <w:color w:val="auto"/>
              </w:rPr>
            </w:pPr>
            <w:r>
              <w:rPr>
                <w:rFonts w:ascii="Arial" w:cs="Arial" w:eastAsia="Arial" w:hAnsi="Arial"/>
                <w:sz w:val="18"/>
                <w:szCs w:val="18"/>
                <w:color w:val="0000FF"/>
                <w:w w:val="86"/>
              </w:rPr>
              <w:t>04/01/2013</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900" w:type="dxa"/>
            <w:vAlign w:val="bottom"/>
            <w:vMerge w:val="restart"/>
          </w:tcPr>
          <w:p>
            <w:pPr>
              <w:jc w:val="right"/>
              <w:ind w:right="94"/>
              <w:spacing w:after="0"/>
              <w:rPr>
                <w:sz w:val="20"/>
                <w:szCs w:val="20"/>
                <w:color w:val="auto"/>
              </w:rPr>
            </w:pPr>
            <w:r>
              <w:rPr>
                <w:rFonts w:ascii="Arial" w:cs="Arial" w:eastAsia="Arial" w:hAnsi="Arial"/>
                <w:sz w:val="18"/>
                <w:szCs w:val="18"/>
                <w:color w:val="0000FF"/>
                <w:w w:val="98"/>
              </w:rPr>
              <w:t>10,000</w:t>
            </w:r>
            <w:r>
              <w:rPr>
                <w:rFonts w:ascii="Arial" w:cs="Arial" w:eastAsia="Arial" w:hAnsi="Arial"/>
                <w:sz w:val="22"/>
                <w:szCs w:val="22"/>
                <w:color w:val="008000"/>
                <w:w w:val="98"/>
                <w:vertAlign w:val="superscript"/>
              </w:rPr>
              <w:t>(2)</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18.4471</w:t>
            </w:r>
            <w:r>
              <w:rPr>
                <w:rFonts w:ascii="Arial" w:cs="Arial" w:eastAsia="Arial" w:hAnsi="Arial"/>
                <w:sz w:val="22"/>
                <w:szCs w:val="22"/>
                <w:color w:val="008000"/>
                <w:w w:val="90"/>
                <w:vertAlign w:val="superscript"/>
              </w:rPr>
              <w:t>(2)</w:t>
            </w:r>
          </w:p>
        </w:tc>
        <w:tc>
          <w:tcPr>
            <w:tcW w:w="124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185,159</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0"/>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23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60" w:type="dxa"/>
            <w:vAlign w:val="bottom"/>
            <w:gridSpan w:val="2"/>
          </w:tcPr>
          <w:p>
            <w:pPr>
              <w:ind w:left="20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were effected pursuant to a Rule 10b5-1 trading plan adopted on November 16, 2012 by the Worthington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$18.1955 to $18.57,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Worthingon Family Trust dated March 6, 2007.</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Valerie Barnett,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04/02/2013</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0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2019-12-17T16:43:15Z</dcterms:created>
  <dcterms:modified xsi:type="dcterms:W3CDTF">2019-12-17T16:43:15Z</dcterms:modified>
</cp:coreProperties>
</file>