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LEVIN CAPITAL STRATEGIES, L.P.</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FLUIDIGM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400" w:type="dxa"/>
            <w:vAlign w:val="bottom"/>
            <w:vMerge w:val="restart"/>
          </w:tcPr>
          <w:p>
            <w:pPr>
              <w:ind w:left="460"/>
              <w:spacing w:after="0"/>
              <w:rPr>
                <w:sz w:val="20"/>
                <w:szCs w:val="20"/>
                <w:color w:val="auto"/>
              </w:rPr>
            </w:pPr>
            <w:r>
              <w:rPr>
                <w:rFonts w:ascii="Arial" w:cs="Arial" w:eastAsia="Arial" w:hAnsi="Arial"/>
                <w:sz w:val="14"/>
                <w:szCs w:val="14"/>
                <w:color w:val="auto"/>
              </w:rPr>
              <w:t>(First)</w:t>
            </w:r>
          </w:p>
        </w:tc>
        <w:tc>
          <w:tcPr>
            <w:tcW w:w="1580" w:type="dxa"/>
            <w:vAlign w:val="bottom"/>
            <w:gridSpan w:val="2"/>
            <w:vMerge w:val="restart"/>
          </w:tcPr>
          <w:p>
            <w:pPr>
              <w:ind w:left="3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4"/>
          </w:tcPr>
          <w:p>
            <w:pPr>
              <w:ind w:left="160"/>
              <w:spacing w:after="0"/>
              <w:rPr>
                <w:sz w:val="20"/>
                <w:szCs w:val="20"/>
                <w:color w:val="auto"/>
              </w:rPr>
            </w:pPr>
            <w:r>
              <w:rPr>
                <w:rFonts w:ascii="Arial" w:cs="Arial" w:eastAsia="Arial" w:hAnsi="Arial"/>
                <w:sz w:val="18"/>
                <w:szCs w:val="18"/>
                <w:color w:val="0000FF"/>
              </w:rPr>
              <w:t>11/06/2018</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17TH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Passive Investor</w:t>
      </w:r>
    </w:p>
    <w:p>
      <w:pPr>
        <w:spacing w:after="0" w:line="462" w:lineRule="exact"/>
        <w:rPr>
          <w:sz w:val="20"/>
          <w:szCs w:val="20"/>
          <w:color w:val="auto"/>
        </w:rPr>
      </w:pPr>
    </w:p>
    <w:p>
      <w:pPr>
        <w:sectPr>
          <w:pgSz w:w="11900" w:h="16838" w:orient="portrait"/>
          <w:cols w:equalWidth="0" w:num="2">
            <w:col w:w="7980" w:space="77"/>
            <w:col w:w="3363"/>
          </w:cols>
          <w:pgMar w:left="240" w:top="226" w:right="239" w:bottom="0" w:gutter="0" w:footer="0" w:header="0"/>
          <w:type w:val="continuous"/>
        </w:sectPr>
      </w:pP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ectPr>
          <w:pgSz w:w="11900" w:h="16838"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3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2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2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5"/>
        </w:trPr>
        <w:tc>
          <w:tcPr>
            <w:tcW w:w="2360" w:type="dxa"/>
            <w:vAlign w:val="bottom"/>
          </w:tcPr>
          <w:p>
            <w:pPr>
              <w:spacing w:after="0"/>
              <w:rPr>
                <w:sz w:val="11"/>
                <w:szCs w:val="11"/>
                <w:color w:val="auto"/>
              </w:rPr>
            </w:pPr>
          </w:p>
        </w:tc>
        <w:tc>
          <w:tcPr>
            <w:tcW w:w="1620" w:type="dxa"/>
            <w:vAlign w:val="bottom"/>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5"/>
        </w:trPr>
        <w:tc>
          <w:tcPr>
            <w:tcW w:w="23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77"/>
        </w:trPr>
        <w:tc>
          <w:tcPr>
            <w:tcW w:w="236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3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3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90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36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36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By: Managed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140" w:type="dxa"/>
            <w:vAlign w:val="bottom"/>
            <w:vMerge w:val="restart"/>
          </w:tcPr>
          <w:p>
            <w:pPr>
              <w:ind w:left="320"/>
              <w:spacing w:after="0"/>
              <w:rPr>
                <w:sz w:val="20"/>
                <w:szCs w:val="20"/>
                <w:color w:val="auto"/>
              </w:rPr>
            </w:pPr>
            <w:r>
              <w:rPr>
                <w:rFonts w:ascii="Arial" w:cs="Arial" w:eastAsia="Arial" w:hAnsi="Arial"/>
                <w:sz w:val="18"/>
                <w:szCs w:val="18"/>
                <w:color w:val="0000FF"/>
                <w:w w:val="88"/>
              </w:rPr>
              <w:t>11/06/2018</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restart"/>
          </w:tcPr>
          <w:p>
            <w:pPr>
              <w:ind w:left="640"/>
              <w:spacing w:after="0"/>
              <w:rPr>
                <w:sz w:val="20"/>
                <w:szCs w:val="20"/>
                <w:color w:val="auto"/>
              </w:rPr>
            </w:pPr>
            <w:r>
              <w:rPr>
                <w:rFonts w:ascii="Arial" w:cs="Arial" w:eastAsia="Arial" w:hAnsi="Arial"/>
                <w:sz w:val="14"/>
                <w:szCs w:val="14"/>
                <w:color w:val="0000FF"/>
              </w:rPr>
              <w:t>P</w:t>
            </w:r>
          </w:p>
        </w:tc>
        <w:tc>
          <w:tcPr>
            <w:tcW w:w="1440" w:type="dxa"/>
            <w:vAlign w:val="bottom"/>
            <w:gridSpan w:val="2"/>
            <w:vMerge w:val="restart"/>
          </w:tcPr>
          <w:p>
            <w:pPr>
              <w:jc w:val="right"/>
              <w:ind w:right="370"/>
              <w:spacing w:after="0"/>
              <w:rPr>
                <w:sz w:val="20"/>
                <w:szCs w:val="20"/>
                <w:color w:val="auto"/>
              </w:rPr>
            </w:pPr>
            <w:r>
              <w:rPr>
                <w:rFonts w:ascii="Arial" w:cs="Arial" w:eastAsia="Arial" w:hAnsi="Arial"/>
                <w:sz w:val="18"/>
                <w:szCs w:val="18"/>
                <w:color w:val="0000FF"/>
              </w:rPr>
              <w:t>828</w:t>
            </w:r>
          </w:p>
        </w:tc>
        <w:tc>
          <w:tcPr>
            <w:tcW w:w="160" w:type="dxa"/>
            <w:vAlign w:val="bottom"/>
            <w:vMerge w:val="restart"/>
          </w:tcPr>
          <w:p>
            <w:pPr>
              <w:spacing w:after="0"/>
              <w:rPr>
                <w:sz w:val="20"/>
                <w:szCs w:val="20"/>
                <w:color w:val="auto"/>
              </w:rPr>
            </w:pPr>
            <w:r>
              <w:rPr>
                <w:rFonts w:ascii="Arial" w:cs="Arial" w:eastAsia="Arial" w:hAnsi="Arial"/>
                <w:sz w:val="18"/>
                <w:szCs w:val="18"/>
                <w:color w:val="0000FF"/>
              </w:rPr>
              <w:t>A</w:t>
            </w:r>
          </w:p>
        </w:tc>
        <w:tc>
          <w:tcPr>
            <w:tcW w:w="1080" w:type="dxa"/>
            <w:vAlign w:val="bottom"/>
            <w:vMerge w:val="restart"/>
          </w:tcPr>
          <w:p>
            <w:pPr>
              <w:jc w:val="center"/>
              <w:ind w:right="1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7.3988</w:t>
            </w:r>
            <w:r>
              <w:rPr>
                <w:rFonts w:ascii="Arial" w:cs="Arial" w:eastAsia="Arial" w:hAnsi="Arial"/>
                <w:sz w:val="22"/>
                <w:szCs w:val="22"/>
                <w:color w:val="008000"/>
                <w:vertAlign w:val="superscript"/>
              </w:rPr>
              <w:t>(10)</w:t>
            </w:r>
          </w:p>
        </w:tc>
        <w:tc>
          <w:tcPr>
            <w:tcW w:w="1540" w:type="dxa"/>
            <w:vAlign w:val="bottom"/>
            <w:gridSpan w:val="2"/>
            <w:vMerge w:val="restart"/>
          </w:tcPr>
          <w:p>
            <w:pPr>
              <w:jc w:val="center"/>
              <w:ind w:right="419"/>
              <w:spacing w:after="0"/>
              <w:rPr>
                <w:sz w:val="20"/>
                <w:szCs w:val="20"/>
                <w:color w:val="auto"/>
              </w:rPr>
            </w:pPr>
            <w:r>
              <w:rPr>
                <w:rFonts w:ascii="Arial" w:cs="Arial" w:eastAsia="Arial" w:hAnsi="Arial"/>
                <w:sz w:val="18"/>
                <w:szCs w:val="18"/>
                <w:color w:val="0000FF"/>
                <w:w w:val="87"/>
              </w:rPr>
              <w:t>9,761,773</w:t>
            </w:r>
          </w:p>
        </w:tc>
        <w:tc>
          <w:tcPr>
            <w:tcW w:w="5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Accounts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Levin Capital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w w:val="90"/>
              </w:rPr>
              <w:t>Strategies, L.P.</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ind w:left="20"/>
              <w:spacing w:after="0"/>
              <w:rPr>
                <w:sz w:val="20"/>
                <w:szCs w:val="20"/>
                <w:color w:val="auto"/>
              </w:rPr>
            </w:pPr>
            <w:r>
              <w:rPr>
                <w:rFonts w:ascii="Arial" w:cs="Arial" w:eastAsia="Arial" w:hAnsi="Arial"/>
                <w:sz w:val="11"/>
                <w:szCs w:val="11"/>
                <w:color w:val="008000"/>
              </w:rPr>
              <w:t>(3)(4)</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By: Managed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140" w:type="dxa"/>
            <w:vAlign w:val="bottom"/>
            <w:vMerge w:val="restart"/>
          </w:tcPr>
          <w:p>
            <w:pPr>
              <w:ind w:left="320"/>
              <w:spacing w:after="0"/>
              <w:rPr>
                <w:sz w:val="20"/>
                <w:szCs w:val="20"/>
                <w:color w:val="auto"/>
              </w:rPr>
            </w:pPr>
            <w:r>
              <w:rPr>
                <w:rFonts w:ascii="Arial" w:cs="Arial" w:eastAsia="Arial" w:hAnsi="Arial"/>
                <w:sz w:val="18"/>
                <w:szCs w:val="18"/>
                <w:color w:val="0000FF"/>
                <w:w w:val="88"/>
              </w:rPr>
              <w:t>11/06/2018</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restart"/>
          </w:tcPr>
          <w:p>
            <w:pPr>
              <w:ind w:left="640"/>
              <w:spacing w:after="0"/>
              <w:rPr>
                <w:sz w:val="20"/>
                <w:szCs w:val="20"/>
                <w:color w:val="auto"/>
              </w:rPr>
            </w:pPr>
            <w:r>
              <w:rPr>
                <w:rFonts w:ascii="Arial" w:cs="Arial" w:eastAsia="Arial" w:hAnsi="Arial"/>
                <w:sz w:val="14"/>
                <w:szCs w:val="14"/>
                <w:color w:val="0000FF"/>
              </w:rPr>
              <w:t>P</w:t>
            </w:r>
          </w:p>
        </w:tc>
        <w:tc>
          <w:tcPr>
            <w:tcW w:w="760" w:type="dxa"/>
            <w:vAlign w:val="bottom"/>
          </w:tcPr>
          <w:p>
            <w:pPr>
              <w:spacing w:after="0"/>
              <w:rPr>
                <w:sz w:val="18"/>
                <w:szCs w:val="18"/>
                <w:color w:val="auto"/>
              </w:rPr>
            </w:pPr>
          </w:p>
        </w:tc>
        <w:tc>
          <w:tcPr>
            <w:tcW w:w="680" w:type="dxa"/>
            <w:vAlign w:val="bottom"/>
            <w:vMerge w:val="restart"/>
          </w:tcPr>
          <w:p>
            <w:pPr>
              <w:jc w:val="right"/>
              <w:ind w:right="410"/>
              <w:spacing w:after="0"/>
              <w:rPr>
                <w:sz w:val="20"/>
                <w:szCs w:val="20"/>
                <w:color w:val="auto"/>
              </w:rPr>
            </w:pPr>
            <w:r>
              <w:rPr>
                <w:rFonts w:ascii="Arial" w:cs="Arial" w:eastAsia="Arial" w:hAnsi="Arial"/>
                <w:sz w:val="18"/>
                <w:szCs w:val="18"/>
                <w:color w:val="0000FF"/>
                <w:w w:val="89"/>
              </w:rPr>
              <w:t>27</w:t>
            </w:r>
          </w:p>
        </w:tc>
        <w:tc>
          <w:tcPr>
            <w:tcW w:w="160" w:type="dxa"/>
            <w:vAlign w:val="bottom"/>
            <w:vMerge w:val="restart"/>
          </w:tcPr>
          <w:p>
            <w:pPr>
              <w:spacing w:after="0"/>
              <w:rPr>
                <w:sz w:val="20"/>
                <w:szCs w:val="20"/>
                <w:color w:val="auto"/>
              </w:rPr>
            </w:pPr>
            <w:r>
              <w:rPr>
                <w:rFonts w:ascii="Arial" w:cs="Arial" w:eastAsia="Arial" w:hAnsi="Arial"/>
                <w:sz w:val="18"/>
                <w:szCs w:val="18"/>
                <w:color w:val="0000FF"/>
              </w:rPr>
              <w:t>A</w:t>
            </w:r>
          </w:p>
        </w:tc>
        <w:tc>
          <w:tcPr>
            <w:tcW w:w="1080" w:type="dxa"/>
            <w:vAlign w:val="bottom"/>
            <w:vMerge w:val="restart"/>
          </w:tcPr>
          <w:p>
            <w:pPr>
              <w:jc w:val="center"/>
              <w:ind w:right="11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7.3999</w:t>
            </w:r>
          </w:p>
        </w:tc>
        <w:tc>
          <w:tcPr>
            <w:tcW w:w="1540" w:type="dxa"/>
            <w:vAlign w:val="bottom"/>
            <w:gridSpan w:val="2"/>
            <w:vMerge w:val="restart"/>
          </w:tcPr>
          <w:p>
            <w:pPr>
              <w:jc w:val="center"/>
              <w:ind w:right="419"/>
              <w:spacing w:after="0"/>
              <w:rPr>
                <w:sz w:val="20"/>
                <w:szCs w:val="20"/>
                <w:color w:val="auto"/>
              </w:rPr>
            </w:pPr>
            <w:r>
              <w:rPr>
                <w:rFonts w:ascii="Arial" w:cs="Arial" w:eastAsia="Arial" w:hAnsi="Arial"/>
                <w:sz w:val="18"/>
                <w:szCs w:val="18"/>
                <w:color w:val="0000FF"/>
                <w:w w:val="87"/>
              </w:rPr>
              <w:t>9,761,800</w:t>
            </w:r>
          </w:p>
        </w:tc>
        <w:tc>
          <w:tcPr>
            <w:tcW w:w="5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Accounts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Levin Capital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w w:val="90"/>
              </w:rPr>
              <w:t>Strategies, L.P.</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ind w:left="20"/>
              <w:spacing w:after="0"/>
              <w:rPr>
                <w:sz w:val="20"/>
                <w:szCs w:val="20"/>
                <w:color w:val="auto"/>
              </w:rPr>
            </w:pPr>
            <w:r>
              <w:rPr>
                <w:rFonts w:ascii="Arial" w:cs="Arial" w:eastAsia="Arial" w:hAnsi="Arial"/>
                <w:sz w:val="11"/>
                <w:szCs w:val="11"/>
                <w:color w:val="008000"/>
              </w:rPr>
              <w:t>(3)(4)</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By: Bi-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vMerge w:val="restart"/>
          </w:tcPr>
          <w:p>
            <w:pPr>
              <w:jc w:val="center"/>
              <w:ind w:left="222"/>
              <w:spacing w:after="0"/>
              <w:rPr>
                <w:sz w:val="20"/>
                <w:szCs w:val="20"/>
                <w:color w:val="auto"/>
              </w:rPr>
            </w:pPr>
            <w:r>
              <w:rPr>
                <w:rFonts w:ascii="Arial" w:cs="Arial" w:eastAsia="Arial" w:hAnsi="Arial"/>
                <w:sz w:val="18"/>
                <w:szCs w:val="18"/>
                <w:color w:val="0000FF"/>
                <w:w w:val="87"/>
              </w:rPr>
              <w:t>95,606</w:t>
            </w:r>
          </w:p>
        </w:tc>
        <w:tc>
          <w:tcPr>
            <w:tcW w:w="760" w:type="dxa"/>
            <w:vAlign w:val="bottom"/>
          </w:tcPr>
          <w:p>
            <w:pPr>
              <w:spacing w:after="0"/>
              <w:rPr>
                <w:sz w:val="18"/>
                <w:szCs w:val="18"/>
                <w:color w:val="auto"/>
              </w:rPr>
            </w:pPr>
          </w:p>
        </w:tc>
        <w:tc>
          <w:tcPr>
            <w:tcW w:w="5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Directional</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8"/>
                <w:szCs w:val="18"/>
                <w:color w:val="0000FF"/>
                <w:w w:val="99"/>
              </w:rPr>
              <w:t>Disequilibrium</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Fund, L.P.</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108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ind w:left="20"/>
              <w:spacing w:after="0"/>
              <w:rPr>
                <w:sz w:val="20"/>
                <w:szCs w:val="20"/>
                <w:color w:val="auto"/>
              </w:rPr>
            </w:pPr>
            <w:r>
              <w:rPr>
                <w:rFonts w:ascii="Arial" w:cs="Arial" w:eastAsia="Arial" w:hAnsi="Arial"/>
                <w:sz w:val="18"/>
                <w:szCs w:val="18"/>
                <w:color w:val="0000FF"/>
              </w:rPr>
              <w:t>By:</w:t>
            </w:r>
          </w:p>
        </w:tc>
        <w:tc>
          <w:tcPr>
            <w:tcW w:w="7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40" w:type="dxa"/>
            <w:vAlign w:val="bottom"/>
            <w:gridSpan w:val="2"/>
            <w:vMerge w:val="restart"/>
          </w:tcPr>
          <w:p>
            <w:pPr>
              <w:jc w:val="center"/>
              <w:ind w:right="419"/>
              <w:spacing w:after="0"/>
              <w:rPr>
                <w:sz w:val="20"/>
                <w:szCs w:val="20"/>
                <w:color w:val="auto"/>
              </w:rPr>
            </w:pPr>
            <w:r>
              <w:rPr>
                <w:rFonts w:ascii="Arial" w:cs="Arial" w:eastAsia="Arial" w:hAnsi="Arial"/>
                <w:sz w:val="18"/>
                <w:szCs w:val="18"/>
                <w:color w:val="0000FF"/>
                <w:w w:val="87"/>
              </w:rPr>
              <w:t>1,305,269</w:t>
            </w:r>
          </w:p>
        </w:tc>
        <w:tc>
          <w:tcPr>
            <w:tcW w:w="5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Transamerica</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8"/>
                <w:szCs w:val="18"/>
                <w:color w:val="0000FF"/>
              </w:rPr>
              <w:t>Large Cap</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w w:val="99"/>
              </w:rPr>
              <w:t>Value Fund</w:t>
            </w:r>
            <w:r>
              <w:rPr>
                <w:rFonts w:ascii="Arial" w:cs="Arial" w:eastAsia="Arial" w:hAnsi="Arial"/>
                <w:sz w:val="22"/>
                <w:szCs w:val="22"/>
                <w:color w:val="008000"/>
                <w:w w:val="99"/>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By: Levcap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line="217" w:lineRule="exact"/>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jc w:val="center"/>
              <w:ind w:left="222"/>
              <w:spacing w:after="0"/>
              <w:rPr>
                <w:sz w:val="20"/>
                <w:szCs w:val="20"/>
                <w:color w:val="auto"/>
              </w:rPr>
            </w:pPr>
            <w:r>
              <w:rPr>
                <w:rFonts w:ascii="Arial" w:cs="Arial" w:eastAsia="Arial" w:hAnsi="Arial"/>
                <w:sz w:val="18"/>
                <w:szCs w:val="18"/>
                <w:color w:val="0000FF"/>
                <w:w w:val="87"/>
              </w:rPr>
              <w:t>56,820</w:t>
            </w:r>
          </w:p>
        </w:tc>
        <w:tc>
          <w:tcPr>
            <w:tcW w:w="7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I</w:t>
            </w: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Alternative</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Fund, L.P.</w:t>
            </w:r>
            <w:r>
              <w:rPr>
                <w:rFonts w:ascii="Arial" w:cs="Arial" w:eastAsia="Arial" w:hAnsi="Arial"/>
                <w:sz w:val="22"/>
                <w:szCs w:val="22"/>
                <w:color w:val="008000"/>
                <w:vertAlign w:val="superscript"/>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80" w:type="dxa"/>
            <w:vAlign w:val="bottom"/>
            <w:vMerge w:val="restart"/>
          </w:tcPr>
          <w:p>
            <w:pPr>
              <w:jc w:val="center"/>
              <w:ind w:left="222"/>
              <w:spacing w:after="0"/>
              <w:rPr>
                <w:sz w:val="20"/>
                <w:szCs w:val="20"/>
                <w:color w:val="auto"/>
              </w:rPr>
            </w:pPr>
            <w:r>
              <w:rPr>
                <w:rFonts w:ascii="Arial" w:cs="Arial" w:eastAsia="Arial" w:hAnsi="Arial"/>
                <w:sz w:val="18"/>
                <w:szCs w:val="18"/>
                <w:color w:val="0000FF"/>
                <w:w w:val="87"/>
              </w:rPr>
              <w:t>19,818</w:t>
            </w:r>
          </w:p>
        </w:tc>
        <w:tc>
          <w:tcPr>
            <w:tcW w:w="760" w:type="dxa"/>
            <w:vAlign w:val="bottom"/>
          </w:tcPr>
          <w:p>
            <w:pPr>
              <w:spacing w:after="0"/>
              <w:rPr>
                <w:sz w:val="22"/>
                <w:szCs w:val="22"/>
                <w:color w:val="auto"/>
              </w:rPr>
            </w:pPr>
          </w:p>
        </w:tc>
        <w:tc>
          <w:tcPr>
            <w:tcW w:w="5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By: Safinia</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Partners, L.P.</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ind w:left="20"/>
              <w:spacing w:after="0"/>
              <w:rPr>
                <w:sz w:val="20"/>
                <w:szCs w:val="20"/>
                <w:color w:val="auto"/>
              </w:rPr>
            </w:pPr>
            <w:r>
              <w:rPr>
                <w:rFonts w:ascii="Arial" w:cs="Arial" w:eastAsia="Arial" w:hAnsi="Arial"/>
                <w:sz w:val="11"/>
                <w:szCs w:val="11"/>
                <w:color w:val="008000"/>
              </w:rPr>
              <w:t>(8)</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w w:val="99"/>
              </w:rPr>
              <w:t>By: Spouse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line="217" w:lineRule="exact"/>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jc w:val="center"/>
              <w:ind w:left="222"/>
              <w:spacing w:after="0"/>
              <w:rPr>
                <w:sz w:val="20"/>
                <w:szCs w:val="20"/>
                <w:color w:val="auto"/>
              </w:rPr>
            </w:pPr>
            <w:r>
              <w:rPr>
                <w:rFonts w:ascii="Arial" w:cs="Arial" w:eastAsia="Arial" w:hAnsi="Arial"/>
                <w:sz w:val="18"/>
                <w:szCs w:val="18"/>
                <w:color w:val="0000FF"/>
                <w:w w:val="88"/>
              </w:rPr>
              <w:t>5,000</w:t>
            </w:r>
          </w:p>
        </w:tc>
        <w:tc>
          <w:tcPr>
            <w:tcW w:w="7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I</w:t>
            </w: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John A.</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0000FF"/>
              </w:rPr>
              <w:t>Levin</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9"/>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80"/>
              <w:spacing w:after="0"/>
              <w:rPr>
                <w:sz w:val="20"/>
                <w:szCs w:val="20"/>
                <w:color w:val="auto"/>
              </w:rPr>
            </w:pPr>
            <w:r>
              <w:rPr>
                <w:rFonts w:ascii="Arial" w:cs="Arial" w:eastAsia="Arial" w:hAnsi="Arial"/>
                <w:sz w:val="12"/>
                <w:szCs w:val="12"/>
                <w:b w:val="1"/>
                <w:bCs w:val="1"/>
                <w:color w:val="auto"/>
                <w:w w:val="99"/>
              </w:rPr>
              <w:t>6. Date Exercisable and</w:t>
            </w:r>
          </w:p>
        </w:tc>
        <w:tc>
          <w:tcPr>
            <w:tcW w:w="160" w:type="dxa"/>
            <w:vAlign w:val="bottom"/>
          </w:tcPr>
          <w:p>
            <w:pPr>
              <w:spacing w:after="0"/>
              <w:rPr>
                <w:sz w:val="15"/>
                <w:szCs w:val="15"/>
                <w:color w:val="auto"/>
              </w:rPr>
            </w:pP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6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6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4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60" w:type="dxa"/>
            <w:vAlign w:val="bottom"/>
          </w:tcPr>
          <w:p>
            <w:pPr>
              <w:spacing w:after="0"/>
              <w:rPr>
                <w:sz w:val="11"/>
                <w:szCs w:val="11"/>
                <w:color w:val="auto"/>
              </w:rPr>
            </w:pPr>
          </w:p>
        </w:tc>
        <w:tc>
          <w:tcPr>
            <w:tcW w:w="10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rPr>
                <w:sz w:val="11"/>
                <w:szCs w:val="11"/>
                <w:color w:val="auto"/>
              </w:rPr>
            </w:pPr>
          </w:p>
        </w:tc>
        <w:tc>
          <w:tcPr>
            <w:tcW w:w="10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w w:val="93"/>
              </w:rPr>
              <w:t>Form:</w:t>
            </w:r>
          </w:p>
        </w:tc>
        <w:tc>
          <w:tcPr>
            <w:tcW w:w="36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ind w:left="500"/>
              <w:spacing w:after="0"/>
              <w:rPr>
                <w:sz w:val="20"/>
                <w:szCs w:val="20"/>
                <w:color w:val="auto"/>
              </w:rPr>
            </w:pPr>
            <w:r>
              <w:rPr>
                <w:rFonts w:ascii="Arial" w:cs="Arial" w:eastAsia="Arial" w:hAnsi="Arial"/>
                <w:sz w:val="12"/>
                <w:szCs w:val="12"/>
                <w:b w:val="1"/>
                <w:bCs w:val="1"/>
                <w:color w:val="auto"/>
              </w:rPr>
              <w:t>Amount</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10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w w:val="98"/>
              </w:rPr>
              <w:t>Exercisable</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3"/>
                <w:szCs w:val="13"/>
                <w:color w:val="auto"/>
              </w:rPr>
            </w:pP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Title   Shares</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p>
      <w:pPr>
        <w:ind w:left="12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LEVIN CAPITAL STRATEGIES, L.P.</w:t>
        </w:r>
      </w:hyperlink>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line="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4175" cy="105156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660" w:type="dxa"/>
            <w:vAlign w:val="bottom"/>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tcPr>
          <w:p>
            <w:pPr>
              <w:ind w:left="200"/>
              <w:spacing w:after="0"/>
              <w:rPr>
                <w:sz w:val="20"/>
                <w:szCs w:val="20"/>
                <w:color w:val="auto"/>
              </w:rPr>
            </w:pPr>
            <w:r>
              <w:rPr>
                <w:rFonts w:ascii="Arial" w:cs="Arial" w:eastAsia="Arial" w:hAnsi="Arial"/>
                <w:sz w:val="18"/>
                <w:szCs w:val="18"/>
                <w:color w:val="0000FF"/>
              </w:rPr>
              <w:t>NY</w:t>
            </w:r>
          </w:p>
        </w:tc>
        <w:tc>
          <w:tcPr>
            <w:tcW w:w="1420" w:type="dxa"/>
            <w:vAlign w:val="bottom"/>
          </w:tcPr>
          <w:p>
            <w:pPr>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920" w:type="dxa"/>
            <w:vAlign w:val="bottom"/>
            <w:tcBorders>
              <w:bottom w:val="single" w:sz="8" w:color="2C2C2C"/>
            </w:tcBorders>
            <w:gridSpan w:val="2"/>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3020" w:type="dxa"/>
            <w:vAlign w:val="bottom"/>
            <w:gridSpan w:val="3"/>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920" w:type="dxa"/>
            <w:vAlign w:val="bottom"/>
            <w:tcBorders>
              <w:bottom w:val="single" w:sz="8" w:color="0000EE"/>
            </w:tcBorders>
            <w:gridSpan w:val="2"/>
          </w:tcPr>
          <w:p>
            <w:pPr>
              <w:spacing w:after="0" w:line="224" w:lineRule="exact"/>
              <w:rPr>
                <w:rFonts w:ascii="Arial" w:cs="Arial" w:eastAsia="Arial" w:hAnsi="Arial"/>
                <w:sz w:val="22"/>
                <w:szCs w:val="22"/>
                <w:color w:val="0000EE"/>
                <w:w w:val="89"/>
              </w:rPr>
            </w:pPr>
            <w:hyperlink r:id="rId15">
              <w:r>
                <w:rPr>
                  <w:rFonts w:ascii="Arial" w:cs="Arial" w:eastAsia="Arial" w:hAnsi="Arial"/>
                  <w:sz w:val="22"/>
                  <w:szCs w:val="22"/>
                  <w:color w:val="0000EE"/>
                  <w:w w:val="89"/>
                </w:rPr>
                <w:t>Levin Capital Strategies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660" w:type="dxa"/>
            <w:vAlign w:val="bottom"/>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tcPr>
          <w:p>
            <w:pPr>
              <w:ind w:left="200"/>
              <w:spacing w:after="0"/>
              <w:rPr>
                <w:sz w:val="20"/>
                <w:szCs w:val="20"/>
                <w:color w:val="auto"/>
              </w:rPr>
            </w:pPr>
            <w:r>
              <w:rPr>
                <w:rFonts w:ascii="Arial" w:cs="Arial" w:eastAsia="Arial" w:hAnsi="Arial"/>
                <w:sz w:val="18"/>
                <w:szCs w:val="18"/>
                <w:color w:val="0000FF"/>
              </w:rPr>
              <w:t>NY</w:t>
            </w:r>
          </w:p>
        </w:tc>
        <w:tc>
          <w:tcPr>
            <w:tcW w:w="1420" w:type="dxa"/>
            <w:vAlign w:val="bottom"/>
          </w:tcPr>
          <w:p>
            <w:pPr>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Bi-Directional Disequilibrium Fund, L.P.</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3"/>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260" w:type="dxa"/>
            <w:vAlign w:val="bottom"/>
            <w:gridSpan w:val="2"/>
          </w:tcPr>
          <w:p>
            <w:pPr>
              <w:spacing w:after="0" w:line="224" w:lineRule="exact"/>
              <w:rPr>
                <w:rFonts w:ascii="Arial" w:cs="Arial" w:eastAsia="Arial" w:hAnsi="Arial"/>
                <w:sz w:val="22"/>
                <w:szCs w:val="22"/>
                <w:color w:val="0000EE"/>
              </w:rPr>
            </w:pPr>
            <w:hyperlink r:id="rId17">
              <w:r>
                <w:rPr>
                  <w:rFonts w:ascii="Arial" w:cs="Arial" w:eastAsia="Arial" w:hAnsi="Arial"/>
                  <w:sz w:val="22"/>
                  <w:szCs w:val="22"/>
                  <w:color w:val="0000EE"/>
                </w:rPr>
                <w:t>LCS, LLC</w:t>
              </w:r>
            </w:hyperlink>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4440" w:type="dxa"/>
            <w:vAlign w:val="bottom"/>
            <w:gridSpan w:val="7"/>
          </w:tcPr>
          <w:p>
            <w:pPr>
              <w:spacing w:after="0"/>
              <w:rPr>
                <w:sz w:val="20"/>
                <w:szCs w:val="20"/>
                <w:color w:val="auto"/>
              </w:rPr>
            </w:pPr>
            <w:r>
              <w:rPr>
                <w:rFonts w:ascii="Arial" w:cs="Arial" w:eastAsia="Arial" w:hAnsi="Arial"/>
                <w:sz w:val="18"/>
                <w:szCs w:val="18"/>
                <w:color w:val="0000FF"/>
              </w:rPr>
              <w:t>595 MADISON AVENUE, 17TH FLOOR</w:t>
            </w:r>
          </w:p>
        </w:tc>
      </w:tr>
      <w:tr>
        <w:trPr>
          <w:trHeight w:val="212"/>
        </w:trPr>
        <w:tc>
          <w:tcPr>
            <w:tcW w:w="100" w:type="dxa"/>
            <w:vAlign w:val="bottom"/>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3"/>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5"/>
          </w:tcPr>
          <w:p>
            <w:pPr>
              <w:spacing w:after="0" w:line="224" w:lineRule="exact"/>
              <w:rPr>
                <w:rFonts w:ascii="Arial" w:cs="Arial" w:eastAsia="Arial" w:hAnsi="Arial"/>
                <w:sz w:val="22"/>
                <w:szCs w:val="22"/>
                <w:color w:val="0000EE"/>
                <w:w w:val="95"/>
              </w:rPr>
            </w:pPr>
            <w:hyperlink r:id="rId18">
              <w:r>
                <w:rPr>
                  <w:rFonts w:ascii="Arial" w:cs="Arial" w:eastAsia="Arial" w:hAnsi="Arial"/>
                  <w:sz w:val="22"/>
                  <w:szCs w:val="22"/>
                  <w:color w:val="0000EE"/>
                  <w:w w:val="95"/>
                </w:rPr>
                <w:t>Levcap Alternative Fund,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3"/>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5"/>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LCS Event Partners, LLC</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3"/>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52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69" w:orient="portrait"/>
          <w:cols w:equalWidth="0" w:num="1">
            <w:col w:w="10199"/>
          </w:cols>
          <w:pgMar w:left="260" w:top="140" w:right="1440" w:bottom="0" w:gutter="0" w:footer="0" w:header="0"/>
        </w:sectPr>
      </w:pPr>
    </w:p>
    <w:p>
      <w:pPr>
        <w:ind w:left="100"/>
        <w:spacing w:after="0"/>
        <w:rPr>
          <w:rFonts w:ascii="Arial" w:cs="Arial" w:eastAsia="Arial" w:hAnsi="Arial"/>
          <w:sz w:val="19"/>
          <w:szCs w:val="19"/>
          <w:u w:val="single" w:color="auto"/>
          <w:color w:val="0000EE"/>
        </w:rPr>
      </w:pPr>
      <w:hyperlink r:id="rId20">
        <w:r>
          <w:rPr>
            <w:rFonts w:ascii="Arial" w:cs="Arial" w:eastAsia="Arial" w:hAnsi="Arial"/>
            <w:sz w:val="19"/>
            <w:szCs w:val="19"/>
            <w:u w:val="single" w:color="auto"/>
            <w:color w:val="0000EE"/>
          </w:rPr>
          <w:t>Safinia Partners, L.P.</w:t>
        </w:r>
      </w:hyperlink>
    </w:p>
    <w:p>
      <w:pPr>
        <w:sectPr>
          <w:pgSz w:w="11900" w:h="16869" w:orient="portrait"/>
          <w:cols w:equalWidth="0" w:num="1">
            <w:col w:w="10199"/>
          </w:cols>
          <w:pgMar w:left="260" w:top="140"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2"/>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380" w:type="dxa"/>
            <w:vAlign w:val="bottom"/>
            <w:gridSpan w:val="2"/>
          </w:tcPr>
          <w:p>
            <w:pPr>
              <w:spacing w:after="0" w:line="224" w:lineRule="exact"/>
              <w:rPr>
                <w:rFonts w:ascii="Arial" w:cs="Arial" w:eastAsia="Arial" w:hAnsi="Arial"/>
                <w:sz w:val="22"/>
                <w:szCs w:val="22"/>
                <w:color w:val="0000EE"/>
              </w:rPr>
            </w:pPr>
            <w:hyperlink r:id="rId21">
              <w:r>
                <w:rPr>
                  <w:rFonts w:ascii="Arial" w:cs="Arial" w:eastAsia="Arial" w:hAnsi="Arial"/>
                  <w:sz w:val="22"/>
                  <w:szCs w:val="22"/>
                  <w:color w:val="0000EE"/>
                </w:rPr>
                <w:t>LCS L/S, LLC</w:t>
              </w:r>
            </w:hyperlink>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2"/>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4"/>
          </w:tcPr>
          <w:p>
            <w:pPr>
              <w:spacing w:after="0" w:line="224" w:lineRule="exact"/>
              <w:rPr>
                <w:rFonts w:ascii="Arial" w:cs="Arial" w:eastAsia="Arial" w:hAnsi="Arial"/>
                <w:sz w:val="22"/>
                <w:szCs w:val="22"/>
                <w:color w:val="0000EE"/>
              </w:rPr>
            </w:pPr>
            <w:hyperlink r:id="rId22">
              <w:r>
                <w:rPr>
                  <w:rFonts w:ascii="Arial" w:cs="Arial" w:eastAsia="Arial" w:hAnsi="Arial"/>
                  <w:sz w:val="22"/>
                  <w:szCs w:val="22"/>
                  <w:color w:val="0000EE"/>
                </w:rPr>
                <w:t>LEVIN JOHN A</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2"/>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10020</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509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extLst>
                    </a:blip>
                    <a:srcRect/>
                    <a:stretch>
                      <a:fillRect/>
                    </a:stretch>
                  </pic:blipFill>
                  <pic:spPr bwMode="auto">
                    <a:xfrm>
                      <a:off x="0" y="0"/>
                      <a:ext cx="2924175" cy="50984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60" w:firstLine="9"/>
        <w:spacing w:after="0" w:line="27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Form 4 is filed jointly by Levin Capital Strategies, L.P. ("LCS"), Levin Capital Strategies GP, LLC ("LCS GP"), Bi-Directional Disequilibrium Fund, L.P. ("BDD")(formerly known as Levin Capital Trilogy Master Fund, Ltd.), LCS, LLC ("LCSL"), Levcap Alternative Fund, L.P. ("Levcap"), LCS Event Partners, LLC ("LCSEP"), Safinia Partners, L.P. ("Safinia"), LCS L/S, LLC ("LCSLS"), and John A. Levin (collectively, the "Reporting Persons"). The Reporting Persons are passive investors in the Issuer and are voluntarily filing this Form 4 as a result of acquiring over 20% of the Issuer's outstanding shares of Common Stock. The Reporting Persons have not acquired the shares with a purpose or effect of changing or influencing control of the Issuer.</w:t>
      </w:r>
    </w:p>
    <w:p>
      <w:pPr>
        <w:spacing w:after="0" w:line="8" w:lineRule="exact"/>
        <w:rPr>
          <w:rFonts w:ascii="Arial" w:cs="Arial" w:eastAsia="Arial" w:hAnsi="Arial"/>
          <w:sz w:val="12"/>
          <w:szCs w:val="12"/>
          <w:color w:val="008000"/>
        </w:rPr>
      </w:pPr>
    </w:p>
    <w:p>
      <w:pPr>
        <w:ind w:left="20" w:right="14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Rule 16a-1(a)(4) under the Securities Exchange Act of 1934, as amended (the "Exchange Act"), this filing shall not be construed as an admission that the Reporting Persons are, for purposes of Section 16 of the Exchange Act or otherwise, the beneficial owners of any of the securities reported herein under Section 16 or otherwise. Each of the Reporting Persons specifically disclaims beneficial ownership of the securities reported herein that are not directly owned by such Reporting Person, except to the extent of their pecuniary interest therein.</w:t>
      </w:r>
    </w:p>
    <w:p>
      <w:pPr>
        <w:spacing w:after="0" w:line="2" w:lineRule="exact"/>
        <w:rPr>
          <w:rFonts w:ascii="Arial" w:cs="Arial" w:eastAsia="Arial" w:hAnsi="Arial"/>
          <w:sz w:val="12"/>
          <w:szCs w:val="12"/>
          <w:color w:val="008000"/>
        </w:rPr>
      </w:pPr>
    </w:p>
    <w:p>
      <w:pPr>
        <w:ind w:left="20" w:firstLine="9"/>
        <w:spacing w:after="0" w:line="273"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certain separately managed accounts (the "Managed Accounts"). LCS, as the investment manager to the Managed Accounts, may be deemed to beneficially own such shares. LCS does not have a reportable pecuniary interest under Section 16a-1(a)(2) of the Exchange Act in the shares held in the Managed Accounts, as LCS receives an asset-based management fee for serving as investment manager to the Managed Accounts, except that with respect to 127,460 shares held in the Managed Accounts, LCS receives a performance-based incentive fee. The performance-based incentive fee LCS receives also does not constitute a reportable pecuniary interest under Section 16a-1(a)(2) of the Exchange Act, as such fee is based on the performance of the overall account, over a period of one year or more, and the shares of the Issuer held in such accounts constitute no more than 10% of the market value thereof.</w:t>
      </w:r>
    </w:p>
    <w:p>
      <w:pPr>
        <w:spacing w:after="0" w:line="11" w:lineRule="exact"/>
        <w:rPr>
          <w:rFonts w:ascii="Arial" w:cs="Arial" w:eastAsia="Arial" w:hAnsi="Arial"/>
          <w:sz w:val="12"/>
          <w:szCs w:val="12"/>
          <w:color w:val="008000"/>
        </w:rPr>
      </w:pPr>
    </w:p>
    <w:p>
      <w:pPr>
        <w:ind w:left="160" w:hanging="131"/>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For the reasons set forth in footnote 3, none of LCS GP, BDD, LCSL, Levcap, LCSEP, Safinia, LCSLS and Mr. Levin have a reportable pecuniary interest in the shares held in the Managed Accounts.</w:t>
      </w:r>
    </w:p>
    <w:p>
      <w:pPr>
        <w:spacing w:after="0" w:line="64" w:lineRule="exact"/>
        <w:rPr>
          <w:rFonts w:ascii="Arial" w:cs="Arial" w:eastAsia="Arial" w:hAnsi="Arial"/>
          <w:sz w:val="12"/>
          <w:szCs w:val="12"/>
          <w:color w:val="008000"/>
        </w:rPr>
      </w:pPr>
    </w:p>
    <w:p>
      <w:pPr>
        <w:ind w:left="20" w:right="10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the separate managed account Transamerica Large Cap Value Fund ("Transamerica"). LCS, as the sub-investment advisor to Transamerica, may be deemed to share voting and dispositive power over the shares held by Transamerica. LCS receives an asset-based management fee for serving as sub-investment advisor to Transamerica. Accordingly, LCS does not have a reportable pecuniary interest in the shares held by Transamerica. In addition, none of LCS GP, BDD, LCSL, Levcap, LCSEP, Safinia, LCSLS and Mr. Levin have a reportable pecuniary interest in the shares held by Transamerica.</w:t>
      </w:r>
    </w:p>
    <w:p>
      <w:pPr>
        <w:spacing w:after="0" w:line="2" w:lineRule="exact"/>
        <w:rPr>
          <w:rFonts w:ascii="Arial" w:cs="Arial" w:eastAsia="Arial" w:hAnsi="Arial"/>
          <w:sz w:val="12"/>
          <w:szCs w:val="12"/>
          <w:color w:val="008000"/>
        </w:rPr>
      </w:pPr>
    </w:p>
    <w:p>
      <w:pPr>
        <w:jc w:val="both"/>
        <w:ind w:left="20" w:right="20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BDD. LCSL, as the general partner of the domestic feeder fund which owns a controlling interest in BDD, may be deemed to share voting and dispositive power over the shares owned directly by BDD. LCS, as the investment advisor of BDD, may be deemed to share voting and dispositive power over the shares owned directly by BDD. Mr. Levin, as the Chief Executive Officer of LCS, may be deemed to share voting and dispositive power over the shares owned directly by BDD.</w:t>
      </w:r>
    </w:p>
    <w:p>
      <w:pPr>
        <w:spacing w:after="0" w:line="30" w:lineRule="exact"/>
        <w:rPr>
          <w:rFonts w:ascii="Arial" w:cs="Arial" w:eastAsia="Arial" w:hAnsi="Arial"/>
          <w:sz w:val="14"/>
          <w:szCs w:val="14"/>
          <w:color w:val="008000"/>
        </w:rPr>
      </w:pPr>
    </w:p>
    <w:p>
      <w:pPr>
        <w:ind w:left="20" w:right="10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Levcap. LCSEP, as the general partner of Levcap, may be deemed to share voting and dispositive power over the shares owned directly by Levcap. LCS, as the investment advisor of Levcap, may be deemed to share voting and dispositive power over the shares owned directly by Levcap. Mr. Levin, as the Chief Executive Officer of LCS, may be deemed to share voting and dispositive power over the shares owned directly by Levcap.</w:t>
      </w:r>
    </w:p>
    <w:p>
      <w:pPr>
        <w:spacing w:after="0" w:line="30" w:lineRule="exact"/>
        <w:rPr>
          <w:rFonts w:ascii="Arial" w:cs="Arial" w:eastAsia="Arial" w:hAnsi="Arial"/>
          <w:sz w:val="14"/>
          <w:szCs w:val="14"/>
          <w:color w:val="008000"/>
        </w:rPr>
      </w:pPr>
    </w:p>
    <w:p>
      <w:pPr>
        <w:ind w:lef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Safinia. LCSLS, as the general partner of Safinia, may be deemed to share voting and dispositive power over the shares owned directly by Safinia. LCS, as the investment advisor of Safinia, may be deemed to share voting and dispositive power over the shares owned directly by Safinia. Mr. Levin, as the Chief Executive Officer of LCS, may be deemed to share voting and dispositive power over the shares owned directly by Safinia.</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the spouse of Mr. Levin. Mr. Levin has investment discretion over such shares.</w:t>
      </w:r>
    </w:p>
    <w:p>
      <w:pPr>
        <w:spacing w:after="0" w:line="41" w:lineRule="exact"/>
        <w:rPr>
          <w:rFonts w:ascii="Arial" w:cs="Arial" w:eastAsia="Arial" w:hAnsi="Arial"/>
          <w:sz w:val="14"/>
          <w:szCs w:val="14"/>
          <w:color w:val="008000"/>
        </w:rPr>
      </w:pPr>
    </w:p>
    <w:p>
      <w:pPr>
        <w:ind w:left="20" w:right="100" w:firstLine="9"/>
        <w:spacing w:after="0" w:line="288" w:lineRule="auto"/>
        <w:tabs>
          <w:tab w:leader="none" w:pos="22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reported shares were purchased in multiple transactions at prices ranging from $7.39 to $7.40. TheReporting Persons undertake to provide to the Issuer, any security holder of the Issuer, or the staff of the Securities and Exchange Commission, uponrequest, full information regarding the number of shares purchased at each separate price within the range set forth in this footnote 10.</w:t>
      </w:r>
    </w:p>
    <w:p>
      <w:pPr>
        <w:sectPr>
          <w:pgSz w:w="11900" w:h="16838" w:orient="portrait"/>
          <w:cols w:equalWidth="0" w:num="1">
            <w:col w:w="11340"/>
          </w:cols>
          <w:pgMar w:left="260" w:top="449" w:right="299" w:bottom="0" w:gutter="0" w:footer="0" w:header="0"/>
        </w:sectPr>
      </w:pPr>
    </w:p>
    <w:p>
      <w:pPr>
        <w:spacing w:after="0" w:line="3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37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/s/ John A. Levin,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60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7931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79311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2630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LLC; By: John A. Levin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436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34366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GRAT Separation Trust;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4077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40779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Elisabeth Levin,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890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Bi-Directional Disequilibrium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468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34683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Fund, L.P.; By: LCS;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63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John A. Levin,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423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14236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78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0000FF"/>
        </w:rPr>
        <w:t>11/08/2018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11/08/2018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11/08/2018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98" w:lineRule="exact"/>
        <w:rPr>
          <w:sz w:val="20"/>
          <w:szCs w:val="20"/>
          <w:color w:val="auto"/>
        </w:rPr>
      </w:pPr>
    </w:p>
    <w:p>
      <w:pPr>
        <w:sectPr>
          <w:pgSz w:w="11900" w:h="16838" w:orient="portrait"/>
          <w:cols w:equalWidth="0" w:num="2">
            <w:col w:w="9060" w:space="80"/>
            <w:col w:w="2200"/>
          </w:cols>
          <w:pgMar w:left="260" w:top="449" w:right="299" w:bottom="0" w:gutter="0" w:footer="0" w:header="0"/>
          <w:type w:val="continuous"/>
        </w:sectPr>
      </w:pPr>
    </w:p>
    <w:tbl>
      <w:tblPr>
        <w:tblLayout w:type="fixed"/>
        <w:tblInd w:w="6840" w:type="dxa"/>
        <w:tblCellMar>
          <w:top w:w="0" w:type="dxa"/>
          <w:left w:w="0" w:type="dxa"/>
          <w:bottom w:w="0" w:type="dxa"/>
          <w:right w:w="0" w:type="dxa"/>
        </w:tblCellMar>
      </w:tblPr>
      <w:tr>
        <w:trPr>
          <w:trHeight w:val="207"/>
        </w:trPr>
        <w:tc>
          <w:tcPr>
            <w:tcW w:w="1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LCS, LLC; By: /s/ John A.</w:t>
            </w:r>
          </w:p>
        </w:tc>
        <w:tc>
          <w:tcPr>
            <w:tcW w:w="200" w:type="dxa"/>
            <w:vAlign w:val="bottom"/>
          </w:tcPr>
          <w:p>
            <w:pPr>
              <w:spacing w:after="0"/>
              <w:rPr>
                <w:sz w:val="17"/>
                <w:szCs w:val="17"/>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color w:val="0000FF"/>
              </w:rPr>
              <w:t>11/08/2018</w:t>
            </w:r>
          </w:p>
        </w:tc>
        <w:tc>
          <w:tcPr>
            <w:tcW w:w="0" w:type="dxa"/>
            <w:vAlign w:val="bottom"/>
          </w:tcPr>
          <w:p>
            <w:pPr>
              <w:spacing w:after="0"/>
              <w:rPr>
                <w:sz w:val="1"/>
                <w:szCs w:val="1"/>
                <w:color w:val="auto"/>
              </w:rPr>
            </w:pPr>
          </w:p>
        </w:tc>
      </w:tr>
      <w:tr>
        <w:trPr>
          <w:trHeight w:val="88"/>
        </w:trPr>
        <w:tc>
          <w:tcPr>
            <w:tcW w:w="186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Levin, Managing Member</w:t>
            </w:r>
          </w:p>
        </w:tc>
        <w:tc>
          <w:tcPr>
            <w:tcW w:w="24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860" w:type="dxa"/>
            <w:vAlign w:val="bottom"/>
            <w:tcBorders>
              <w:bottom w:val="single" w:sz="8" w:color="auto"/>
            </w:tcBorders>
            <w:vMerge w:val="continue"/>
          </w:tcPr>
          <w:p>
            <w:pPr>
              <w:spacing w:after="0"/>
              <w:rPr>
                <w:sz w:val="7"/>
                <w:szCs w:val="7"/>
                <w:color w:val="auto"/>
              </w:rPr>
            </w:pPr>
          </w:p>
        </w:tc>
        <w:tc>
          <w:tcPr>
            <w:tcW w:w="2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Levcap Alternative Fund, L.P.;  11/08/2018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9532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sectPr>
          <w:pgSz w:w="11900" w:h="16838" w:orient="portrait"/>
          <w:cols w:equalWidth="0" w:num="1">
            <w:col w:w="11340"/>
          </w:cols>
          <w:pgMar w:left="260" w:top="449" w:right="299" w:bottom="0" w:gutter="0" w:footer="0" w:header="0"/>
          <w:type w:val="continuous"/>
        </w:sectPr>
      </w:pPr>
    </w:p>
    <w:bookmarkStart w:id="3" w:name="page4"/>
    <w:bookmarkEnd w:id="3"/>
    <w:p>
      <w:pPr>
        <w:ind w:left="6820"/>
        <w:spacing w:after="0"/>
        <w:rPr>
          <w:sz w:val="20"/>
          <w:szCs w:val="20"/>
          <w:color w:val="auto"/>
        </w:rPr>
      </w:pPr>
      <w:r>
        <w:rPr>
          <w:rFonts w:ascii="Arial" w:cs="Arial" w:eastAsia="Arial" w:hAnsi="Arial"/>
          <w:sz w:val="16"/>
          <w:szCs w:val="16"/>
          <w:color w:val="0000FF"/>
        </w:rPr>
        <w:t>By: LCS Event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716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By: /s/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848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578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LCS Event Partners,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716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John A. Levin,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757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27571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78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Safinia Partners, L.P.; By: LCS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906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39065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550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15506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34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LCS 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874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38747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34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7677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767715" cy="8890"/>
                    </a:xfrm>
                    <a:prstGeom prst="rect">
                      <a:avLst/>
                    </a:prstGeom>
                    <a:noFill/>
                  </pic:spPr>
                </pic:pic>
              </a:graphicData>
            </a:graphic>
          </wp:anchor>
        </w:drawing>
      </w:r>
    </w:p>
    <w:p>
      <w:pPr>
        <w:spacing w:after="0" w:line="51"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5"/>
          <w:szCs w:val="15"/>
          <w:color w:val="0000FF"/>
        </w:rPr>
        <w:t>11/08/2018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11/08/2018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11/08/2018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0000FF"/>
        </w:rPr>
        <w:t>11/08/2018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9020" w:space="100"/>
            <w:col w:w="1200"/>
          </w:cols>
          <w:pgMar w:left="280" w:top="131" w:right="1299" w:bottom="1440" w:gutter="0" w:footer="0" w:header="0"/>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12" Type="http://schemas.openxmlformats.org/officeDocument/2006/relationships/hyperlink" Target="http://www.sec.gov/cgi-bin/browse-edgar?action=getcompany&amp;CIK=0001354821" TargetMode="External"/><Relationship Id="rId13" Type="http://schemas.openxmlformats.org/officeDocument/2006/relationships/hyperlink" Target="http://www.sec.gov/cgi-bin/browse-edgar?action=getcompany&amp;CIK=0001162194" TargetMode="External"/><Relationship Id="rId15" Type="http://schemas.openxmlformats.org/officeDocument/2006/relationships/hyperlink" Target="http://www.sec.gov/cgi-bin/browse-edgar?action=getcompany&amp;CIK=0001688305" TargetMode="External"/><Relationship Id="rId16" Type="http://schemas.openxmlformats.org/officeDocument/2006/relationships/hyperlink" Target="http://www.sec.gov/cgi-bin/browse-edgar?action=getcompany&amp;CIK=0001688307" TargetMode="External"/><Relationship Id="rId17" Type="http://schemas.openxmlformats.org/officeDocument/2006/relationships/hyperlink" Target="http://www.sec.gov/cgi-bin/browse-edgar?action=getcompany&amp;CIK=0001688304" TargetMode="External"/><Relationship Id="rId18" Type="http://schemas.openxmlformats.org/officeDocument/2006/relationships/hyperlink" Target="http://www.sec.gov/cgi-bin/browse-edgar?action=getcompany&amp;CIK=0001474048" TargetMode="External"/><Relationship Id="rId19" Type="http://schemas.openxmlformats.org/officeDocument/2006/relationships/hyperlink" Target="http://www.sec.gov/cgi-bin/browse-edgar?action=getcompany&amp;CIK=0001688302" TargetMode="External"/><Relationship Id="rId20" Type="http://schemas.openxmlformats.org/officeDocument/2006/relationships/hyperlink" Target="http://www.sec.gov/cgi-bin/browse-edgar?action=getcompany&amp;CIK=0001539456" TargetMode="External"/><Relationship Id="rId21" Type="http://schemas.openxmlformats.org/officeDocument/2006/relationships/hyperlink" Target="http://www.sec.gov/cgi-bin/browse-edgar?action=getcompany&amp;CIK=0001688301" TargetMode="External"/><Relationship Id="rId22" Type="http://schemas.openxmlformats.org/officeDocument/2006/relationships/hyperlink" Target="http://www.sec.gov/cgi-bin/browse-edgar?action=getcompany&amp;CIK=00010180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2019-12-23T16:19:46Z</dcterms:created>
  <dcterms:modified xsi:type="dcterms:W3CDTF">2019-12-23T16:19:46Z</dcterms:modified>
</cp:coreProperties>
</file>