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Khadder Nicholas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9"/>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675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5,404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1,975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7,379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11/20/2017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997</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5.19</w:t>
            </w: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6,382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107"/>
              <w:spacing w:after="0"/>
              <w:rPr>
                <w:sz w:val="20"/>
                <w:szCs w:val="20"/>
                <w:color w:val="auto"/>
              </w:rPr>
            </w:pPr>
            <w:r>
              <w:rPr>
                <w:rFonts w:ascii="Arial" w:cs="Arial" w:eastAsia="Arial" w:hAnsi="Arial"/>
                <w:sz w:val="18"/>
                <w:szCs w:val="18"/>
                <w:color w:val="0000FF"/>
              </w:rPr>
              <w:t>675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11/20/2017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675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6,975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7"/>
              <w:spacing w:after="0"/>
              <w:rPr>
                <w:sz w:val="20"/>
                <w:szCs w:val="20"/>
                <w:color w:val="auto"/>
              </w:rPr>
            </w:pPr>
            <w:r>
              <w:rPr>
                <w:rFonts w:ascii="Arial" w:cs="Arial" w:eastAsia="Arial" w:hAnsi="Arial"/>
                <w:sz w:val="18"/>
                <w:szCs w:val="18"/>
                <w:color w:val="0000FF"/>
                <w:w w:val="93"/>
              </w:rPr>
              <w:t>1,975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11/20/2017</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right"/>
              <w:ind w:right="78"/>
              <w:spacing w:after="0" w:line="149" w:lineRule="exact"/>
              <w:rPr>
                <w:sz w:val="20"/>
                <w:szCs w:val="20"/>
                <w:color w:val="auto"/>
              </w:rPr>
            </w:pPr>
            <w:r>
              <w:rPr>
                <w:rFonts w:ascii="Arial" w:cs="Arial" w:eastAsia="Arial" w:hAnsi="Arial"/>
                <w:sz w:val="14"/>
                <w:szCs w:val="14"/>
                <w:color w:val="0000FF"/>
              </w:rPr>
              <w:t>1,975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25,017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9, 2016, the Reporting Person was granted 10,800 Restricted Stock Units of which 14/48th of the total number of shares underlying the Restricted Stock Units granted vested on August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31,600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General Counsel, and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89"/>
              </w:rPr>
              <w:t>/s/ Nicholas Khadder</w:t>
            </w:r>
          </w:p>
        </w:tc>
        <w:tc>
          <w:tcPr>
            <w:tcW w:w="6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11/22/2017</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891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2019-12-04T00:42:34Z</dcterms:created>
  <dcterms:modified xsi:type="dcterms:W3CDTF">2019-12-04T00:42:34Z</dcterms:modified>
</cp:coreProperties>
</file>