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3" w:lineRule="exact"/>
        <w:rPr>
          <w:sz w:val="24"/>
          <w:szCs w:val="24"/>
          <w:color w:val="auto"/>
        </w:rPr>
      </w:pPr>
    </w:p>
    <w:p>
      <w:pPr>
        <w:ind w:left="340"/>
        <w:spacing w:after="0" w:line="25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31750</wp:posOffset>
            </wp:positionH>
            <wp:positionV relativeFrom="paragraph">
              <wp:posOffset>-231140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3"/>
        </w:trPr>
        <w:tc>
          <w:tcPr>
            <w:tcW w:w="6220" w:type="dxa"/>
            <w:vAlign w:val="bottom"/>
          </w:tcPr>
          <w:p>
            <w:pPr>
              <w:jc w:val="center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  <w:w w:val="99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20" w:type="dxa"/>
            <w:vAlign w:val="bottom"/>
            <w:vMerge w:val="restart"/>
          </w:tcPr>
          <w:p>
            <w:pPr>
              <w:jc w:val="center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6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20" w:type="dxa"/>
            <w:vAlign w:val="bottom"/>
            <w:vMerge w:val="restart"/>
          </w:tcPr>
          <w:p>
            <w:pPr>
              <w:jc w:val="center"/>
              <w:ind w:right="279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62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6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6220" w:type="dxa"/>
            <w:vAlign w:val="bottom"/>
            <w:vMerge w:val="restart"/>
          </w:tcPr>
          <w:p>
            <w:pPr>
              <w:jc w:val="center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ind w:righ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62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5219700</wp:posOffset>
            </wp:positionH>
            <wp:positionV relativeFrom="paragraph">
              <wp:posOffset>-607060</wp:posOffset>
            </wp:positionV>
            <wp:extent cx="57150" cy="62039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" cy="6203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3934460</wp:posOffset>
            </wp:positionH>
            <wp:positionV relativeFrom="paragraph">
              <wp:posOffset>-607060</wp:posOffset>
            </wp:positionV>
            <wp:extent cx="57150" cy="6203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" cy="6203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-1688465</wp:posOffset>
            </wp:positionH>
            <wp:positionV relativeFrom="paragraph">
              <wp:posOffset>26670</wp:posOffset>
            </wp:positionV>
            <wp:extent cx="7048500" cy="47453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0" cy="47453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180" w:space="460"/>
            <w:col w:w="8440"/>
          </w:cols>
          <w:pgMar w:left="460" w:top="214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0"/>
                <w:szCs w:val="20"/>
                <w:color w:val="auto"/>
                <w:vertAlign w:val="superscript"/>
              </w:rPr>
              <w:t>*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 xml:space="preserve"> Ticker or Trading Symbol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  <w:w w:val="97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0"/>
                  <w:szCs w:val="20"/>
                  <w:color w:val="0000EE"/>
                  <w:w w:val="97"/>
                </w:rPr>
                <w:t>Kim Hanjoon Alex</w:t>
              </w:r>
            </w:hyperlink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60" w:type="dxa"/>
            <w:vAlign w:val="bottom"/>
            <w:gridSpan w:val="8"/>
          </w:tcPr>
          <w:p>
            <w:pPr>
              <w:spacing w:after="0" w:line="163" w:lineRule="exact"/>
              <w:rPr>
                <w:rFonts w:ascii="Times New Roman" w:cs="Times New Roman" w:eastAsia="Times New Roman" w:hAnsi="Times New Roman"/>
                <w:sz w:val="18"/>
                <w:szCs w:val="18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8"/>
                  <w:szCs w:val="18"/>
                  <w:color w:val="0000EE"/>
                </w:rPr>
                <w:t xml:space="preserve">STANDARD BIOTOOLS INC. </w:t>
              </w:r>
            </w:hyperlink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LAB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]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(Check all applicable)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0000EE"/>
            </w:tcBorders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Director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X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 w:line="11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Officer (give title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  <w:gridSpan w:val="4"/>
          </w:tcPr>
          <w:p>
            <w:pPr>
              <w:ind w:left="200"/>
              <w:spacing w:after="0" w:line="11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(Last)</w:t>
            </w: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(First)</w:t>
            </w:r>
          </w:p>
        </w:tc>
        <w:tc>
          <w:tcPr>
            <w:tcW w:w="102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(Middle)</w:t>
            </w:r>
          </w:p>
        </w:tc>
        <w:tc>
          <w:tcPr>
            <w:tcW w:w="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EEEEEE"/>
            </w:tcBorders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EEEEEE"/>
            </w:tcBorders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EEEEEE"/>
            </w:tcBorders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160" w:type="dxa"/>
            <w:vAlign w:val="bottom"/>
            <w:gridSpan w:val="4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Chief Operating Officer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3. Date of Earliest Transaction (Month/Day/Year)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C/O STANDARD BIOTOOLS INC.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5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04/04/2022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2 TOWER PLACE, STE 2000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6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4. If Amendment, Date of Original Filed (Month/Day/Year)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6. Individual or Joint/Group Filing (Check Applicable 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SOUTH SAN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CA</w:t>
            </w:r>
          </w:p>
        </w:tc>
        <w:tc>
          <w:tcPr>
            <w:tcW w:w="10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94080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X</w:t>
            </w:r>
          </w:p>
        </w:tc>
        <w:tc>
          <w:tcPr>
            <w:tcW w:w="216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filed by One Reporting Person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FRANCISCO</w:t>
            </w: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(State)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(Zip)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16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jc w:val="right"/>
              <w:ind w:right="1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6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8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00" w:type="dxa"/>
            <w:vAlign w:val="bottom"/>
            <w:gridSpan w:val="7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8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3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5"/>
              </w:rPr>
              <w:t>(A) or</w:t>
            </w:r>
          </w:p>
        </w:tc>
        <w:tc>
          <w:tcPr>
            <w:tcW w:w="740" w:type="dxa"/>
            <w:vAlign w:val="bottom"/>
            <w:gridSpan w:val="3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8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jc w:val="right"/>
              <w:ind w:right="2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80" w:type="dxa"/>
            <w:vAlign w:val="bottom"/>
            <w:gridSpan w:val="1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 of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4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400" w:type="dxa"/>
            <w:vAlign w:val="bottom"/>
            <w:gridSpan w:val="4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 Underlying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40" w:type="dxa"/>
            <w:vAlign w:val="bottom"/>
            <w:gridSpan w:val="4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4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400" w:type="dxa"/>
            <w:vAlign w:val="bottom"/>
            <w:gridSpan w:val="4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 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1440" w:type="dxa"/>
            <w:vAlign w:val="bottom"/>
            <w:gridSpan w:val="4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and 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9"/>
              </w:rPr>
              <w:t>Reported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3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Restricted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1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(2)</w:t>
            </w:r>
          </w:p>
        </w:tc>
        <w:tc>
          <w:tcPr>
            <w:tcW w:w="42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(2)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Common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jc w:val="right"/>
              <w:ind w:righ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280,732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  <w:vMerge w:val="restart"/>
          </w:tcPr>
          <w:p>
            <w:pPr>
              <w:jc w:val="right"/>
              <w:ind w:right="1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04/04/2022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280,732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ind w:right="281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jc w:val="right"/>
              <w:ind w:right="1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280,732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Units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ind w:right="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3.99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jc w:val="right"/>
              <w:ind w:right="1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04/04/2022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A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ind w:righ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1,617,775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(3)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04/04/2032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Common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6"/>
              </w:rPr>
              <w:t>1,617,775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right"/>
              <w:ind w:right="2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jc w:val="right"/>
              <w:ind w:right="1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1,617,775</w:t>
            </w:r>
          </w:p>
        </w:tc>
        <w:tc>
          <w:tcPr>
            <w:tcW w:w="6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 w:line="8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8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0000FF"/>
        </w:rPr>
        <w:t>Buy)</w:t>
      </w:r>
    </w:p>
    <w:p>
      <w:pPr>
        <w:spacing w:after="0" w:line="9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Explanation of Responses:</w:t>
      </w:r>
    </w:p>
    <w:p>
      <w:pPr>
        <w:spacing w:after="0" w:line="49" w:lineRule="exact"/>
        <w:rPr>
          <w:sz w:val="20"/>
          <w:szCs w:val="20"/>
          <w:color w:val="auto"/>
        </w:rPr>
      </w:pPr>
    </w:p>
    <w:p>
      <w:pPr>
        <w:ind w:left="160" w:hanging="123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2"/>
          <w:szCs w:val="12"/>
          <w:color w:val="008000"/>
        </w:rPr>
      </w:pPr>
      <w:r>
        <w:rPr>
          <w:rFonts w:ascii="Times New Roman" w:cs="Times New Roman" w:eastAsia="Times New Roman" w:hAnsi="Times New Roman"/>
          <w:sz w:val="12"/>
          <w:szCs w:val="12"/>
          <w:color w:val="008000"/>
        </w:rPr>
        <w:t>Each Restricted Stock Unit represents the contingent right to receive one share of FLDM common stock.</w:t>
      </w:r>
    </w:p>
    <w:p>
      <w:pPr>
        <w:spacing w:after="0" w:line="49" w:lineRule="exact"/>
        <w:rPr>
          <w:rFonts w:ascii="Times New Roman" w:cs="Times New Roman" w:eastAsia="Times New Roman" w:hAnsi="Times New Roman"/>
          <w:sz w:val="12"/>
          <w:szCs w:val="12"/>
          <w:color w:val="008000"/>
        </w:rPr>
      </w:pPr>
    </w:p>
    <w:p>
      <w:pPr>
        <w:ind w:left="160" w:hanging="123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2"/>
          <w:szCs w:val="12"/>
          <w:color w:val="008000"/>
        </w:rPr>
      </w:pPr>
      <w:r>
        <w:rPr>
          <w:rFonts w:ascii="Times New Roman" w:cs="Times New Roman" w:eastAsia="Times New Roman" w:hAnsi="Times New Roman"/>
          <w:sz w:val="12"/>
          <w:szCs w:val="12"/>
          <w:color w:val="008000"/>
        </w:rPr>
        <w:t>Restricted Stock Units vest in four equal annual installments beginning April 4, 2023.</w:t>
      </w:r>
    </w:p>
    <w:p>
      <w:pPr>
        <w:spacing w:after="0" w:line="49" w:lineRule="exact"/>
        <w:rPr>
          <w:rFonts w:ascii="Times New Roman" w:cs="Times New Roman" w:eastAsia="Times New Roman" w:hAnsi="Times New Roman"/>
          <w:sz w:val="12"/>
          <w:szCs w:val="12"/>
          <w:color w:val="008000"/>
        </w:rPr>
      </w:pPr>
    </w:p>
    <w:p>
      <w:pPr>
        <w:ind w:left="160" w:hanging="123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2"/>
          <w:szCs w:val="12"/>
          <w:color w:val="008000"/>
        </w:rPr>
      </w:pPr>
      <w:r>
        <w:rPr>
          <w:rFonts w:ascii="Times New Roman" w:cs="Times New Roman" w:eastAsia="Times New Roman" w:hAnsi="Times New Roman"/>
          <w:sz w:val="12"/>
          <w:szCs w:val="12"/>
          <w:color w:val="008000"/>
        </w:rPr>
        <w:t>The Option becomes exercisable as to 1/4th of the underlying shares on April 4, 2023, and as to an additional 1/48th of the total number of shares each month thereafter.</w:t>
      </w:r>
    </w:p>
    <w:p>
      <w:pPr>
        <w:spacing w:after="0" w:line="4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Remarks:</w:t>
      </w:r>
    </w:p>
    <w:p>
      <w:pPr>
        <w:spacing w:after="0" w:line="129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/s/ Hanjoon Alex Kim by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4188460</wp:posOffset>
            </wp:positionH>
            <wp:positionV relativeFrom="paragraph">
              <wp:posOffset>-5080</wp:posOffset>
            </wp:positionV>
            <wp:extent cx="1042670" cy="762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2670" cy="7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Nicholas Khadder, Attorney-in-</w:t>
        <w:tab/>
        <w:t>04/06/2022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4188460</wp:posOffset>
            </wp:positionH>
            <wp:positionV relativeFrom="paragraph">
              <wp:posOffset>-12065</wp:posOffset>
            </wp:positionV>
            <wp:extent cx="1865630" cy="762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65630" cy="7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4188460</wp:posOffset>
            </wp:positionH>
            <wp:positionV relativeFrom="paragraph">
              <wp:posOffset>-12065</wp:posOffset>
            </wp:positionV>
            <wp:extent cx="177800" cy="762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800" cy="7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5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Reminder: Report on a separate line for each class of securities beneficially owned directly or indirectly.</w:t>
      </w:r>
    </w:p>
    <w:p>
      <w:pPr>
        <w:spacing w:after="0" w:line="4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4 (b)(v).</w:t>
      </w:r>
    </w:p>
    <w:p>
      <w:pPr>
        <w:spacing w:after="0" w:line="49" w:lineRule="exact"/>
        <w:rPr>
          <w:sz w:val="20"/>
          <w:szCs w:val="20"/>
          <w:color w:val="auto"/>
        </w:rPr>
      </w:pPr>
    </w:p>
    <w:p>
      <w:pPr>
        <w:jc w:val="both"/>
        <w:ind w:left="40" w:right="3840" w:hanging="3"/>
        <w:spacing w:after="0" w:line="325" w:lineRule="auto"/>
        <w:tabs>
          <w:tab w:leader="none" w:pos="172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2"/>
          <w:szCs w:val="12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4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919209" TargetMode="External"/><Relationship Id="rId13" Type="http://schemas.openxmlformats.org/officeDocument/2006/relationships/hyperlink" Target="http://www.sec.gov/cgi-bin/browse-edgar?action=getcompany&amp;CIK=000116219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2022-04-06T17:37:23Z</dcterms:created>
  <dcterms:modified xsi:type="dcterms:W3CDTF">2022-04-06T17:37:23Z</dcterms:modified>
</cp:coreProperties>
</file>