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09/07/2011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09/07/2011</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9"/>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000FF"/>
              </w:rPr>
              <w:t>5,661</w:t>
            </w:r>
          </w:p>
        </w:tc>
        <w:tc>
          <w:tcPr>
            <w:tcW w:w="80" w:type="dxa"/>
            <w:vAlign w:val="bottom"/>
          </w:tcPr>
          <w:p>
            <w:pPr>
              <w:spacing w:after="0"/>
              <w:rPr>
                <w:sz w:val="23"/>
                <w:szCs w:val="23"/>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4.08</w:t>
            </w:r>
          </w:p>
        </w:tc>
        <w:tc>
          <w:tcPr>
            <w:tcW w:w="1340" w:type="dxa"/>
            <w:vAlign w:val="bottom"/>
            <w:gridSpan w:val="3"/>
          </w:tcPr>
          <w:p>
            <w:pPr>
              <w:jc w:val="right"/>
              <w:ind w:right="376"/>
              <w:spacing w:after="0"/>
              <w:rPr>
                <w:sz w:val="20"/>
                <w:szCs w:val="20"/>
                <w:color w:val="auto"/>
              </w:rPr>
            </w:pPr>
            <w:r>
              <w:rPr>
                <w:rFonts w:ascii="Arial" w:cs="Arial" w:eastAsia="Arial" w:hAnsi="Arial"/>
                <w:sz w:val="18"/>
                <w:szCs w:val="18"/>
                <w:color w:val="0000FF"/>
              </w:rPr>
              <w:t>5,661</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09/07/2011</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5"/>
              </w:rPr>
              <w:t>5,661</w:t>
            </w:r>
            <w:r>
              <w:rPr>
                <w:rFonts w:ascii="Arial" w:cs="Arial" w:eastAsia="Arial" w:hAnsi="Arial"/>
                <w:sz w:val="22"/>
                <w:szCs w:val="22"/>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13</w:t>
            </w:r>
            <w:r>
              <w:rPr>
                <w:rFonts w:ascii="Arial" w:cs="Arial" w:eastAsia="Arial" w:hAnsi="Arial"/>
                <w:sz w:val="22"/>
                <w:szCs w:val="22"/>
                <w:color w:val="008000"/>
                <w:w w:val="83"/>
                <w:vertAlign w:val="superscript"/>
              </w:rPr>
              <w:t>(2)</w:t>
            </w: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36"/>
              <w:spacing w:after="0"/>
              <w:rPr>
                <w:sz w:val="20"/>
                <w:szCs w:val="20"/>
                <w:color w:val="auto"/>
              </w:rPr>
            </w:pPr>
            <w:r>
              <w:rPr>
                <w:rFonts w:ascii="Arial" w:cs="Arial" w:eastAsia="Arial" w:hAnsi="Arial"/>
                <w:sz w:val="18"/>
                <w:szCs w:val="18"/>
                <w:color w:val="0000FF"/>
                <w:w w:val="9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40" w:type="dxa"/>
            <w:vAlign w:val="bottom"/>
            <w:gridSpan w:val="12"/>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50"/>
              <w:spacing w:after="0"/>
              <w:rPr>
                <w:sz w:val="20"/>
                <w:szCs w:val="20"/>
                <w:color w:val="auto"/>
              </w:rPr>
            </w:pPr>
            <w:r>
              <w:rPr>
                <w:rFonts w:ascii="Arial" w:cs="Arial" w:eastAsia="Arial" w:hAnsi="Arial"/>
                <w:sz w:val="18"/>
                <w:szCs w:val="18"/>
                <w:color w:val="0000FF"/>
                <w:w w:val="93"/>
              </w:rPr>
              <w:t>5,661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4.08</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09/07/2011</w:t>
            </w:r>
          </w:p>
        </w:tc>
        <w:tc>
          <w:tcPr>
            <w:tcW w:w="1140" w:type="dxa"/>
            <w:vAlign w:val="bottom"/>
          </w:tcPr>
          <w:p>
            <w:pPr>
              <w:spacing w:after="0"/>
              <w:rPr>
                <w:sz w:val="11"/>
                <w:szCs w:val="11"/>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5,661</w:t>
            </w:r>
          </w:p>
        </w:tc>
        <w:tc>
          <w:tcPr>
            <w:tcW w:w="800" w:type="dxa"/>
            <w:vAlign w:val="bottom"/>
            <w:gridSpan w:val="2"/>
            <w:vMerge w:val="continue"/>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11/17/2019</w:t>
            </w:r>
          </w:p>
        </w:tc>
        <w:tc>
          <w:tcPr>
            <w:tcW w:w="6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440"/>
              <w:spacing w:after="0" w:line="133" w:lineRule="exact"/>
              <w:rPr>
                <w:sz w:val="20"/>
                <w:szCs w:val="20"/>
                <w:color w:val="auto"/>
              </w:rPr>
            </w:pPr>
            <w:r>
              <w:rPr>
                <w:rFonts w:ascii="Arial" w:cs="Arial" w:eastAsia="Arial" w:hAnsi="Arial"/>
                <w:sz w:val="14"/>
                <w:szCs w:val="14"/>
                <w:color w:val="0000FF"/>
              </w:rPr>
              <w:t>119</w:t>
            </w:r>
          </w:p>
        </w:tc>
        <w:tc>
          <w:tcPr>
            <w:tcW w:w="30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20"/>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Jog were effected pursuant to a Rule 10b5-1 trading plan adopted on August 30, 2011.</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acquired. These shares were purchased in multiple transactions at prices ranging from $12.84 to $13.29, inclusive. The reporting person undertakes to provide to the issuer, any security holder of the issuer, or the SEC staff, upon request, full information regarding the number of shares purchased at each separate price within the ranges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100% of the shares subject to the Option vested on December 31, 2009.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0000FF"/>
                <w:w w:val="89"/>
              </w:rPr>
              <w:t>/s/ Vikram Jog</w:t>
            </w:r>
          </w:p>
        </w:tc>
        <w:tc>
          <w:tcPr>
            <w:tcW w:w="10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09/07/2011</w:t>
            </w:r>
          </w:p>
        </w:tc>
      </w:tr>
      <w:tr>
        <w:trPr>
          <w:trHeight w:val="20"/>
        </w:trPr>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2019-12-17T15:26:03Z</dcterms:created>
  <dcterms:modified xsi:type="dcterms:W3CDTF">2019-12-17T15:26:03Z</dcterms:modified>
</cp:coreProperties>
</file>