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November 8, 2022</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Standard BioTools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$0.001 par value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rPr>
              <w:t>LAB</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November 8, 2022, Standard BioTools Inc. (the “Company”) issued a press release reporting its financial results for the third fiscal quarter of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such press release is furnished herewith as Exhibit 99.1.</w:t>
      </w:r>
    </w:p>
    <w:p>
      <w:pPr>
        <w:spacing w:after="0" w:line="184" w:lineRule="exact"/>
        <w:rPr>
          <w:sz w:val="20"/>
          <w:szCs w:val="20"/>
          <w:color w:val="auto"/>
        </w:rPr>
      </w:pPr>
    </w:p>
    <w:p>
      <w:pPr>
        <w:jc w:val="both"/>
        <w:ind w:right="180" w:firstLine="312"/>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incorporated by reference into any filing under the Exchange Act or the Securities Act of 1933, as amended, except as expressly set forth by specific reference in such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64"/>
        </w:trPr>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12"/>
        </w:trPr>
        <w:tc>
          <w:tcPr>
            <w:tcW w:w="1260" w:type="dxa"/>
            <w:vAlign w:val="bottom"/>
            <w:gridSpan w:val="3"/>
          </w:tcPr>
          <w:p>
            <w:pPr>
              <w:jc w:val="center"/>
              <w:ind w:right="440"/>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Arial" w:cs="Arial" w:eastAsia="Arial" w:hAnsi="Arial"/>
                <w:sz w:val="18"/>
                <w:szCs w:val="18"/>
                <w:color w:val="0000EE"/>
              </w:rPr>
              <w:t>Standard BioTools Inc. Press Release dated November 8, 2022.</w:t>
            </w:r>
          </w:p>
        </w:tc>
      </w:tr>
      <w:tr>
        <w:trPr>
          <w:trHeight w:val="20"/>
        </w:trPr>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r>
      <w:tr>
        <w:trPr>
          <w:trHeight w:val="243"/>
        </w:trPr>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68"/>
        </w:trPr>
        <w:tc>
          <w:tcPr>
            <w:tcW w:w="4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3680" w:type="dxa"/>
            <w:vAlign w:val="bottom"/>
            <w:shd w:val="clear" w:color="auto" w:fill="000000"/>
          </w:tcPr>
          <w:p>
            <w:pPr>
              <w:spacing w:after="0"/>
              <w:rPr>
                <w:sz w:val="5"/>
                <w:szCs w:val="5"/>
                <w:color w:val="auto"/>
              </w:rPr>
            </w:pPr>
          </w:p>
        </w:tc>
        <w:tc>
          <w:tcPr>
            <w:tcW w:w="51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820" w:type="dxa"/>
            <w:vAlign w:val="bottom"/>
            <w:gridSpan w:val="3"/>
          </w:tcPr>
          <w:p>
            <w:pPr>
              <w:ind w:left="1840"/>
              <w:spacing w:after="0"/>
              <w:rPr>
                <w:sz w:val="20"/>
                <w:szCs w:val="20"/>
                <w:color w:val="auto"/>
              </w:rPr>
            </w:pPr>
            <w:r>
              <w:rPr>
                <w:rFonts w:ascii="Arial" w:cs="Arial" w:eastAsia="Arial" w:hAnsi="Arial"/>
                <w:sz w:val="18"/>
                <w:szCs w:val="18"/>
                <w:b w:val="1"/>
                <w:bCs w:val="1"/>
                <w:color w:val="auto"/>
                <w:w w:val="99"/>
              </w:rPr>
              <w:t>Standard BioTools Inc.</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November 8, 2022</w:t>
            </w:r>
          </w:p>
        </w:tc>
        <w:tc>
          <w:tcPr>
            <w:tcW w:w="3820" w:type="dxa"/>
            <w:vAlign w:val="bottom"/>
            <w:gridSpan w:val="3"/>
          </w:tcPr>
          <w:p>
            <w:pPr>
              <w:ind w:left="1840"/>
              <w:spacing w:after="0"/>
              <w:rPr>
                <w:sz w:val="20"/>
                <w:szCs w:val="20"/>
                <w:color w:val="auto"/>
              </w:rPr>
            </w:pPr>
            <w:r>
              <w:rPr>
                <w:rFonts w:ascii="Arial" w:cs="Arial" w:eastAsia="Arial" w:hAnsi="Arial"/>
                <w:sz w:val="18"/>
                <w:szCs w:val="18"/>
                <w:color w:val="auto"/>
              </w:rPr>
              <w:t>By: /s/ Vikram Jog</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5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25"/>
          <w:szCs w:val="25"/>
          <w:b w:val="1"/>
          <w:bCs w:val="1"/>
          <w:color w:val="auto"/>
        </w:rPr>
        <w:t>Standard BioTools Announces Third Quarter 2022 Financial Results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Third quarter core product and services revenue increase of 30% sequentially to $24.8 million</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i w:val="1"/>
          <w:iCs w:val="1"/>
          <w:color w:val="auto"/>
        </w:rPr>
        <w:t>First phase of restructuring program improves operating margin by 600 to 800 basis points, or $8.0 million net on an annualized basis</w:t>
      </w:r>
    </w:p>
    <w:p>
      <w:pPr>
        <w:spacing w:after="0" w:line="175"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i w:val="1"/>
          <w:iCs w:val="1"/>
          <w:color w:val="auto"/>
        </w:rPr>
        <w:t>Reiterate stated goal of 700 to 1000 basis point non-GAAP product and service gross margin improvement to 65-68% by year end 2023, driven by lean transformation, volume growth and value selling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On track to achieve positive free cash flow by year-end 2024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cash equivalents, and short-term investments of $185.2 million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Company to host conference call and webcast today at 5:00 p.m. ET</w:t>
      </w:r>
    </w:p>
    <w:p>
      <w:pPr>
        <w:spacing w:after="0" w:line="20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 xml:space="preserve">SOUTH SAN FRANCISCO, Calif., Nov. 08, 2022 (GLOBE NEWSWIRE) -- Standard BioTools Inc. (Nasdaq:LAB), driven by a bold purpose – </w:t>
      </w:r>
      <w:r>
        <w:rPr>
          <w:rFonts w:ascii="Arial" w:cs="Arial" w:eastAsia="Arial" w:hAnsi="Arial"/>
          <w:sz w:val="22"/>
          <w:szCs w:val="22"/>
          <w:i w:val="1"/>
          <w:iCs w:val="1"/>
          <w:color w:val="auto"/>
        </w:rPr>
        <w:t>Unleashing tools to accelerate breakthroughs in human health™</w:t>
      </w:r>
      <w:r>
        <w:rPr>
          <w:rFonts w:ascii="Arial" w:cs="Arial" w:eastAsia="Arial" w:hAnsi="Arial"/>
          <w:sz w:val="22"/>
          <w:szCs w:val="22"/>
          <w:color w:val="auto"/>
        </w:rPr>
        <w:t xml:space="preserve"> – today announced financial results for the third quarter ended September 30, 2022.</w:t>
      </w:r>
    </w:p>
    <w:p>
      <w:pPr>
        <w:spacing w:after="0" w:line="186"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“While still early and just two quarters into our leadership transition with a focus on commercial execution, operational efficiency, and expense reduction, we are seeing encouraging quarter-over-quarter results across the core business,” said Michael Egholm, PhD, President and Chief Executive Officer of Standard BioTools. “This includes over 30% sequential revenue growth across our mass cytometry and microfluidics core business, which going forward we will refer to as proteomics and genomics, respectively. Our new leadership team of seasoned operators has been highly focused on returning our core business to growth while driving toward profitability and improved operating discipline leveraging our Standard BioTools™ Business Systems approach.”</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"Consistent with our vision to become a preferred solutions provider for the life sciences industry, we firmly believe consolidation will fuel the long-term growth of Standard BioTools. We are taking a disciplined approach and are well positioned to capitalize on current market conditions. I look forward to updating our stakeholders on our progress in future quarters," Egholm concluded.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w:t>
      </w:r>
    </w:p>
    <w:p>
      <w:pPr>
        <w:spacing w:after="0" w:line="212" w:lineRule="exact"/>
        <w:rPr>
          <w:sz w:val="20"/>
          <w:szCs w:val="20"/>
          <w:color w:val="auto"/>
        </w:rPr>
      </w:pPr>
    </w:p>
    <w:p>
      <w:pPr>
        <w:jc w:val="both"/>
        <w:ind w:left="540" w:right="140"/>
        <w:spacing w:after="0" w:line="328" w:lineRule="auto"/>
        <w:rPr>
          <w:sz w:val="20"/>
          <w:szCs w:val="20"/>
          <w:color w:val="auto"/>
        </w:rPr>
      </w:pPr>
      <w:r>
        <w:rPr>
          <w:rFonts w:ascii="Arial" w:cs="Arial" w:eastAsia="Arial" w:hAnsi="Arial"/>
          <w:sz w:val="19"/>
          <w:szCs w:val="19"/>
          <w:color w:val="auto"/>
        </w:rPr>
        <w:t>Implemented phased restructuring to significantly lower operating cash burn beginning in the second half of 2022 through general and administrative expense reductions, right-sizing of microfluidics business and further portfolio rationalization.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2" w:lineRule="exact"/>
        <w:rPr>
          <w:sz w:val="20"/>
          <w:szCs w:val="20"/>
          <w:color w:val="auto"/>
        </w:rPr>
      </w:pPr>
    </w:p>
    <w:p>
      <w:pPr>
        <w:ind w:left="540" w:right="280"/>
        <w:spacing w:after="0"/>
        <w:rPr>
          <w:sz w:val="20"/>
          <w:szCs w:val="20"/>
          <w:color w:val="auto"/>
        </w:rPr>
      </w:pPr>
      <w:r>
        <w:rPr>
          <w:rFonts w:ascii="Arial" w:cs="Arial" w:eastAsia="Arial" w:hAnsi="Arial"/>
          <w:sz w:val="22"/>
          <w:szCs w:val="22"/>
          <w:color w:val="auto"/>
        </w:rPr>
        <w:t>Strengthened leadership team with key appointments of Scott Greenstone as Vice President Investor Relations and Business Development; Michele Morgan, Senior Manager Global Training; and Laurie Lavigne, Senior Director, Global Financial Planning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120"/>
        <w:spacing w:after="0" w:line="238" w:lineRule="auto"/>
        <w:rPr>
          <w:sz w:val="20"/>
          <w:szCs w:val="20"/>
          <w:color w:val="auto"/>
        </w:rPr>
      </w:pPr>
      <w:r>
        <w:rPr>
          <w:rFonts w:ascii="Arial" w:cs="Arial" w:eastAsia="Arial" w:hAnsi="Arial"/>
          <w:sz w:val="22"/>
          <w:szCs w:val="22"/>
          <w:color w:val="auto"/>
        </w:rPr>
        <w:t>Launched the X9™ Real-Time PCR System, marking the first Standard BioTools branded instrument; announced a collaboration with Visikol® to offer and expand the use of high-plex Imaging Mass Cytometry™ services; and announced that Ascendas Genomics had received approval by the National Medical Products Administration of China for use of Standard BioTools microfluidics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2022 Financial Results </w:t>
      </w:r>
    </w:p>
    <w:p>
      <w:pPr>
        <w:spacing w:after="0" w:line="21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Core product and service revenue (excluding COVID-19 testing and exited products revenue) was $24.8 million, up sequentially from $19.0 million and compared with $25.3 million for the third quarter of 2021.</w:t>
      </w:r>
    </w:p>
    <w:p>
      <w:pPr>
        <w:spacing w:after="0" w:line="175"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auto"/>
        </w:rPr>
        <w:t>Total revenue was $25.6 million for the quarter ended September 30, 2022, up sequentially from $18.8 million and compared with $28.5 million for the third quarter of 2021, driven by lower instrument and COVID-19 testing revenue.</w:t>
      </w:r>
    </w:p>
    <w:p>
      <w:pPr>
        <w:spacing w:after="0" w:line="151"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GAAP net loss for the quarter ended September 30, 2022, was $29.4 million, compared with a GAAP net loss of $13.8 million for the third quarter of 2021. The year-over-year increase in GAAP net loss was primarily due to $6.2 million of lower non-operating income and $6.1 million of business improvement charges.</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Operating income (loss) in 2022 includes certain items related to the strategic financing transaction and subsequent business improvement actions taken by the new management team, including the rationalization of the product portfolio and the restructuring program announced in August 2022. These items increased operating loss by $6.1 million and $24.5 million for the three and nine months ended September 30, 2022.</w:t>
      </w:r>
    </w:p>
    <w:p>
      <w:pPr>
        <w:spacing w:after="0" w:line="185"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Non-GAAP net loss, which excludes stock-based compensation, depreciation and amortization expenses, and interest expense, was $20.8 million for the quarter, compared with a non-GAAP net loss of $5.4 million for the third quarter of 2021.</w:t>
      </w:r>
    </w:p>
    <w:p>
      <w:pPr>
        <w:sectPr>
          <w:pgSz w:w="11900" w:h="16838" w:orient="portrait"/>
          <w:cols w:equalWidth="0" w:num="1">
            <w:col w:w="11240"/>
          </w:cols>
          <w:pgMar w:left="320" w:top="112" w:right="339" w:bottom="0" w:gutter="0" w:footer="0" w:header="0"/>
        </w:sectPr>
      </w:pPr>
    </w:p>
    <w:bookmarkStart w:id="4" w:name="page5"/>
    <w:bookmarkEnd w:id="4"/>
    <w:p>
      <w:pPr>
        <w:ind w:right="640"/>
        <w:spacing w:after="0" w:line="251" w:lineRule="auto"/>
        <w:rPr>
          <w:sz w:val="20"/>
          <w:szCs w:val="20"/>
          <w:color w:val="auto"/>
        </w:rPr>
      </w:pPr>
      <w:r>
        <w:rPr>
          <w:rFonts w:ascii="Arial" w:cs="Arial" w:eastAsia="Arial" w:hAnsi="Arial"/>
          <w:sz w:val="22"/>
          <w:szCs w:val="22"/>
          <w:color w:val="auto"/>
        </w:rPr>
        <w:t>Cash, cash equivalents, and short-term investments as of September 30, 2022, were $185.2 million, compared with $211.2 million as of June 30, 2022.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12"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company’s management will host a conference call and webcast today at 2:00 p.m. PT, 5:00 p.m. ET, to discuss third quarter 2022 financial results and operational progress as well as to provide additional color on its strategic actions.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Individuals interested in listening to the conference call may do so by dialing:</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US domestic callers: (888) 346-3970</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Outside US callers: (412) 902-4297</w:t>
      </w:r>
    </w:p>
    <w:p>
      <w:pPr>
        <w:spacing w:after="0" w:line="188" w:lineRule="exact"/>
        <w:rPr>
          <w:sz w:val="20"/>
          <w:szCs w:val="20"/>
          <w:color w:val="auto"/>
        </w:rPr>
      </w:pPr>
    </w:p>
    <w:p>
      <w:pPr>
        <w:ind w:right="720"/>
        <w:spacing w:after="0"/>
        <w:rPr>
          <w:sz w:val="20"/>
          <w:szCs w:val="20"/>
          <w:color w:val="auto"/>
        </w:rPr>
      </w:pPr>
      <w:r>
        <w:rPr>
          <w:rFonts w:ascii="Arial" w:cs="Arial" w:eastAsia="Arial" w:hAnsi="Arial"/>
          <w:sz w:val="22"/>
          <w:szCs w:val="22"/>
          <w:color w:val="auto"/>
        </w:rPr>
        <w:t>Live audio of the webcast will be available online from the Investor Relations page of the company’s website at</w:t>
      </w:r>
      <w:r>
        <w:rPr>
          <w:rFonts w:ascii="Arial" w:cs="Arial" w:eastAsia="Arial" w:hAnsi="Arial"/>
          <w:sz w:val="22"/>
          <w:szCs w:val="22"/>
          <w:u w:val="single" w:color="auto"/>
          <w:color w:val="auto"/>
        </w:rPr>
        <w:t> Events &amp;</w:t>
      </w:r>
      <w:r>
        <w:rPr>
          <w:rFonts w:ascii="Arial" w:cs="Arial" w:eastAsia="Arial" w:hAnsi="Arial"/>
          <w:sz w:val="22"/>
          <w:szCs w:val="22"/>
          <w:color w:val="auto"/>
        </w:rPr>
        <w:t xml:space="preserve"> </w:t>
      </w:r>
      <w:r>
        <w:rPr>
          <w:rFonts w:ascii="Arial" w:cs="Arial" w:eastAsia="Arial" w:hAnsi="Arial"/>
          <w:sz w:val="22"/>
          <w:szCs w:val="22"/>
          <w:u w:val="single" w:color="auto"/>
          <w:color w:val="auto"/>
        </w:rPr>
        <w:t>Presentations</w:t>
      </w:r>
      <w:r>
        <w:rPr>
          <w:rFonts w:ascii="Arial" w:cs="Arial" w:eastAsia="Arial" w:hAnsi="Arial"/>
          <w:sz w:val="22"/>
          <w:szCs w:val="22"/>
          <w:color w:val="auto"/>
        </w:rPr>
        <w:t>. The webcast will be archived and available on the Standard BioTools Investor Relations page at</w:t>
      </w:r>
      <w:r>
        <w:rPr>
          <w:rFonts w:ascii="Arial" w:cs="Arial" w:eastAsia="Arial" w:hAnsi="Arial"/>
          <w:sz w:val="22"/>
          <w:szCs w:val="22"/>
          <w:u w:val="single" w:color="auto"/>
          <w:color w:val="auto"/>
        </w:rPr>
        <w:t> investors.standardbio.com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financial measures can be found in the tables of this news release.</w:t>
      </w:r>
    </w:p>
    <w:p>
      <w:pPr>
        <w:spacing w:after="0" w:line="206"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Our investor presentation including Supplemental Financial Information has been posted on our website concurrent with this release.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12"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Standard BioTools has presented certain financial information in accordance with U.S. GAAP and also on a non-GAAP basis for the three- and nine-month periods ended September 30, 2022, and September 30, 2021.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operational and strategic plans, deployment of capital, our cash runway and sufficiency of cash resources, margin expectations, potential M&amp;A activity, and expectations with respect to our restructuring plans (including expense reduction activities involving potential subleasing and talent relocation plans, modifications to the scope of the company’s microfluidics and mass cytometry franchises, and discontinuing of certain product lines). Forward-looking statements are subject to numerous risks and uncertainties that could cause actual results to differ materially from currently anticipated results, including but not limited to risks that we may not realize expected cost savings from the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ability to execute subleasing plans, customer and employee relations, management distraction and reduced operating resources;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risks related to the adverse effects of the COVID-19 pandemic on our business and operating results; changes in Standard BioTools’ business or external market conditions; customers and prospective customers continuing to curtail or suspend activities utilizing our products due to the COVID-19 pandemic;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uncertainties relating to Standard BioTools’ research and development activities, distribution plans and capabilities; potential product performance and quality issues; risks associated with international operations; intellectual property risks; and competition.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These forward-looking statements speak only as of the date hereof. Standard BioTools disclaims any obligation to update these forward-looking statements except as may be required by law.</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Standard BioTools Inc.</w:t>
      </w:r>
    </w:p>
    <w:p>
      <w:pPr>
        <w:sectPr>
          <w:pgSz w:w="11900" w:h="16838" w:orient="portrait"/>
          <w:cols w:equalWidth="0" w:num="1">
            <w:col w:w="11220"/>
          </w:cols>
          <w:pgMar w:left="320" w:top="118" w:right="359" w:bottom="0" w:gutter="0" w:footer="0" w:header="0"/>
        </w:sectPr>
      </w:pPr>
    </w:p>
    <w:bookmarkStart w:id="5" w:name="page6"/>
    <w:bookmarkEnd w:id="5"/>
    <w:p>
      <w:pPr>
        <w:spacing w:after="0" w:line="272" w:lineRule="auto"/>
        <w:rPr>
          <w:sz w:val="20"/>
          <w:szCs w:val="20"/>
          <w:color w:val="auto"/>
        </w:rPr>
      </w:pPr>
      <w:r>
        <w:rPr>
          <w:rFonts w:ascii="Arial" w:cs="Arial" w:eastAsia="Arial" w:hAnsi="Arial"/>
          <w:sz w:val="19"/>
          <w:szCs w:val="19"/>
          <w:color w:val="auto"/>
        </w:rPr>
        <w:t xml:space="preserve">Standard BioTools Inc. (Nasdaq:LAB), previously known as Fluidigm Corporation, is driven by a bold purpose – </w:t>
      </w:r>
      <w:r>
        <w:rPr>
          <w:rFonts w:ascii="Arial" w:cs="Arial" w:eastAsia="Arial" w:hAnsi="Arial"/>
          <w:sz w:val="19"/>
          <w:szCs w:val="19"/>
          <w:i w:val="1"/>
          <w:iCs w:val="1"/>
          <w:color w:val="auto"/>
        </w:rPr>
        <w:t>Unleashing</w:t>
      </w:r>
      <w:r>
        <w:rPr>
          <w:rFonts w:ascii="Arial" w:cs="Arial" w:eastAsia="Arial" w:hAnsi="Arial"/>
          <w:sz w:val="19"/>
          <w:szCs w:val="19"/>
          <w:color w:val="auto"/>
        </w:rPr>
        <w:t xml:space="preserve"> </w:t>
      </w:r>
      <w:r>
        <w:rPr>
          <w:rFonts w:ascii="Arial" w:cs="Arial" w:eastAsia="Arial" w:hAnsi="Arial"/>
          <w:sz w:val="19"/>
          <w:szCs w:val="19"/>
          <w:i w:val="1"/>
          <w:iCs w:val="1"/>
          <w:color w:val="auto"/>
        </w:rPr>
        <w:t>tools to accelerate breakthroughs in human health</w:t>
      </w:r>
      <w:r>
        <w:rPr>
          <w:rFonts w:ascii="Arial" w:cs="Arial" w:eastAsia="Arial" w:hAnsi="Arial"/>
          <w:sz w:val="19"/>
          <w:szCs w:val="19"/>
          <w:color w:val="auto"/>
        </w:rPr>
        <w:t xml:space="preserve">.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 Standard BioTools, the Standard BioTools logo, Fluidigm, the Fluidigm logo, “Unleashing tools to accelerate breakthroughs in human health,” Imaging Mass Cytometry, and X9 are trademarks and/or registered trademarks of Standard BioTools Inc. or its affiliates in the United States and/or other countries. All other trademarks are the sole property of their respective owners. Standard BioTools products are provided for </w:t>
      </w:r>
      <w:r>
        <w:rPr>
          <w:rFonts w:ascii="Arial" w:cs="Arial" w:eastAsia="Arial" w:hAnsi="Arial"/>
          <w:sz w:val="19"/>
          <w:szCs w:val="19"/>
          <w:b w:val="1"/>
          <w:bCs w:val="1"/>
          <w:color w:val="auto"/>
        </w:rPr>
        <w:t>Research Use Only</w:t>
      </w:r>
      <w:r>
        <w:rPr>
          <w:rFonts w:ascii="Arial" w:cs="Arial" w:eastAsia="Arial" w:hAnsi="Arial"/>
          <w:sz w:val="19"/>
          <w:szCs w:val="19"/>
          <w:color w:val="auto"/>
        </w:rPr>
        <w:t>. Not for use in diagnostic procedures.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Standard BioTools uses its website (standardbio.com), investor site (investors.standardbio.com), corporate Twitter account (@Standard_BioT), Facebook page (facebook.com/StandardBioT), and LinkedIn page (linkedin.com/company/standard-biotools) as channels of distribution of information about its products, its planned financial and other announcements, its attendance at upcoming investor and industry conferences, and other matters. Such information may be deemed material information,</w:t>
      </w:r>
    </w:p>
    <w:p>
      <w:pPr>
        <w:spacing w:after="0" w:line="3" w:lineRule="exact"/>
        <w:rPr>
          <w:sz w:val="20"/>
          <w:szCs w:val="20"/>
          <w:color w:val="auto"/>
        </w:rPr>
      </w:pPr>
    </w:p>
    <w:p>
      <w:pPr>
        <w:ind w:right="720"/>
        <w:spacing w:after="0" w:line="234" w:lineRule="auto"/>
        <w:rPr>
          <w:sz w:val="20"/>
          <w:szCs w:val="20"/>
          <w:color w:val="auto"/>
        </w:rPr>
      </w:pPr>
      <w:r>
        <w:rPr>
          <w:rFonts w:ascii="Arial" w:cs="Arial" w:eastAsia="Arial" w:hAnsi="Arial"/>
          <w:sz w:val="22"/>
          <w:szCs w:val="22"/>
          <w:color w:val="auto"/>
        </w:rPr>
        <w:t>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Scott Greenstone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ir@standardbio.com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Peter DeNardo</w:t>
      </w:r>
    </w:p>
    <w:p>
      <w:pPr>
        <w:spacing w:after="0" w:line="238" w:lineRule="auto"/>
        <w:rPr>
          <w:sz w:val="20"/>
          <w:szCs w:val="20"/>
          <w:color w:val="auto"/>
        </w:rPr>
      </w:pPr>
      <w:r>
        <w:rPr>
          <w:rFonts w:ascii="Arial" w:cs="Arial" w:eastAsia="Arial" w:hAnsi="Arial"/>
          <w:sz w:val="22"/>
          <w:szCs w:val="22"/>
          <w:color w:val="auto"/>
        </w:rPr>
        <w:t>415 389 6400</w:t>
      </w:r>
    </w:p>
    <w:p>
      <w:pPr>
        <w:spacing w:after="0"/>
        <w:rPr>
          <w:sz w:val="20"/>
          <w:szCs w:val="20"/>
          <w:color w:val="auto"/>
        </w:rPr>
      </w:pPr>
      <w:r>
        <w:rPr>
          <w:rFonts w:ascii="Arial" w:cs="Arial" w:eastAsia="Arial" w:hAnsi="Arial"/>
          <w:sz w:val="22"/>
          <w:szCs w:val="22"/>
          <w:u w:val="single" w:color="auto"/>
          <w:color w:val="auto"/>
        </w:rPr>
        <w:t>ir@standardbio.com</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BIOTOOLS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(formerly known as FLUIDIGM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80" w:type="dxa"/>
            <w:vAlign w:val="bottom"/>
          </w:tcPr>
          <w:p>
            <w:pPr>
              <w:spacing w:after="0"/>
              <w:rPr>
                <w:sz w:val="21"/>
                <w:szCs w:val="21"/>
                <w:color w:val="auto"/>
              </w:rPr>
            </w:pPr>
          </w:p>
        </w:tc>
        <w:tc>
          <w:tcPr>
            <w:tcW w:w="2520" w:type="dxa"/>
            <w:vAlign w:val="bottom"/>
            <w:gridSpan w:val="4"/>
          </w:tcPr>
          <w:p>
            <w:pPr>
              <w:jc w:val="right"/>
              <w:ind w:right="372"/>
              <w:spacing w:after="0"/>
              <w:rPr>
                <w:sz w:val="20"/>
                <w:szCs w:val="20"/>
                <w:color w:val="auto"/>
              </w:rPr>
            </w:pPr>
            <w:r>
              <w:rPr>
                <w:rFonts w:ascii="Arial" w:cs="Arial" w:eastAsia="Arial" w:hAnsi="Arial"/>
                <w:sz w:val="22"/>
                <w:szCs w:val="22"/>
                <w:b w:val="1"/>
                <w:bCs w:val="1"/>
                <w:color w:val="auto"/>
                <w:w w:val="98"/>
              </w:rPr>
              <w:t>Nine Months Ended</w:t>
            </w:r>
          </w:p>
        </w:tc>
      </w:tr>
      <w:tr>
        <w:trPr>
          <w:trHeight w:val="282"/>
        </w:trPr>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87"/>
              </w:rPr>
              <w:t>September 30,</w:t>
            </w:r>
          </w:p>
        </w:tc>
        <w:tc>
          <w:tcPr>
            <w:tcW w:w="280" w:type="dxa"/>
            <w:vAlign w:val="bottom"/>
          </w:tcPr>
          <w:p>
            <w:pPr>
              <w:spacing w:after="0"/>
              <w:rPr>
                <w:sz w:val="24"/>
                <w:szCs w:val="2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22"/>
                <w:szCs w:val="22"/>
                <w:b w:val="1"/>
                <w:bCs w:val="1"/>
                <w:color w:val="auto"/>
              </w:rPr>
              <w:t>September 30,</w:t>
            </w:r>
          </w:p>
        </w:tc>
      </w:tr>
      <w:tr>
        <w:trPr>
          <w:trHeight w:val="265"/>
        </w:trPr>
        <w:tc>
          <w:tcPr>
            <w:tcW w:w="550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2021</w:t>
            </w:r>
          </w:p>
        </w:tc>
        <w:tc>
          <w:tcPr>
            <w:tcW w:w="1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2021</w:t>
            </w:r>
          </w:p>
        </w:tc>
      </w:tr>
      <w:tr>
        <w:trPr>
          <w:trHeight w:val="256"/>
        </w:trPr>
        <w:tc>
          <w:tcPr>
            <w:tcW w:w="5500" w:type="dxa"/>
            <w:vAlign w:val="bottom"/>
          </w:tcPr>
          <w:p>
            <w:pPr>
              <w:spacing w:after="0"/>
              <w:rPr>
                <w:sz w:val="20"/>
                <w:szCs w:val="20"/>
                <w:color w:val="auto"/>
              </w:rPr>
            </w:pPr>
            <w:r>
              <w:rPr>
                <w:rFonts w:ascii="Arial" w:cs="Arial" w:eastAsia="Arial" w:hAnsi="Arial"/>
                <w:sz w:val="22"/>
                <w:szCs w:val="22"/>
                <w:color w:val="auto"/>
              </w:rPr>
              <w:t>Revenue</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500" w:type="dxa"/>
            <w:vAlign w:val="bottom"/>
          </w:tcPr>
          <w:p>
            <w:pPr>
              <w:ind w:left="400"/>
              <w:spacing w:after="0"/>
              <w:rPr>
                <w:sz w:val="20"/>
                <w:szCs w:val="20"/>
                <w:color w:val="auto"/>
              </w:rPr>
            </w:pPr>
            <w:r>
              <w:rPr>
                <w:rFonts w:ascii="Arial" w:cs="Arial" w:eastAsia="Arial" w:hAnsi="Arial"/>
                <w:sz w:val="22"/>
                <w:szCs w:val="22"/>
                <w:color w:val="auto"/>
              </w:rPr>
              <w:t>Product revenue</w:t>
            </w:r>
          </w:p>
        </w:tc>
        <w:tc>
          <w:tcPr>
            <w:tcW w:w="260" w:type="dxa"/>
            <w:vAlign w:val="bottom"/>
          </w:tcPr>
          <w:p>
            <w:pPr>
              <w:jc w:val="right"/>
              <w:ind w:right="32"/>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19,312</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21,937</w:t>
            </w:r>
          </w:p>
        </w:tc>
        <w:tc>
          <w:tcPr>
            <w:tcW w:w="12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51,535</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69,292</w:t>
            </w:r>
          </w:p>
        </w:tc>
      </w:tr>
      <w:tr>
        <w:trPr>
          <w:trHeight w:val="274"/>
        </w:trPr>
        <w:tc>
          <w:tcPr>
            <w:tcW w:w="5500" w:type="dxa"/>
            <w:vAlign w:val="bottom"/>
          </w:tcPr>
          <w:p>
            <w:pPr>
              <w:ind w:left="400"/>
              <w:spacing w:after="0"/>
              <w:rPr>
                <w:sz w:val="20"/>
                <w:szCs w:val="20"/>
                <w:color w:val="auto"/>
              </w:rPr>
            </w:pPr>
            <w:r>
              <w:rPr>
                <w:rFonts w:ascii="Arial" w:cs="Arial" w:eastAsia="Arial" w:hAnsi="Arial"/>
                <w:sz w:val="22"/>
                <w:szCs w:val="22"/>
                <w:color w:val="auto"/>
              </w:rPr>
              <w:t>Service revenue</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5,857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6,016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17,807</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18,929</w:t>
            </w:r>
          </w:p>
        </w:tc>
      </w:tr>
      <w:tr>
        <w:trPr>
          <w:trHeight w:val="259"/>
        </w:trPr>
        <w:tc>
          <w:tcPr>
            <w:tcW w:w="5500" w:type="dxa"/>
            <w:vAlign w:val="bottom"/>
          </w:tcPr>
          <w:p>
            <w:pPr>
              <w:ind w:left="200"/>
              <w:spacing w:after="0"/>
              <w:rPr>
                <w:sz w:val="20"/>
                <w:szCs w:val="20"/>
                <w:color w:val="auto"/>
              </w:rPr>
            </w:pPr>
            <w:r>
              <w:rPr>
                <w:rFonts w:ascii="Arial" w:cs="Arial" w:eastAsia="Arial" w:hAnsi="Arial"/>
                <w:sz w:val="22"/>
                <w:szCs w:val="22"/>
                <w:color w:val="auto"/>
              </w:rPr>
              <w:t>Product and service revenue</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25,169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27,953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69,342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88,221</w:t>
            </w:r>
          </w:p>
        </w:tc>
      </w:tr>
      <w:tr>
        <w:trPr>
          <w:trHeight w:val="274"/>
        </w:trPr>
        <w:tc>
          <w:tcPr>
            <w:tcW w:w="5500" w:type="dxa"/>
            <w:vAlign w:val="bottom"/>
          </w:tcPr>
          <w:p>
            <w:pPr>
              <w:ind w:left="200"/>
              <w:spacing w:after="0"/>
              <w:rPr>
                <w:sz w:val="20"/>
                <w:szCs w:val="20"/>
                <w:color w:val="auto"/>
              </w:rPr>
            </w:pPr>
            <w:r>
              <w:rPr>
                <w:rFonts w:ascii="Arial" w:cs="Arial" w:eastAsia="Arial" w:hAnsi="Arial"/>
                <w:sz w:val="22"/>
                <w:szCs w:val="22"/>
                <w:color w:val="auto"/>
              </w:rPr>
              <w:t>Other revenue (1)</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1,585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4,095</w:t>
            </w: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Total revenue</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25,646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28,504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70,927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92,316</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Costs and expenses</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22"/>
                <w:szCs w:val="22"/>
                <w:color w:val="auto"/>
              </w:rPr>
              <w:t>Cost of product revenue</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14,091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13,327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39,168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37,720</w:t>
            </w:r>
          </w:p>
        </w:tc>
      </w:tr>
      <w:tr>
        <w:trPr>
          <w:trHeight w:val="274"/>
        </w:trPr>
        <w:tc>
          <w:tcPr>
            <w:tcW w:w="5500" w:type="dxa"/>
            <w:vAlign w:val="bottom"/>
          </w:tcPr>
          <w:p>
            <w:pPr>
              <w:ind w:left="200"/>
              <w:spacing w:after="0"/>
              <w:rPr>
                <w:sz w:val="20"/>
                <w:szCs w:val="20"/>
                <w:color w:val="auto"/>
              </w:rPr>
            </w:pPr>
            <w:r>
              <w:rPr>
                <w:rFonts w:ascii="Arial" w:cs="Arial" w:eastAsia="Arial" w:hAnsi="Arial"/>
                <w:sz w:val="22"/>
                <w:szCs w:val="22"/>
                <w:color w:val="auto"/>
              </w:rPr>
              <w:t>Cost of service revenue</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5,875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5,465</w:t>
            </w:r>
          </w:p>
        </w:tc>
      </w:tr>
      <w:tr>
        <w:trPr>
          <w:trHeight w:val="259"/>
        </w:trPr>
        <w:tc>
          <w:tcPr>
            <w:tcW w:w="5500" w:type="dxa"/>
            <w:vAlign w:val="bottom"/>
          </w:tcPr>
          <w:p>
            <w:pPr>
              <w:ind w:left="200"/>
              <w:spacing w:after="0"/>
              <w:rPr>
                <w:sz w:val="20"/>
                <w:szCs w:val="20"/>
                <w:color w:val="auto"/>
              </w:rPr>
            </w:pPr>
            <w:r>
              <w:rPr>
                <w:rFonts w:ascii="Arial" w:cs="Arial" w:eastAsia="Arial" w:hAnsi="Arial"/>
                <w:sz w:val="22"/>
                <w:szCs w:val="22"/>
                <w:color w:val="auto"/>
              </w:rPr>
              <w:t>Cost of product and service revenue</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16,426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14,835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45,043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43,185</w:t>
            </w:r>
          </w:p>
        </w:tc>
      </w:tr>
      <w:tr>
        <w:trPr>
          <w:trHeight w:val="270"/>
        </w:trPr>
        <w:tc>
          <w:tcPr>
            <w:tcW w:w="5500" w:type="dxa"/>
            <w:vAlign w:val="bottom"/>
          </w:tcPr>
          <w:p>
            <w:pPr>
              <w:ind w:left="200"/>
              <w:spacing w:after="0"/>
              <w:rPr>
                <w:sz w:val="20"/>
                <w:szCs w:val="20"/>
                <w:color w:val="auto"/>
              </w:rPr>
            </w:pPr>
            <w:r>
              <w:rPr>
                <w:rFonts w:ascii="Arial" w:cs="Arial" w:eastAsia="Arial" w:hAnsi="Arial"/>
                <w:sz w:val="22"/>
                <w:szCs w:val="22"/>
                <w:color w:val="auto"/>
              </w:rPr>
              <w:t>Research and development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8,650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9,209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30,121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29,403</w:t>
            </w:r>
          </w:p>
        </w:tc>
      </w:tr>
      <w:tr>
        <w:trPr>
          <w:trHeight w:val="274"/>
        </w:trPr>
        <w:tc>
          <w:tcPr>
            <w:tcW w:w="5500" w:type="dxa"/>
            <w:vAlign w:val="bottom"/>
          </w:tcPr>
          <w:p>
            <w:pPr>
              <w:ind w:left="200"/>
              <w:spacing w:after="0"/>
              <w:rPr>
                <w:sz w:val="20"/>
                <w:szCs w:val="20"/>
                <w:color w:val="auto"/>
              </w:rPr>
            </w:pPr>
            <w:r>
              <w:rPr>
                <w:rFonts w:ascii="Arial" w:cs="Arial" w:eastAsia="Arial" w:hAnsi="Arial"/>
                <w:sz w:val="22"/>
                <w:szCs w:val="22"/>
                <w:color w:val="auto"/>
              </w:rPr>
              <w:t>Selling, general and administrative</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29,597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24,072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90,856</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75,928</w:t>
            </w:r>
          </w:p>
        </w:tc>
      </w:tr>
      <w:tr>
        <w:trPr>
          <w:trHeight w:val="267"/>
        </w:trPr>
        <w:tc>
          <w:tcPr>
            <w:tcW w:w="550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54,673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48,116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166,020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148,516</w:t>
            </w:r>
          </w:p>
        </w:tc>
      </w:tr>
      <w:tr>
        <w:trPr>
          <w:trHeight w:val="256"/>
        </w:trPr>
        <w:tc>
          <w:tcPr>
            <w:tcW w:w="5500" w:type="dxa"/>
            <w:vAlign w:val="bottom"/>
          </w:tcPr>
          <w:p>
            <w:pPr>
              <w:spacing w:after="0"/>
              <w:rPr>
                <w:sz w:val="20"/>
                <w:szCs w:val="20"/>
                <w:color w:val="auto"/>
              </w:rPr>
            </w:pPr>
            <w:r>
              <w:rPr>
                <w:rFonts w:ascii="Arial" w:cs="Arial" w:eastAsia="Arial" w:hAnsi="Arial"/>
                <w:sz w:val="22"/>
                <w:szCs w:val="22"/>
                <w:color w:val="auto"/>
              </w:rPr>
              <w:t>Loss from operations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(29,027)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(19,612)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(95,093)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(56,200)</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Interest expense</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(3,141)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(2,751)</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Loss on forward sale of Series B Preferred Stock</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(60,081)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Loss on bridge loans</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(13,719)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Surplus funding from NIH Contract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5,000</w:t>
            </w: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534</w:t>
            </w:r>
          </w:p>
        </w:tc>
      </w:tr>
      <w:tr>
        <w:trPr>
          <w:trHeight w:val="259"/>
        </w:trPr>
        <w:tc>
          <w:tcPr>
            <w:tcW w:w="55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(30,139)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(15,265)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(172,153)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(53,417)</w:t>
            </w:r>
          </w:p>
        </w:tc>
      </w:tr>
      <w:tr>
        <w:trPr>
          <w:trHeight w:val="276"/>
        </w:trPr>
        <w:tc>
          <w:tcPr>
            <w:tcW w:w="5500" w:type="dxa"/>
            <w:vAlign w:val="bottom"/>
          </w:tcPr>
          <w:p>
            <w:pPr>
              <w:spacing w:after="0"/>
              <w:rPr>
                <w:sz w:val="20"/>
                <w:szCs w:val="20"/>
                <w:color w:val="auto"/>
              </w:rPr>
            </w:pPr>
            <w:r>
              <w:rPr>
                <w:rFonts w:ascii="Arial" w:cs="Arial" w:eastAsia="Arial" w:hAnsi="Arial"/>
                <w:sz w:val="22"/>
                <w:szCs w:val="22"/>
                <w:color w:val="auto"/>
              </w:rPr>
              <w:t>Income tax benefit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1,422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2,900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3,609</w:t>
            </w:r>
          </w:p>
        </w:tc>
      </w:tr>
      <w:tr>
        <w:trPr>
          <w:trHeight w:val="265"/>
        </w:trPr>
        <w:tc>
          <w:tcPr>
            <w:tcW w:w="5500" w:type="dxa"/>
            <w:vAlign w:val="bottom"/>
          </w:tcPr>
          <w:p>
            <w:pPr>
              <w:spacing w:after="0"/>
              <w:rPr>
                <w:sz w:val="20"/>
                <w:szCs w:val="20"/>
                <w:color w:val="auto"/>
              </w:rPr>
            </w:pPr>
            <w:r>
              <w:rPr>
                <w:rFonts w:ascii="Arial" w:cs="Arial" w:eastAsia="Arial" w:hAnsi="Arial"/>
                <w:sz w:val="22"/>
                <w:szCs w:val="22"/>
                <w:color w:val="auto"/>
              </w:rPr>
              <w:t>Net loss</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(29,426)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(13,843)</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(169,253)</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(49,808)</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8" w:right="339" w:bottom="0" w:gutter="0" w:footer="0" w:header="0"/>
        </w:sectPr>
      </w:pPr>
    </w:p>
    <w:bookmarkStart w:id="6" w:name="page7"/>
    <w:bookmarkEnd w:id="6"/>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5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(0.37)</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(2.17)</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(0.66)</w:t>
            </w:r>
          </w:p>
        </w:tc>
      </w:tr>
      <w:tr>
        <w:trPr>
          <w:trHeight w:val="21"/>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3"/>
        </w:trPr>
        <w:tc>
          <w:tcPr>
            <w:tcW w:w="5500" w:type="dxa"/>
            <w:vAlign w:val="bottom"/>
          </w:tcPr>
          <w:p>
            <w:pPr>
              <w:spacing w:after="0"/>
              <w:rPr>
                <w:sz w:val="20"/>
                <w:szCs w:val="20"/>
                <w:color w:val="auto"/>
              </w:rPr>
            </w:pPr>
            <w:r>
              <w:rPr>
                <w:rFonts w:ascii="Arial" w:cs="Arial" w:eastAsia="Arial" w:hAnsi="Arial"/>
                <w:sz w:val="22"/>
                <w:szCs w:val="22"/>
                <w:color w:val="auto"/>
                <w:w w:val="89"/>
              </w:rPr>
              <w:t>Shares used in computing net loss per share, basic and diluted</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78,897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76,301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77,924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75,494</w:t>
            </w:r>
          </w:p>
        </w:tc>
      </w:tr>
      <w:tr>
        <w:trPr>
          <w:trHeight w:val="21"/>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Note: (1) Other revenue includes product development, license and grant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40" w:type="dxa"/>
            <w:vAlign w:val="bottom"/>
          </w:tcPr>
          <w:p>
            <w:pPr>
              <w:jc w:val="center"/>
              <w:ind w:left="3252"/>
              <w:spacing w:after="0"/>
              <w:rPr>
                <w:sz w:val="20"/>
                <w:szCs w:val="20"/>
                <w:color w:val="auto"/>
              </w:rPr>
            </w:pPr>
            <w:r>
              <w:rPr>
                <w:rFonts w:ascii="Arial" w:cs="Arial" w:eastAsia="Arial" w:hAnsi="Arial"/>
                <w:sz w:val="22"/>
                <w:szCs w:val="22"/>
                <w:b w:val="1"/>
                <w:bCs w:val="1"/>
                <w:color w:val="auto"/>
                <w:w w:val="97"/>
              </w:rPr>
              <w:t>STANDARD BIOTOOLS INC.</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gridSpan w:val="2"/>
          </w:tcPr>
          <w:p>
            <w:pPr>
              <w:jc w:val="center"/>
              <w:ind w:left="3112"/>
              <w:spacing w:after="0"/>
              <w:rPr>
                <w:sz w:val="20"/>
                <w:szCs w:val="20"/>
                <w:color w:val="auto"/>
              </w:rPr>
            </w:pPr>
            <w:r>
              <w:rPr>
                <w:rFonts w:ascii="Arial" w:cs="Arial" w:eastAsia="Arial" w:hAnsi="Arial"/>
                <w:sz w:val="22"/>
                <w:szCs w:val="22"/>
                <w:b w:val="1"/>
                <w:bCs w:val="1"/>
                <w:color w:val="auto"/>
                <w:w w:val="96"/>
              </w:rPr>
              <w:t>(formerly known as FLUIDIGM CORPORATION)</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640" w:type="dxa"/>
            <w:vAlign w:val="bottom"/>
            <w:gridSpan w:val="4"/>
          </w:tcPr>
          <w:p>
            <w:pPr>
              <w:jc w:val="center"/>
              <w:ind w:left="1452"/>
              <w:spacing w:after="0"/>
              <w:rPr>
                <w:sz w:val="20"/>
                <w:szCs w:val="20"/>
                <w:color w:val="auto"/>
              </w:rPr>
            </w:pPr>
            <w:r>
              <w:rPr>
                <w:rFonts w:ascii="Arial" w:cs="Arial" w:eastAsia="Arial" w:hAnsi="Arial"/>
                <w:sz w:val="22"/>
                <w:szCs w:val="22"/>
                <w:b w:val="1"/>
                <w:bCs w:val="1"/>
                <w:color w:val="auto"/>
                <w:w w:val="97"/>
              </w:rPr>
              <w:t>CONDENSED CONSOLIDATED BALANCE SHEETS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40" w:type="dxa"/>
            <w:vAlign w:val="bottom"/>
          </w:tcPr>
          <w:p>
            <w:pPr>
              <w:jc w:val="center"/>
              <w:ind w:left="3252"/>
              <w:spacing w:after="0"/>
              <w:rPr>
                <w:sz w:val="20"/>
                <w:szCs w:val="20"/>
                <w:color w:val="auto"/>
              </w:rPr>
            </w:pPr>
            <w:r>
              <w:rPr>
                <w:rFonts w:ascii="Arial" w:cs="Arial" w:eastAsia="Arial" w:hAnsi="Arial"/>
                <w:sz w:val="22"/>
                <w:szCs w:val="22"/>
                <w:b w:val="1"/>
                <w:bCs w:val="1"/>
                <w:i w:val="1"/>
                <w:iCs w:val="1"/>
                <w:color w:val="auto"/>
                <w:w w:val="87"/>
              </w:rPr>
              <w:t>(In thousands)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840" w:type="dxa"/>
            <w:vAlign w:val="bottom"/>
          </w:tcPr>
          <w:p>
            <w:pPr>
              <w:jc w:val="center"/>
              <w:ind w:left="3252"/>
              <w:spacing w:after="0"/>
              <w:rPr>
                <w:sz w:val="20"/>
                <w:szCs w:val="20"/>
                <w:color w:val="auto"/>
              </w:rPr>
            </w:pPr>
            <w:r>
              <w:rPr>
                <w:rFonts w:ascii="Arial" w:cs="Arial" w:eastAsia="Arial" w:hAnsi="Arial"/>
                <w:sz w:val="22"/>
                <w:szCs w:val="22"/>
                <w:b w:val="1"/>
                <w:bCs w:val="1"/>
                <w:color w:val="auto"/>
                <w:w w:val="91"/>
              </w:rPr>
              <w:t>(Unaudited)</w:t>
            </w:r>
          </w:p>
        </w:tc>
        <w:tc>
          <w:tcPr>
            <w:tcW w:w="160" w:type="dxa"/>
            <w:vAlign w:val="bottom"/>
          </w:tcPr>
          <w:p>
            <w:pPr>
              <w:spacing w:after="0"/>
              <w:rPr>
                <w:sz w:val="24"/>
                <w:szCs w:val="24"/>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September 30,</w:t>
            </w:r>
          </w:p>
        </w:tc>
        <w:tc>
          <w:tcPr>
            <w:tcW w:w="140" w:type="dxa"/>
            <w:vAlign w:val="bottom"/>
          </w:tcPr>
          <w:p>
            <w:pPr>
              <w:spacing w:after="0"/>
              <w:rPr>
                <w:sz w:val="24"/>
                <w:szCs w:val="24"/>
                <w:color w:val="auto"/>
              </w:rPr>
            </w:pPr>
          </w:p>
        </w:tc>
        <w:tc>
          <w:tcPr>
            <w:tcW w:w="1440" w:type="dxa"/>
            <w:vAlign w:val="bottom"/>
            <w:vMerge w:val="restart"/>
          </w:tcPr>
          <w:p>
            <w:pPr>
              <w:jc w:val="right"/>
              <w:ind w:right="52"/>
              <w:spacing w:after="0"/>
              <w:rPr>
                <w:sz w:val="20"/>
                <w:szCs w:val="20"/>
                <w:color w:val="auto"/>
              </w:rPr>
            </w:pPr>
            <w:r>
              <w:rPr>
                <w:rFonts w:ascii="Arial" w:cs="Arial" w:eastAsia="Arial" w:hAnsi="Arial"/>
                <w:sz w:val="22"/>
                <w:szCs w:val="22"/>
                <w:b w:val="1"/>
                <w:bCs w:val="1"/>
                <w:color w:val="auto"/>
                <w:w w:val="88"/>
              </w:rPr>
              <w:t>December 31,</w:t>
            </w:r>
          </w:p>
        </w:tc>
        <w:tc>
          <w:tcPr>
            <w:tcW w:w="0" w:type="dxa"/>
            <w:vAlign w:val="bottom"/>
          </w:tcPr>
          <w:p>
            <w:pPr>
              <w:spacing w:after="0"/>
              <w:rPr>
                <w:sz w:val="1"/>
                <w:szCs w:val="1"/>
                <w:color w:val="auto"/>
              </w:rPr>
            </w:pPr>
          </w:p>
        </w:tc>
      </w:tr>
      <w:tr>
        <w:trPr>
          <w:trHeight w:val="233"/>
        </w:trPr>
        <w:tc>
          <w:tcPr>
            <w:tcW w:w="7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 (1)</w:t>
            </w:r>
          </w:p>
        </w:tc>
        <w:tc>
          <w:tcPr>
            <w:tcW w:w="0" w:type="dxa"/>
            <w:vAlign w:val="bottom"/>
          </w:tcPr>
          <w:p>
            <w:pPr>
              <w:spacing w:after="0"/>
              <w:rPr>
                <w:sz w:val="1"/>
                <w:szCs w:val="1"/>
                <w:color w:val="auto"/>
              </w:rPr>
            </w:pPr>
          </w:p>
        </w:tc>
      </w:tr>
      <w:tr>
        <w:trPr>
          <w:trHeight w:val="259"/>
        </w:trPr>
        <w:tc>
          <w:tcPr>
            <w:tcW w:w="78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Current assets:</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Cash and cash equivalents (2)</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60,200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28,451</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Short-term investments (2)</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124,968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17,294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18,320</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Inventories, net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21,946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20,825</w:t>
            </w:r>
          </w:p>
        </w:tc>
        <w:tc>
          <w:tcPr>
            <w:tcW w:w="0" w:type="dxa"/>
            <w:vAlign w:val="bottom"/>
          </w:tcPr>
          <w:p>
            <w:pPr>
              <w:spacing w:after="0"/>
              <w:rPr>
                <w:sz w:val="1"/>
                <w:szCs w:val="1"/>
                <w:color w:val="auto"/>
              </w:rPr>
            </w:pPr>
          </w:p>
        </w:tc>
      </w:tr>
      <w:tr>
        <w:trPr>
          <w:trHeight w:val="274"/>
        </w:trPr>
        <w:tc>
          <w:tcPr>
            <w:tcW w:w="784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4,609</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4,470</w:t>
            </w:r>
          </w:p>
        </w:tc>
        <w:tc>
          <w:tcPr>
            <w:tcW w:w="0" w:type="dxa"/>
            <w:vAlign w:val="bottom"/>
          </w:tcPr>
          <w:p>
            <w:pPr>
              <w:spacing w:after="0"/>
              <w:rPr>
                <w:sz w:val="1"/>
                <w:szCs w:val="1"/>
                <w:color w:val="auto"/>
              </w:rPr>
            </w:pPr>
          </w:p>
        </w:tc>
      </w:tr>
      <w:tr>
        <w:trPr>
          <w:trHeight w:val="259"/>
        </w:trPr>
        <w:tc>
          <w:tcPr>
            <w:tcW w:w="7840" w:type="dxa"/>
            <w:vAlign w:val="bottom"/>
          </w:tcPr>
          <w:p>
            <w:pPr>
              <w:spacing w:after="0"/>
              <w:rPr>
                <w:sz w:val="20"/>
                <w:szCs w:val="20"/>
                <w:color w:val="auto"/>
              </w:rPr>
            </w:pPr>
            <w:r>
              <w:rPr>
                <w:rFonts w:ascii="Arial" w:cs="Arial" w:eastAsia="Arial" w:hAnsi="Arial"/>
                <w:sz w:val="22"/>
                <w:szCs w:val="22"/>
                <w:color w:val="auto"/>
              </w:rPr>
              <w:t>Total current assets</w:t>
            </w:r>
          </w:p>
        </w:tc>
        <w:tc>
          <w:tcPr>
            <w:tcW w:w="16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229,017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72,066</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26,584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28,034</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Operating lease right-of-use asset, net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34,726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37,119</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3,119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3,689</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15,400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27,927</w:t>
            </w:r>
          </w:p>
        </w:tc>
        <w:tc>
          <w:tcPr>
            <w:tcW w:w="0" w:type="dxa"/>
            <w:vAlign w:val="bottom"/>
          </w:tcPr>
          <w:p>
            <w:pPr>
              <w:spacing w:after="0"/>
              <w:rPr>
                <w:sz w:val="1"/>
                <w:szCs w:val="1"/>
                <w:color w:val="auto"/>
              </w:rPr>
            </w:pPr>
          </w:p>
        </w:tc>
      </w:tr>
      <w:tr>
        <w:trPr>
          <w:trHeight w:val="276"/>
        </w:trPr>
        <w:tc>
          <w:tcPr>
            <w:tcW w:w="7840" w:type="dxa"/>
            <w:vAlign w:val="bottom"/>
          </w:tcPr>
          <w:p>
            <w:pPr>
              <w:spacing w:after="0"/>
              <w:rPr>
                <w:sz w:val="20"/>
                <w:szCs w:val="20"/>
                <w:color w:val="auto"/>
              </w:rPr>
            </w:pPr>
            <w:r>
              <w:rPr>
                <w:rFonts w:ascii="Arial" w:cs="Arial" w:eastAsia="Arial" w:hAnsi="Arial"/>
                <w:sz w:val="22"/>
                <w:szCs w:val="22"/>
                <w:color w:val="auto"/>
              </w:rPr>
              <w:t>Goodwill</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106,069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106,379</w:t>
            </w:r>
          </w:p>
        </w:tc>
        <w:tc>
          <w:tcPr>
            <w:tcW w:w="0" w:type="dxa"/>
            <w:vAlign w:val="bottom"/>
          </w:tcPr>
          <w:p>
            <w:pPr>
              <w:spacing w:after="0"/>
              <w:rPr>
                <w:sz w:val="1"/>
                <w:szCs w:val="1"/>
                <w:color w:val="auto"/>
              </w:rPr>
            </w:pPr>
          </w:p>
        </w:tc>
      </w:tr>
      <w:tr>
        <w:trPr>
          <w:trHeight w:val="265"/>
        </w:trPr>
        <w:tc>
          <w:tcPr>
            <w:tcW w:w="7840" w:type="dxa"/>
            <w:vAlign w:val="bottom"/>
          </w:tcPr>
          <w:p>
            <w:pPr>
              <w:spacing w:after="0"/>
              <w:rPr>
                <w:sz w:val="20"/>
                <w:szCs w:val="20"/>
                <w:color w:val="auto"/>
              </w:rPr>
            </w:pPr>
            <w:r>
              <w:rPr>
                <w:rFonts w:ascii="Arial" w:cs="Arial" w:eastAsia="Arial" w:hAnsi="Arial"/>
                <w:sz w:val="22"/>
                <w:szCs w:val="22"/>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414,915</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275,214</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22"/>
                <w:szCs w:val="22"/>
                <w:b w:val="1"/>
                <w:bCs w:val="1"/>
                <w:color w:val="auto"/>
              </w:rPr>
              <w:t>LIABILITIES, MEZZANINE EQUITY AND STOCKHOLDERS’ EQUITY</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40" w:type="dxa"/>
            <w:vAlign w:val="bottom"/>
          </w:tcPr>
          <w:p>
            <w:pPr>
              <w:spacing w:after="0"/>
              <w:rPr>
                <w:sz w:val="20"/>
                <w:szCs w:val="20"/>
                <w:color w:val="auto"/>
              </w:rPr>
            </w:pPr>
            <w:r>
              <w:rPr>
                <w:rFonts w:ascii="Arial" w:cs="Arial" w:eastAsia="Arial" w:hAnsi="Arial"/>
                <w:sz w:val="22"/>
                <w:szCs w:val="22"/>
                <w:b w:val="1"/>
                <w:bCs w:val="1"/>
                <w:color w:val="auto"/>
              </w:rPr>
              <w:t>(DEFICIT)</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Current liabilities:</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9,305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10,602</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Accrued compensation and related benefits</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10,624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4,920</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Operating lease liabilities, 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3,515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3,053</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Deferred revenue, 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11,322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11,947</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Deferred grant income, 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3,656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3,535</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Other accrued liabilities</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6,914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8,673</w:t>
            </w:r>
          </w:p>
        </w:tc>
        <w:tc>
          <w:tcPr>
            <w:tcW w:w="0" w:type="dxa"/>
            <w:vAlign w:val="bottom"/>
          </w:tcPr>
          <w:p>
            <w:pPr>
              <w:spacing w:after="0"/>
              <w:rPr>
                <w:sz w:val="1"/>
                <w:szCs w:val="1"/>
                <w:color w:val="auto"/>
              </w:rPr>
            </w:pPr>
          </w:p>
        </w:tc>
      </w:tr>
      <w:tr>
        <w:trPr>
          <w:trHeight w:val="270"/>
        </w:trPr>
        <w:tc>
          <w:tcPr>
            <w:tcW w:w="7840" w:type="dxa"/>
            <w:vAlign w:val="bottom"/>
          </w:tcPr>
          <w:p>
            <w:pPr>
              <w:ind w:left="200"/>
              <w:spacing w:after="0"/>
              <w:rPr>
                <w:sz w:val="20"/>
                <w:szCs w:val="20"/>
                <w:color w:val="auto"/>
              </w:rPr>
            </w:pPr>
            <w:r>
              <w:rPr>
                <w:rFonts w:ascii="Arial" w:cs="Arial" w:eastAsia="Arial" w:hAnsi="Arial"/>
                <w:sz w:val="22"/>
                <w:szCs w:val="22"/>
                <w:color w:val="auto"/>
              </w:rPr>
              <w:t>Advances under revolving credit agreement, current</w:t>
            </w:r>
          </w:p>
        </w:tc>
        <w:tc>
          <w:tcPr>
            <w:tcW w:w="16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6,838</w:t>
            </w:r>
          </w:p>
        </w:tc>
        <w:tc>
          <w:tcPr>
            <w:tcW w:w="0" w:type="dxa"/>
            <w:vAlign w:val="bottom"/>
          </w:tcPr>
          <w:p>
            <w:pPr>
              <w:spacing w:after="0"/>
              <w:rPr>
                <w:sz w:val="1"/>
                <w:szCs w:val="1"/>
                <w:color w:val="auto"/>
              </w:rPr>
            </w:pPr>
          </w:p>
        </w:tc>
      </w:tr>
      <w:tr>
        <w:trPr>
          <w:trHeight w:val="274"/>
        </w:trPr>
        <w:tc>
          <w:tcPr>
            <w:tcW w:w="7840" w:type="dxa"/>
            <w:vAlign w:val="bottom"/>
          </w:tcPr>
          <w:p>
            <w:pPr>
              <w:ind w:left="200"/>
              <w:spacing w:after="0"/>
              <w:rPr>
                <w:sz w:val="20"/>
                <w:szCs w:val="20"/>
                <w:color w:val="auto"/>
              </w:rPr>
            </w:pPr>
            <w:r>
              <w:rPr>
                <w:rFonts w:ascii="Arial" w:cs="Arial" w:eastAsia="Arial" w:hAnsi="Arial"/>
                <w:sz w:val="22"/>
                <w:szCs w:val="22"/>
                <w:color w:val="auto"/>
              </w:rPr>
              <w:t>Term loan, current</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833</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9"/>
        </w:trPr>
        <w:tc>
          <w:tcPr>
            <w:tcW w:w="784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16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46,169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49,568</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Convertible notes, net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54,499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54,160</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Term loan, non-current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9,386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10,049</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Deferred tax liability</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620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4,329</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34,869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37,548</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Deferred revenue, non-current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4,430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5,966</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Deferred grant income, non-current</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15,265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18,116</w:t>
            </w:r>
          </w:p>
        </w:tc>
        <w:tc>
          <w:tcPr>
            <w:tcW w:w="0" w:type="dxa"/>
            <w:vAlign w:val="bottom"/>
          </w:tcPr>
          <w:p>
            <w:pPr>
              <w:spacing w:after="0"/>
              <w:rPr>
                <w:sz w:val="1"/>
                <w:szCs w:val="1"/>
                <w:color w:val="auto"/>
              </w:rPr>
            </w:pPr>
          </w:p>
        </w:tc>
      </w:tr>
      <w:tr>
        <w:trPr>
          <w:trHeight w:val="274"/>
        </w:trPr>
        <w:tc>
          <w:tcPr>
            <w:tcW w:w="784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1,171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882</w:t>
            </w:r>
          </w:p>
        </w:tc>
        <w:tc>
          <w:tcPr>
            <w:tcW w:w="0" w:type="dxa"/>
            <w:vAlign w:val="bottom"/>
          </w:tcPr>
          <w:p>
            <w:pPr>
              <w:spacing w:after="0"/>
              <w:rPr>
                <w:sz w:val="1"/>
                <w:szCs w:val="1"/>
                <w:color w:val="auto"/>
              </w:rPr>
            </w:pPr>
          </w:p>
        </w:tc>
      </w:tr>
      <w:tr>
        <w:trPr>
          <w:trHeight w:val="259"/>
        </w:trPr>
        <w:tc>
          <w:tcPr>
            <w:tcW w:w="7840" w:type="dxa"/>
            <w:vAlign w:val="bottom"/>
          </w:tcPr>
          <w:p>
            <w:pPr>
              <w:spacing w:after="0"/>
              <w:rPr>
                <w:sz w:val="20"/>
                <w:szCs w:val="20"/>
                <w:color w:val="auto"/>
              </w:rPr>
            </w:pPr>
            <w:r>
              <w:rPr>
                <w:rFonts w:ascii="Arial" w:cs="Arial" w:eastAsia="Arial" w:hAnsi="Arial"/>
                <w:sz w:val="22"/>
                <w:szCs w:val="22"/>
                <w:color w:val="auto"/>
              </w:rPr>
              <w:t>Total liabilities</w:t>
            </w:r>
          </w:p>
        </w:tc>
        <w:tc>
          <w:tcPr>
            <w:tcW w:w="160" w:type="dxa"/>
            <w:vAlign w:val="bottom"/>
          </w:tcPr>
          <w:p>
            <w:pPr>
              <w:spacing w:after="0"/>
              <w:rPr>
                <w:sz w:val="22"/>
                <w:szCs w:val="22"/>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166,409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180,618</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22"/>
                <w:szCs w:val="22"/>
                <w:color w:val="auto"/>
              </w:rPr>
              <w:t>Redeemable preferred stock</w:t>
            </w:r>
          </w:p>
        </w:tc>
        <w:tc>
          <w:tcPr>
            <w:tcW w:w="16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22"/>
                <w:szCs w:val="22"/>
                <w:color w:val="auto"/>
              </w:rPr>
              <w:t>311,253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7840" w:type="dxa"/>
            <w:vAlign w:val="bottom"/>
          </w:tcPr>
          <w:p>
            <w:pPr>
              <w:spacing w:after="0"/>
              <w:rPr>
                <w:sz w:val="20"/>
                <w:szCs w:val="20"/>
                <w:color w:val="auto"/>
              </w:rPr>
            </w:pPr>
            <w:r>
              <w:rPr>
                <w:rFonts w:ascii="Arial" w:cs="Arial" w:eastAsia="Arial" w:hAnsi="Arial"/>
                <w:sz w:val="22"/>
                <w:szCs w:val="22"/>
                <w:color w:val="auto"/>
              </w:rPr>
              <w:t>Total stockholders’ equity (deficit)</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(62,747)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94,596</w:t>
            </w:r>
          </w:p>
        </w:tc>
        <w:tc>
          <w:tcPr>
            <w:tcW w:w="0" w:type="dxa"/>
            <w:vAlign w:val="bottom"/>
          </w:tcPr>
          <w:p>
            <w:pPr>
              <w:spacing w:after="0"/>
              <w:rPr>
                <w:sz w:val="1"/>
                <w:szCs w:val="1"/>
                <w:color w:val="auto"/>
              </w:rPr>
            </w:pPr>
          </w:p>
        </w:tc>
      </w:tr>
      <w:tr>
        <w:trPr>
          <w:trHeight w:val="265"/>
        </w:trPr>
        <w:tc>
          <w:tcPr>
            <w:tcW w:w="7840" w:type="dxa"/>
            <w:vAlign w:val="bottom"/>
          </w:tcPr>
          <w:p>
            <w:pPr>
              <w:spacing w:after="0"/>
              <w:rPr>
                <w:sz w:val="20"/>
                <w:szCs w:val="20"/>
                <w:color w:val="auto"/>
              </w:rPr>
            </w:pPr>
            <w:r>
              <w:rPr>
                <w:rFonts w:ascii="Arial" w:cs="Arial" w:eastAsia="Arial" w:hAnsi="Arial"/>
                <w:sz w:val="22"/>
                <w:szCs w:val="22"/>
                <w:color w:val="auto"/>
              </w:rPr>
              <w:t>Total liabilities, mezzanine equity and stockholders’ equity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414,915</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275,214</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w:t>
      </w:r>
    </w:p>
    <w:p>
      <w:pPr>
        <w:spacing w:after="0" w:line="21" w:lineRule="exact"/>
        <w:rPr>
          <w:sz w:val="20"/>
          <w:szCs w:val="20"/>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Derived from audited consolidated financial statements</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Cash and cash equivalents and available for sale securities consist of:</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772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500" w:type="dxa"/>
            <w:vAlign w:val="bottom"/>
          </w:tcPr>
          <w:p>
            <w:pPr>
              <w:jc w:val="right"/>
              <w:ind w:right="27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60,200</w:t>
            </w:r>
          </w:p>
        </w:tc>
        <w:tc>
          <w:tcPr>
            <w:tcW w:w="100" w:type="dxa"/>
            <w:vAlign w:val="bottom"/>
          </w:tcPr>
          <w:p>
            <w:pPr>
              <w:spacing w:after="0"/>
              <w:rPr>
                <w:sz w:val="23"/>
                <w:szCs w:val="23"/>
                <w:color w:val="auto"/>
              </w:rPr>
            </w:pPr>
          </w:p>
        </w:tc>
        <w:tc>
          <w:tcPr>
            <w:tcW w:w="540" w:type="dxa"/>
            <w:vAlign w:val="bottom"/>
          </w:tcPr>
          <w:p>
            <w:pPr>
              <w:jc w:val="right"/>
              <w:ind w:right="31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28,451</w:t>
            </w: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Short-term investments</w:t>
            </w:r>
          </w:p>
        </w:tc>
        <w:tc>
          <w:tcPr>
            <w:tcW w:w="5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124,968</w:t>
            </w: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71"/>
        </w:trPr>
        <w:tc>
          <w:tcPr>
            <w:tcW w:w="7720" w:type="dxa"/>
            <w:vAlign w:val="bottom"/>
          </w:tcPr>
          <w:p>
            <w:pPr>
              <w:spacing w:after="0"/>
              <w:rPr>
                <w:sz w:val="20"/>
                <w:szCs w:val="20"/>
                <w:color w:val="auto"/>
              </w:rPr>
            </w:pPr>
            <w:r>
              <w:rPr>
                <w:rFonts w:ascii="Arial" w:cs="Arial" w:eastAsia="Arial" w:hAnsi="Arial"/>
                <w:sz w:val="22"/>
                <w:szCs w:val="22"/>
                <w:color w:val="auto"/>
              </w:rPr>
              <w:t>Total cash, cash equivalents and available for sale securities</w:t>
            </w:r>
          </w:p>
        </w:tc>
        <w:tc>
          <w:tcPr>
            <w:tcW w:w="500" w:type="dxa"/>
            <w:vAlign w:val="bottom"/>
          </w:tcPr>
          <w:p>
            <w:pPr>
              <w:jc w:val="right"/>
              <w:ind w:right="27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185,168</w:t>
            </w:r>
          </w:p>
        </w:tc>
        <w:tc>
          <w:tcPr>
            <w:tcW w:w="100" w:type="dxa"/>
            <w:vAlign w:val="bottom"/>
          </w:tcPr>
          <w:p>
            <w:pPr>
              <w:spacing w:after="0"/>
              <w:rPr>
                <w:sz w:val="23"/>
                <w:szCs w:val="23"/>
                <w:color w:val="auto"/>
              </w:rPr>
            </w:pPr>
          </w:p>
        </w:tc>
        <w:tc>
          <w:tcPr>
            <w:tcW w:w="540" w:type="dxa"/>
            <w:vAlign w:val="bottom"/>
          </w:tcPr>
          <w:p>
            <w:pPr>
              <w:jc w:val="right"/>
              <w:ind w:right="312"/>
              <w:spacing w:after="0"/>
              <w:rPr>
                <w:sz w:val="20"/>
                <w:szCs w:val="20"/>
                <w:color w:val="auto"/>
              </w:rPr>
            </w:pPr>
            <w:r>
              <w:rPr>
                <w:rFonts w:ascii="Arial" w:cs="Arial" w:eastAsia="Arial" w:hAnsi="Arial"/>
                <w:sz w:val="22"/>
                <w:szCs w:val="22"/>
                <w:color w:val="auto"/>
                <w:w w:val="81"/>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28,451</w:t>
            </w:r>
          </w:p>
        </w:tc>
      </w:tr>
    </w:tbl>
    <w:p>
      <w:pPr>
        <w:sectPr>
          <w:pgSz w:w="11900" w:h="16922" w:orient="portrait"/>
          <w:cols w:equalWidth="0" w:num="1">
            <w:col w:w="11220"/>
          </w:cols>
          <w:pgMar w:left="340" w:top="388" w:right="3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5197475</wp:posOffset>
            </wp:positionH>
            <wp:positionV relativeFrom="page">
              <wp:posOffset>88900</wp:posOffset>
            </wp:positionV>
            <wp:extent cx="214312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34290"/>
                    </a:xfrm>
                    <a:prstGeom prst="rect">
                      <a:avLst/>
                    </a:prstGeom>
                    <a:noFill/>
                  </pic:spPr>
                </pic:pic>
              </a:graphicData>
            </a:graphic>
          </wp:anchor>
        </w:drawing>
        <w:t>STANDARD BIOTOOLS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22"/>
                <w:szCs w:val="22"/>
                <w:b w:val="1"/>
                <w:bCs w:val="1"/>
                <w:color w:val="auto"/>
                <w:w w:val="88"/>
              </w:rPr>
              <w:t>Nine Months Ended September 30,</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2022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56"/>
        </w:trPr>
        <w:tc>
          <w:tcPr>
            <w:tcW w:w="774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Net loss</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(169,253)</w:t>
            </w:r>
          </w:p>
        </w:tc>
        <w:tc>
          <w:tcPr>
            <w:tcW w:w="12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(49,808)</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Loss on forward sale of Series B Preferred Stock</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60,081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Loss on bridge loans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13,719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13,199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11,738</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8,728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8,944</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2,680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2,744</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Provision for excess and obsolete inventory</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7,239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1,539</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Impairment of InstruNor developed technology intangible</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3,526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Other non-cash items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793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824</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(10,901)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(13,040)</w:t>
            </w: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(70,189)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(37,059)</w:t>
            </w:r>
          </w:p>
        </w:tc>
        <w:tc>
          <w:tcPr>
            <w:tcW w:w="0" w:type="dxa"/>
            <w:vAlign w:val="bottom"/>
          </w:tcPr>
          <w:p>
            <w:pPr>
              <w:spacing w:after="0"/>
              <w:rPr>
                <w:sz w:val="1"/>
                <w:szCs w:val="1"/>
                <w:color w:val="auto"/>
              </w:rPr>
            </w:pPr>
          </w:p>
        </w:tc>
      </w:tr>
      <w:tr>
        <w:trPr>
          <w:trHeight w:val="526"/>
        </w:trPr>
        <w:tc>
          <w:tcPr>
            <w:tcW w:w="774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(137,302)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NIH Contract</w:t>
            </w:r>
          </w:p>
        </w:tc>
        <w:tc>
          <w:tcPr>
            <w:tcW w:w="12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2,000</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12,000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(3,070)</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(12,801)</w:t>
            </w: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rPr>
              <w:t>Net cash used in investing activities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(128,372)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(10,801)</w:t>
            </w:r>
          </w:p>
        </w:tc>
        <w:tc>
          <w:tcPr>
            <w:tcW w:w="0" w:type="dxa"/>
            <w:vAlign w:val="bottom"/>
          </w:tcPr>
          <w:p>
            <w:pPr>
              <w:spacing w:after="0"/>
              <w:rPr>
                <w:sz w:val="1"/>
                <w:szCs w:val="1"/>
                <w:color w:val="auto"/>
              </w:rPr>
            </w:pPr>
          </w:p>
        </w:tc>
      </w:tr>
      <w:tr>
        <w:trPr>
          <w:trHeight w:val="526"/>
        </w:trPr>
        <w:tc>
          <w:tcPr>
            <w:tcW w:w="774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bridge loans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25,000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issuance of Series B Preferred Stock</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225,000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Proceeds from term loan</w:t>
            </w:r>
          </w:p>
        </w:tc>
        <w:tc>
          <w:tcPr>
            <w:tcW w:w="12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10,000</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Repayment of advances under revolving credit agreement</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(6,838)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Payment of debt and equity issuance costs</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(12,547)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Repayment of long-term debt</w:t>
            </w:r>
          </w:p>
        </w:tc>
        <w:tc>
          <w:tcPr>
            <w:tcW w:w="12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(501)</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Proceeds from (payments for) employee equity programs, net</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(802)</w:t>
            </w:r>
          </w:p>
        </w:tc>
        <w:tc>
          <w:tcPr>
            <w:tcW w:w="0" w:type="dxa"/>
            <w:vAlign w:val="bottom"/>
          </w:tcPr>
          <w:p>
            <w:pPr>
              <w:spacing w:after="0"/>
              <w:rPr>
                <w:sz w:val="1"/>
                <w:szCs w:val="1"/>
                <w:color w:val="auto"/>
              </w:rPr>
            </w:pPr>
          </w:p>
        </w:tc>
      </w:tr>
      <w:tr>
        <w:trPr>
          <w:trHeight w:val="267"/>
        </w:trPr>
        <w:tc>
          <w:tcPr>
            <w:tcW w:w="774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231,028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8,662</w:t>
            </w:r>
          </w:p>
        </w:tc>
        <w:tc>
          <w:tcPr>
            <w:tcW w:w="0" w:type="dxa"/>
            <w:vAlign w:val="bottom"/>
          </w:tcPr>
          <w:p>
            <w:pPr>
              <w:spacing w:after="0"/>
              <w:rPr>
                <w:sz w:val="1"/>
                <w:szCs w:val="1"/>
                <w:color w:val="auto"/>
              </w:rPr>
            </w:pPr>
          </w:p>
        </w:tc>
      </w:tr>
      <w:tr>
        <w:trPr>
          <w:trHeight w:val="530"/>
        </w:trPr>
        <w:tc>
          <w:tcPr>
            <w:tcW w:w="774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59"/>
        </w:trPr>
        <w:tc>
          <w:tcPr>
            <w:tcW w:w="7740" w:type="dxa"/>
            <w:vAlign w:val="bottom"/>
          </w:tcPr>
          <w:p>
            <w:pPr>
              <w:spacing w:after="0"/>
              <w:rPr>
                <w:sz w:val="20"/>
                <w:szCs w:val="20"/>
                <w:color w:val="auto"/>
              </w:rPr>
            </w:pPr>
            <w:r>
              <w:rPr>
                <w:rFonts w:ascii="Arial" w:cs="Arial" w:eastAsia="Arial" w:hAnsi="Arial"/>
                <w:sz w:val="22"/>
                <w:szCs w:val="22"/>
                <w:color w:val="auto"/>
              </w:rPr>
              <w:t>Net increase (decrease) in cash, cash equivalents and restricted cash</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31,748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(39,211)</w:t>
            </w:r>
          </w:p>
        </w:tc>
        <w:tc>
          <w:tcPr>
            <w:tcW w:w="0" w:type="dxa"/>
            <w:vAlign w:val="bottom"/>
          </w:tcPr>
          <w:p>
            <w:pPr>
              <w:spacing w:after="0"/>
              <w:rPr>
                <w:sz w:val="1"/>
                <w:szCs w:val="1"/>
                <w:color w:val="auto"/>
              </w:rPr>
            </w:pPr>
          </w:p>
        </w:tc>
      </w:tr>
      <w:tr>
        <w:trPr>
          <w:trHeight w:val="276"/>
        </w:trPr>
        <w:tc>
          <w:tcPr>
            <w:tcW w:w="774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29,467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69,536</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61,215</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30,325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22"/>
                <w:szCs w:val="22"/>
                <w:color w:val="auto"/>
              </w:rPr>
              <w:t>Cash and cash equivalents, and available for sale securities consist of:</w:t>
            </w: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Pr>
          <w:p>
            <w:pPr>
              <w:jc w:val="right"/>
              <w:spacing w:after="0"/>
              <w:rPr>
                <w:sz w:val="20"/>
                <w:szCs w:val="20"/>
                <w:color w:val="auto"/>
              </w:rPr>
            </w:pPr>
            <w:r>
              <w:rPr>
                <w:rFonts w:ascii="Arial" w:cs="Arial" w:eastAsia="Arial" w:hAnsi="Arial"/>
                <w:sz w:val="22"/>
                <w:szCs w:val="22"/>
                <w:color w:val="auto"/>
              </w:rPr>
              <w:t>60,200</w:t>
            </w:r>
          </w:p>
        </w:tc>
        <w:tc>
          <w:tcPr>
            <w:tcW w:w="12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29,309</w:t>
            </w:r>
          </w:p>
        </w:tc>
        <w:tc>
          <w:tcPr>
            <w:tcW w:w="0" w:type="dxa"/>
            <w:vAlign w:val="bottom"/>
          </w:tcPr>
          <w:p>
            <w:pPr>
              <w:spacing w:after="0"/>
              <w:rPr>
                <w:sz w:val="1"/>
                <w:szCs w:val="1"/>
                <w:color w:val="auto"/>
              </w:rPr>
            </w:pPr>
          </w:p>
        </w:tc>
      </w:tr>
      <w:tr>
        <w:trPr>
          <w:trHeight w:val="276"/>
        </w:trPr>
        <w:tc>
          <w:tcPr>
            <w:tcW w:w="7740" w:type="dxa"/>
            <w:vAlign w:val="bottom"/>
          </w:tcPr>
          <w:p>
            <w:pPr>
              <w:spacing w:after="0"/>
              <w:rPr>
                <w:sz w:val="20"/>
                <w:szCs w:val="20"/>
                <w:color w:val="auto"/>
              </w:rPr>
            </w:pPr>
            <w:r>
              <w:rPr>
                <w:rFonts w:ascii="Arial" w:cs="Arial" w:eastAsia="Arial" w:hAnsi="Arial"/>
                <w:sz w:val="22"/>
                <w:szCs w:val="22"/>
                <w:color w:val="auto"/>
              </w:rPr>
              <w:t>Short-term investments</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124,968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5"/>
        </w:trPr>
        <w:tc>
          <w:tcPr>
            <w:tcW w:w="7740" w:type="dxa"/>
            <w:vAlign w:val="bottom"/>
          </w:tcPr>
          <w:p>
            <w:pPr>
              <w:spacing w:after="0"/>
              <w:rPr>
                <w:sz w:val="20"/>
                <w:szCs w:val="20"/>
                <w:color w:val="auto"/>
              </w:rPr>
            </w:pPr>
            <w:r>
              <w:rPr>
                <w:rFonts w:ascii="Arial" w:cs="Arial" w:eastAsia="Arial" w:hAnsi="Arial"/>
                <w:sz w:val="22"/>
                <w:szCs w:val="22"/>
                <w:color w:val="auto"/>
              </w:rPr>
              <w:t>Total cash and cash equivalents, and available for sale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185,168</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29,309</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STANDARD BIOTOOLS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20"/>
          </w:cols>
          <w:pgMar w:left="340" w:top="1125" w:right="339" w:bottom="0" w:gutter="0" w:footer="0" w:header="0"/>
        </w:sectPr>
      </w:pPr>
    </w:p>
    <w:bookmarkStart w:id="8" w:name="page9"/>
    <w:bookmarkEnd w:id="8"/>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580" w:type="dxa"/>
            <w:vAlign w:val="bottom"/>
            <w:gridSpan w:val="9"/>
          </w:tcPr>
          <w:p>
            <w:pPr>
              <w:jc w:val="right"/>
              <w:spacing w:after="0"/>
              <w:rPr>
                <w:sz w:val="20"/>
                <w:szCs w:val="20"/>
                <w:color w:val="auto"/>
              </w:rPr>
            </w:pPr>
            <w:r>
              <w:rPr>
                <w:rFonts w:ascii="Arial" w:cs="Arial" w:eastAsia="Arial" w:hAnsi="Arial"/>
                <w:sz w:val="22"/>
                <w:szCs w:val="22"/>
                <w:b w:val="1"/>
                <w:bCs w:val="1"/>
                <w:color w:val="auto"/>
              </w:rPr>
              <w:t>ITEMIZED RECONCILIATION BETWEEN GAAP AND NON-GAAP NET LOSS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980" w:type="dxa"/>
            <w:vAlign w:val="bottom"/>
            <w:gridSpan w:val="6"/>
          </w:tcPr>
          <w:p>
            <w:pPr>
              <w:ind w:left="40"/>
              <w:spacing w:after="0"/>
              <w:rPr>
                <w:sz w:val="20"/>
                <w:szCs w:val="20"/>
                <w:color w:val="auto"/>
              </w:rPr>
            </w:pPr>
            <w:r>
              <w:rPr>
                <w:rFonts w:ascii="Arial" w:cs="Arial" w:eastAsia="Arial" w:hAnsi="Arial"/>
                <w:sz w:val="22"/>
                <w:szCs w:val="22"/>
                <w:b w:val="1"/>
                <w:bCs w:val="1"/>
                <w:color w:val="auto"/>
                <w:w w:val="89"/>
              </w:rPr>
              <w:t>Nine Months Ended September</w:t>
            </w:r>
          </w:p>
        </w:tc>
        <w:tc>
          <w:tcPr>
            <w:tcW w:w="0" w:type="dxa"/>
            <w:vAlign w:val="bottom"/>
          </w:tcPr>
          <w:p>
            <w:pPr>
              <w:spacing w:after="0"/>
              <w:rPr>
                <w:sz w:val="1"/>
                <w:szCs w:val="1"/>
                <w:color w:val="auto"/>
              </w:rPr>
            </w:pPr>
          </w:p>
        </w:tc>
      </w:tr>
      <w:tr>
        <w:trPr>
          <w:trHeight w:val="282"/>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87"/>
              </w:rPr>
              <w:t>September 30,</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gridSpan w:val="3"/>
          </w:tcPr>
          <w:p>
            <w:pPr>
              <w:jc w:val="right"/>
              <w:ind w:right="92"/>
              <w:spacing w:after="0"/>
              <w:rPr>
                <w:sz w:val="20"/>
                <w:szCs w:val="20"/>
                <w:color w:val="auto"/>
              </w:rPr>
            </w:pPr>
            <w:r>
              <w:rPr>
                <w:rFonts w:ascii="Arial" w:cs="Arial" w:eastAsia="Arial" w:hAnsi="Arial"/>
                <w:sz w:val="22"/>
                <w:szCs w:val="22"/>
                <w:b w:val="1"/>
                <w:bCs w:val="1"/>
                <w:color w:val="auto"/>
                <w:w w:val="91"/>
              </w:rPr>
              <w:t>30,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00" w:type="dxa"/>
            <w:vAlign w:val="bottom"/>
            <w:vMerge w:val="restart"/>
          </w:tcPr>
          <w:p>
            <w:pPr>
              <w:spacing w:after="0"/>
              <w:rPr>
                <w:sz w:val="20"/>
                <w:szCs w:val="20"/>
                <w:color w:val="auto"/>
              </w:rPr>
            </w:pPr>
            <w:r>
              <w:rPr>
                <w:rFonts w:ascii="Arial" w:cs="Arial" w:eastAsia="Arial" w:hAnsi="Arial"/>
                <w:sz w:val="22"/>
                <w:szCs w:val="22"/>
                <w:color w:val="auto"/>
              </w:rPr>
              <w:t>Net loss (GAAP)</w:t>
            </w: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0" w:type="dxa"/>
            <w:vAlign w:val="bottom"/>
          </w:tcPr>
          <w:p>
            <w:pPr>
              <w:spacing w:after="0"/>
              <w:rPr>
                <w:sz w:val="1"/>
                <w:szCs w:val="1"/>
                <w:color w:val="auto"/>
              </w:rPr>
            </w:pPr>
          </w:p>
        </w:tc>
      </w:tr>
      <w:tr>
        <w:trPr>
          <w:trHeight w:val="256"/>
        </w:trPr>
        <w:tc>
          <w:tcPr>
            <w:tcW w:w="5200" w:type="dxa"/>
            <w:vAlign w:val="bottom"/>
            <w:vMerge w:val="continue"/>
          </w:tcPr>
          <w:p>
            <w:pPr>
              <w:spacing w:after="0"/>
              <w:rPr>
                <w:sz w:val="22"/>
                <w:szCs w:val="22"/>
                <w:color w:val="auto"/>
              </w:rPr>
            </w:pP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(29,426)</w:t>
            </w:r>
          </w:p>
        </w:tc>
        <w:tc>
          <w:tcPr>
            <w:tcW w:w="10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(13,843)</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(169,253)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(49,808)</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Loss on forward sale of Series B Preferred Stock</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60,081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Loss on bridge loans</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13,719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4,494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4,320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13,199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11,738</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2,979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8,728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8,944</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893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2,680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2,744</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Interest expense (b)</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1,049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968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3,141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2,751</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3,526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4"/>
        </w:trPr>
        <w:tc>
          <w:tcPr>
            <w:tcW w:w="5200" w:type="dxa"/>
            <w:vAlign w:val="bottom"/>
          </w:tcPr>
          <w:p>
            <w:pPr>
              <w:spacing w:after="0"/>
              <w:rPr>
                <w:sz w:val="20"/>
                <w:szCs w:val="20"/>
                <w:color w:val="auto"/>
              </w:rPr>
            </w:pPr>
            <w:r>
              <w:rPr>
                <w:rFonts w:ascii="Arial" w:cs="Arial" w:eastAsia="Arial" w:hAnsi="Arial"/>
                <w:sz w:val="22"/>
                <w:szCs w:val="22"/>
                <w:color w:val="auto"/>
              </w:rPr>
              <w:t>Benefit from acquisition related income taxes (d)</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(742)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(2,226)</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(2,226)</w:t>
            </w:r>
          </w:p>
        </w:tc>
        <w:tc>
          <w:tcPr>
            <w:tcW w:w="0" w:type="dxa"/>
            <w:vAlign w:val="bottom"/>
          </w:tcPr>
          <w:p>
            <w:pPr>
              <w:spacing w:after="0"/>
              <w:rPr>
                <w:sz w:val="1"/>
                <w:szCs w:val="1"/>
                <w:color w:val="auto"/>
              </w:rPr>
            </w:pPr>
          </w:p>
        </w:tc>
      </w:tr>
      <w:tr>
        <w:trPr>
          <w:trHeight w:val="267"/>
        </w:trPr>
        <w:tc>
          <w:tcPr>
            <w:tcW w:w="5200" w:type="dxa"/>
            <w:vAlign w:val="bottom"/>
          </w:tcPr>
          <w:p>
            <w:pPr>
              <w:spacing w:after="0"/>
              <w:rPr>
                <w:sz w:val="20"/>
                <w:szCs w:val="20"/>
                <w:color w:val="auto"/>
              </w:rPr>
            </w:pPr>
            <w:r>
              <w:rPr>
                <w:rFonts w:ascii="Arial" w:cs="Arial" w:eastAsia="Arial" w:hAnsi="Arial"/>
                <w:sz w:val="22"/>
                <w:szCs w:val="22"/>
                <w:color w:val="auto"/>
              </w:rPr>
              <w:t>Net loss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(20,826)</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(5,420)</w:t>
            </w:r>
          </w:p>
        </w:tc>
        <w:tc>
          <w:tcPr>
            <w:tcW w:w="100" w:type="dxa"/>
            <w:vAlign w:val="bottom"/>
          </w:tcPr>
          <w:p>
            <w:pPr>
              <w:spacing w:after="0"/>
              <w:rPr>
                <w:sz w:val="23"/>
                <w:szCs w:val="2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(66,193)</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(25,842)</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5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rPr>
              <w:t>78,897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vMerge w:val="restart"/>
          </w:tcPr>
          <w:p>
            <w:pPr>
              <w:jc w:val="right"/>
              <w:ind w:right="92"/>
              <w:spacing w:after="0"/>
              <w:rPr>
                <w:sz w:val="20"/>
                <w:szCs w:val="20"/>
                <w:color w:val="auto"/>
              </w:rPr>
            </w:pPr>
            <w:r>
              <w:rPr>
                <w:rFonts w:ascii="Arial" w:cs="Arial" w:eastAsia="Arial" w:hAnsi="Arial"/>
                <w:sz w:val="22"/>
                <w:szCs w:val="22"/>
                <w:color w:val="auto"/>
              </w:rPr>
              <w:t>76,301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22"/>
                <w:szCs w:val="22"/>
                <w:color w:val="auto"/>
              </w:rPr>
              <w:t>77,924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rPr>
              <w:t>75,494</w:t>
            </w:r>
          </w:p>
        </w:tc>
        <w:tc>
          <w:tcPr>
            <w:tcW w:w="0" w:type="dxa"/>
            <w:vAlign w:val="bottom"/>
          </w:tcPr>
          <w:p>
            <w:pPr>
              <w:spacing w:after="0"/>
              <w:rPr>
                <w:sz w:val="1"/>
                <w:szCs w:val="1"/>
                <w:color w:val="auto"/>
              </w:rPr>
            </w:pPr>
          </w:p>
        </w:tc>
      </w:tr>
      <w:tr>
        <w:trPr>
          <w:trHeight w:val="287"/>
        </w:trPr>
        <w:tc>
          <w:tcPr>
            <w:tcW w:w="5200" w:type="dxa"/>
            <w:vAlign w:val="bottom"/>
          </w:tcPr>
          <w:p>
            <w:pPr>
              <w:ind w:left="200"/>
              <w:spacing w:after="0"/>
              <w:rPr>
                <w:sz w:val="20"/>
                <w:szCs w:val="20"/>
                <w:color w:val="auto"/>
              </w:rPr>
            </w:pPr>
            <w:r>
              <w:rPr>
                <w:rFonts w:ascii="Arial" w:cs="Arial" w:eastAsia="Arial" w:hAnsi="Arial"/>
                <w:sz w:val="22"/>
                <w:szCs w:val="22"/>
                <w:color w:val="auto"/>
              </w:rPr>
              <w:t>basic and diluted (GAAP and Non-GAAP)</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20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(0.37)</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(2.17)</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(0.66)</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22"/>
                <w:szCs w:val="22"/>
                <w:color w:val="auto"/>
              </w:rPr>
              <w:t>Net loss per share - basic and diluted (Non-GAAP)</w:t>
            </w: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200" w:type="dxa"/>
            <w:vAlign w:val="bottom"/>
            <w:vMerge w:val="continue"/>
          </w:tcPr>
          <w:p>
            <w:pPr>
              <w:spacing w:after="0"/>
              <w:rPr>
                <w:sz w:val="22"/>
                <w:szCs w:val="22"/>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(0.26)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color w:val="auto"/>
              </w:rPr>
              <w:t>(0.07)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(0.85)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color w:val="auto"/>
              </w:rPr>
              <w:t>(0.34)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AND SERVICE MARGIN</w:t>
      </w:r>
    </w:p>
    <w:p>
      <w:pPr>
        <w:sectPr>
          <w:pgSz w:w="11900" w:h="16887" w:orient="portrait"/>
          <w:cols w:equalWidth="0" w:num="1">
            <w:col w:w="11220"/>
          </w:cols>
          <w:pgMar w:left="340" w:top="38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Product and service gross profit (GAAP)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Amortization of developed technology (a)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Stock-based compensation expense (e)</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Product and service gross profit (Non-GAAP)</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Product and service margin percentage (GAAP)</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Product and service margin percentage (Non-GAAP)</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980" w:type="dxa"/>
            <w:vAlign w:val="bottom"/>
            <w:gridSpan w:val="5"/>
          </w:tcPr>
          <w:p>
            <w:pPr>
              <w:ind w:left="40"/>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280" w:type="dxa"/>
            <w:vAlign w:val="bottom"/>
          </w:tcPr>
          <w:p>
            <w:pPr>
              <w:spacing w:after="0"/>
              <w:rPr>
                <w:sz w:val="24"/>
                <w:szCs w:val="24"/>
                <w:color w:val="auto"/>
              </w:rPr>
            </w:pPr>
          </w:p>
        </w:tc>
        <w:tc>
          <w:tcPr>
            <w:tcW w:w="276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87"/>
              </w:rPr>
              <w:t>September 30,</w:t>
            </w:r>
          </w:p>
        </w:tc>
        <w:tc>
          <w:tcPr>
            <w:tcW w:w="300" w:type="dxa"/>
            <w:vAlign w:val="bottom"/>
          </w:tcPr>
          <w:p>
            <w:pPr>
              <w:spacing w:after="0"/>
              <w:rPr>
                <w:sz w:val="24"/>
                <w:szCs w:val="24"/>
                <w:color w:val="auto"/>
              </w:rPr>
            </w:pPr>
          </w:p>
        </w:tc>
        <w:tc>
          <w:tcPr>
            <w:tcW w:w="1540" w:type="dxa"/>
            <w:vAlign w:val="bottom"/>
            <w:gridSpan w:val="3"/>
          </w:tcPr>
          <w:p>
            <w:pPr>
              <w:jc w:val="right"/>
              <w:ind w:right="92"/>
              <w:spacing w:after="0"/>
              <w:rPr>
                <w:sz w:val="20"/>
                <w:szCs w:val="20"/>
                <w:color w:val="auto"/>
              </w:rPr>
            </w:pPr>
            <w:r>
              <w:rPr>
                <w:rFonts w:ascii="Arial" w:cs="Arial" w:eastAsia="Arial" w:hAnsi="Arial"/>
                <w:sz w:val="22"/>
                <w:szCs w:val="22"/>
                <w:b w:val="1"/>
                <w:bCs w:val="1"/>
                <w:color w:val="auto"/>
              </w:rPr>
              <w:t>30,</w:t>
            </w:r>
          </w:p>
        </w:tc>
        <w:tc>
          <w:tcPr>
            <w:tcW w:w="1140" w:type="dxa"/>
            <w:vAlign w:val="bottom"/>
          </w:tcPr>
          <w:p>
            <w:pPr>
              <w:spacing w:after="0"/>
              <w:rPr>
                <w:sz w:val="24"/>
                <w:szCs w:val="24"/>
                <w:color w:val="auto"/>
              </w:rPr>
            </w:pPr>
          </w:p>
        </w:tc>
      </w:tr>
      <w:tr>
        <w:trPr>
          <w:trHeight w:val="265"/>
        </w:trPr>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r>
      <w:tr>
        <w:trPr>
          <w:trHeight w:val="256"/>
        </w:trPr>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8,743</w:t>
            </w:r>
          </w:p>
        </w:tc>
        <w:tc>
          <w:tcPr>
            <w:tcW w:w="10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13,118</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24,299</w:t>
            </w:r>
          </w:p>
        </w:tc>
        <w:tc>
          <w:tcPr>
            <w:tcW w:w="100" w:type="dxa"/>
            <w:vAlign w:val="bottom"/>
          </w:tcPr>
          <w:p>
            <w:pPr>
              <w:spacing w:after="0"/>
              <w:rPr>
                <w:sz w:val="22"/>
                <w:szCs w:val="22"/>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45,036</w:t>
            </w:r>
          </w:p>
        </w:tc>
      </w:tr>
      <w:tr>
        <w:trPr>
          <w:trHeight w:val="270"/>
        </w:trPr>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8,408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8,400</w:t>
            </w:r>
          </w:p>
        </w:tc>
      </w:tr>
      <w:tr>
        <w:trPr>
          <w:trHeight w:val="270"/>
        </w:trPr>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948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1,161</w:t>
            </w:r>
          </w:p>
        </w:tc>
      </w:tr>
      <w:tr>
        <w:trPr>
          <w:trHeight w:val="276"/>
        </w:trPr>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188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459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414</w:t>
            </w:r>
          </w:p>
        </w:tc>
      </w:tr>
      <w:tr>
        <w:trPr>
          <w:trHeight w:val="265"/>
        </w:trPr>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12,011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16,454</w:t>
            </w:r>
          </w:p>
        </w:tc>
        <w:tc>
          <w:tcPr>
            <w:tcW w:w="100" w:type="dxa"/>
            <w:vAlign w:val="bottom"/>
          </w:tcPr>
          <w:p>
            <w:pPr>
              <w:spacing w:after="0"/>
              <w:rPr>
                <w:sz w:val="23"/>
                <w:szCs w:val="2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34,114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55,011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26"/>
        </w:trPr>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35.0%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51.0%</w:t>
            </w:r>
          </w:p>
        </w:tc>
      </w:tr>
      <w:tr>
        <w:trPr>
          <w:trHeight w:val="274"/>
        </w:trPr>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62.4%</w:t>
            </w:r>
          </w:p>
        </w:tc>
      </w:tr>
    </w:tbl>
    <w:p>
      <w:pPr>
        <w:spacing w:after="0" w:line="200" w:lineRule="exact"/>
        <w:rPr>
          <w:sz w:val="20"/>
          <w:szCs w:val="20"/>
          <w:color w:val="auto"/>
        </w:rPr>
      </w:pPr>
    </w:p>
    <w:p>
      <w:pPr>
        <w:sectPr>
          <w:pgSz w:w="11900" w:h="16887" w:orient="portrait"/>
          <w:cols w:equalWidth="0" w:num="2">
            <w:col w:w="4580" w:space="620"/>
            <w:col w:w="6020"/>
          </w:cols>
          <w:pgMar w:left="340" w:top="382" w:right="339" w:bottom="0" w:gutter="0" w:footer="0" w:header="0"/>
          <w:type w:val="continuous"/>
        </w:sect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980" w:type="dxa"/>
            <w:vAlign w:val="bottom"/>
            <w:gridSpan w:val="6"/>
          </w:tcPr>
          <w:p>
            <w:pPr>
              <w:ind w:left="40"/>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87"/>
              </w:rPr>
              <w:t>September 30,</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gridSpan w:val="3"/>
          </w:tcPr>
          <w:p>
            <w:pPr>
              <w:jc w:val="right"/>
              <w:ind w:right="92"/>
              <w:spacing w:after="0"/>
              <w:rPr>
                <w:sz w:val="20"/>
                <w:szCs w:val="20"/>
                <w:color w:val="auto"/>
              </w:rPr>
            </w:pPr>
            <w:r>
              <w:rPr>
                <w:rFonts w:ascii="Arial" w:cs="Arial" w:eastAsia="Arial" w:hAnsi="Arial"/>
                <w:sz w:val="22"/>
                <w:szCs w:val="22"/>
                <w:b w:val="1"/>
                <w:bCs w:val="1"/>
                <w:color w:val="auto"/>
                <w:w w:val="91"/>
              </w:rPr>
              <w:t>30,</w:t>
            </w:r>
          </w:p>
        </w:tc>
        <w:tc>
          <w:tcPr>
            <w:tcW w:w="1140" w:type="dxa"/>
            <w:vAlign w:val="bottom"/>
          </w:tcPr>
          <w:p>
            <w:pPr>
              <w:spacing w:after="0"/>
              <w:rPr>
                <w:sz w:val="24"/>
                <w:szCs w:val="24"/>
                <w:color w:val="auto"/>
              </w:rPr>
            </w:pPr>
          </w:p>
        </w:tc>
      </w:tr>
      <w:tr>
        <w:trPr>
          <w:trHeight w:val="265"/>
        </w:trPr>
        <w:tc>
          <w:tcPr>
            <w:tcW w:w="52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r>
      <w:tr>
        <w:trPr>
          <w:trHeight w:val="256"/>
        </w:trPr>
        <w:tc>
          <w:tcPr>
            <w:tcW w:w="520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38,247</w:t>
            </w:r>
          </w:p>
        </w:tc>
        <w:tc>
          <w:tcPr>
            <w:tcW w:w="10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33,281</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120,977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105,331</w:t>
            </w: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Stock-based compensation expense (f)</w:t>
            </w:r>
          </w:p>
        </w:tc>
        <w:tc>
          <w:tcPr>
            <w:tcW w:w="28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(4,340)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(4,132)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(12,740)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(11,324)</w:t>
            </w: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Depreciation and amortization (f)</w:t>
            </w:r>
          </w:p>
        </w:tc>
        <w:tc>
          <w:tcPr>
            <w:tcW w:w="28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(487)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(723)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(2,052)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(2,127)</w:t>
            </w: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(3,526)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6"/>
        </w:trPr>
        <w:tc>
          <w:tcPr>
            <w:tcW w:w="5200" w:type="dxa"/>
            <w:vAlign w:val="bottom"/>
          </w:tcPr>
          <w:p>
            <w:pPr>
              <w:spacing w:after="0"/>
              <w:rPr>
                <w:sz w:val="20"/>
                <w:szCs w:val="20"/>
                <w:color w:val="auto"/>
              </w:rPr>
            </w:pPr>
            <w:r>
              <w:rPr>
                <w:rFonts w:ascii="Arial" w:cs="Arial" w:eastAsia="Arial" w:hAnsi="Arial"/>
                <w:sz w:val="22"/>
                <w:szCs w:val="22"/>
                <w:color w:val="auto"/>
              </w:rPr>
              <w:t>Loss on disposal of property and equipment (f)</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(197)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(212)</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w:t>
            </w:r>
          </w:p>
        </w:tc>
      </w:tr>
      <w:tr>
        <w:trPr>
          <w:trHeight w:val="265"/>
        </w:trPr>
        <w:tc>
          <w:tcPr>
            <w:tcW w:w="520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33,223</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28,421</w:t>
            </w:r>
          </w:p>
        </w:tc>
        <w:tc>
          <w:tcPr>
            <w:tcW w:w="100" w:type="dxa"/>
            <w:vAlign w:val="bottom"/>
          </w:tcPr>
          <w:p>
            <w:pPr>
              <w:spacing w:after="0"/>
              <w:rPr>
                <w:sz w:val="23"/>
                <w:szCs w:val="2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102,447</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91,874</w:t>
            </w: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800"/>
        </w:trPr>
        <w:tc>
          <w:tcPr>
            <w:tcW w:w="11220" w:type="dxa"/>
            <w:vAlign w:val="bottom"/>
            <w:gridSpan w:val="13"/>
          </w:tcPr>
          <w:p>
            <w:pPr>
              <w:jc w:val="right"/>
              <w:ind w:right="792"/>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tc>
      </w:tr>
      <w:tr>
        <w:trPr>
          <w:trHeight w:val="503"/>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2980" w:type="dxa"/>
            <w:vAlign w:val="bottom"/>
            <w:gridSpan w:val="6"/>
          </w:tcPr>
          <w:p>
            <w:pPr>
              <w:ind w:left="40"/>
              <w:spacing w:after="0"/>
              <w:rPr>
                <w:sz w:val="20"/>
                <w:szCs w:val="20"/>
                <w:color w:val="auto"/>
              </w:rPr>
            </w:pPr>
            <w:r>
              <w:rPr>
                <w:rFonts w:ascii="Arial" w:cs="Arial" w:eastAsia="Arial" w:hAnsi="Arial"/>
                <w:sz w:val="22"/>
                <w:szCs w:val="22"/>
                <w:b w:val="1"/>
                <w:bCs w:val="1"/>
                <w:color w:val="auto"/>
                <w:w w:val="89"/>
              </w:rPr>
              <w:t>Nine Months Ended September</w:t>
            </w:r>
          </w:p>
        </w:tc>
      </w:tr>
      <w:tr>
        <w:trPr>
          <w:trHeight w:val="282"/>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87"/>
              </w:rPr>
              <w:t>September 30,</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gridSpan w:val="3"/>
          </w:tcPr>
          <w:p>
            <w:pPr>
              <w:jc w:val="right"/>
              <w:ind w:right="92"/>
              <w:spacing w:after="0"/>
              <w:rPr>
                <w:sz w:val="20"/>
                <w:szCs w:val="20"/>
                <w:color w:val="auto"/>
              </w:rPr>
            </w:pPr>
            <w:r>
              <w:rPr>
                <w:rFonts w:ascii="Arial" w:cs="Arial" w:eastAsia="Arial" w:hAnsi="Arial"/>
                <w:sz w:val="22"/>
                <w:szCs w:val="22"/>
                <w:b w:val="1"/>
                <w:bCs w:val="1"/>
                <w:color w:val="auto"/>
                <w:w w:val="91"/>
              </w:rPr>
              <w:t>30,</w:t>
            </w:r>
          </w:p>
        </w:tc>
        <w:tc>
          <w:tcPr>
            <w:tcW w:w="1140" w:type="dxa"/>
            <w:vAlign w:val="bottom"/>
          </w:tcPr>
          <w:p>
            <w:pPr>
              <w:spacing w:after="0"/>
              <w:rPr>
                <w:sz w:val="24"/>
                <w:szCs w:val="24"/>
                <w:color w:val="auto"/>
              </w:rPr>
            </w:pPr>
          </w:p>
        </w:tc>
      </w:tr>
      <w:tr>
        <w:trPr>
          <w:trHeight w:val="265"/>
        </w:trPr>
        <w:tc>
          <w:tcPr>
            <w:tcW w:w="520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2021</w:t>
            </w:r>
          </w:p>
        </w:tc>
      </w:tr>
      <w:tr>
        <w:trPr>
          <w:trHeight w:val="256"/>
        </w:trPr>
        <w:tc>
          <w:tcPr>
            <w:tcW w:w="520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(29,027)</w:t>
            </w:r>
          </w:p>
        </w:tc>
        <w:tc>
          <w:tcPr>
            <w:tcW w:w="10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(19,612)</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(95,093)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(56,200)</w:t>
            </w:r>
          </w:p>
        </w:tc>
      </w:tr>
      <w:tr>
        <w:trPr>
          <w:trHeight w:val="274"/>
        </w:trPr>
        <w:tc>
          <w:tcPr>
            <w:tcW w:w="52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8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4,494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2"/>
              <w:spacing w:after="0"/>
              <w:rPr>
                <w:sz w:val="20"/>
                <w:szCs w:val="20"/>
                <w:color w:val="auto"/>
              </w:rPr>
            </w:pPr>
            <w:r>
              <w:rPr>
                <w:rFonts w:ascii="Arial" w:cs="Arial" w:eastAsia="Arial" w:hAnsi="Arial"/>
                <w:sz w:val="22"/>
                <w:szCs w:val="22"/>
                <w:color w:val="auto"/>
              </w:rPr>
              <w:t>4,320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13,199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11,738</w:t>
            </w:r>
          </w:p>
        </w:tc>
      </w:tr>
    </w:tbl>
    <w:p>
      <w:pPr>
        <w:sectPr>
          <w:pgSz w:w="11900" w:h="16887" w:orient="portrait"/>
          <w:cols w:equalWidth="0" w:num="1">
            <w:col w:w="11220"/>
          </w:cols>
          <w:pgMar w:left="340" w:top="382" w:right="3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20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2,979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8,728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8,944</w:t>
            </w: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Depreciation and amortization (f)</w:t>
            </w:r>
          </w:p>
        </w:tc>
        <w:tc>
          <w:tcPr>
            <w:tcW w:w="3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802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893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2,680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2,744</w:t>
            </w: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Impairment of intangible (c)</w:t>
            </w:r>
          </w:p>
        </w:tc>
        <w:tc>
          <w:tcPr>
            <w:tcW w:w="34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3,526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6"/>
        </w:trPr>
        <w:tc>
          <w:tcPr>
            <w:tcW w:w="5200" w:type="dxa"/>
            <w:vAlign w:val="bottom"/>
          </w:tcPr>
          <w:p>
            <w:pPr>
              <w:spacing w:after="0"/>
              <w:rPr>
                <w:sz w:val="20"/>
                <w:szCs w:val="20"/>
                <w:color w:val="auto"/>
              </w:rPr>
            </w:pPr>
            <w:r>
              <w:rPr>
                <w:rFonts w:ascii="Arial" w:cs="Arial" w:eastAsia="Arial" w:hAnsi="Arial"/>
                <w:sz w:val="22"/>
                <w:szCs w:val="22"/>
                <w:color w:val="auto"/>
              </w:rPr>
              <w:t>Loss on disposal of property and equipment (f)</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197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212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w:t>
            </w:r>
          </w:p>
        </w:tc>
      </w:tr>
      <w:tr>
        <w:trPr>
          <w:trHeight w:val="265"/>
        </w:trPr>
        <w:tc>
          <w:tcPr>
            <w:tcW w:w="520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(20,734)</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(11,415)</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(66,748)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(32,768)</w:t>
            </w: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and InstruNor acquisitions</w:t>
      </w:r>
    </w:p>
    <w:p>
      <w:pPr>
        <w:spacing w:after="0" w:line="21"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 and the term loan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impairment of intangible no longer used in our product lines</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9"/>
        <w:spacing w:after="0"/>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280" w:hanging="279"/>
        <w:spacing w:after="0"/>
        <w:tabs>
          <w:tab w:leader="none" w:pos="280"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Represents expense associated with research and development, and selling, general and administrative activities</w:t>
      </w:r>
    </w:p>
    <w:sectPr>
      <w:pgSz w:w="11900" w:h="16838" w:orient="portrait"/>
      <w:cols w:equalWidth="0" w:num="1">
        <w:col w:w="11220"/>
      </w:cols>
      <w:pgMar w:left="3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2022-11-08T15:59:20Z</dcterms:created>
  <dcterms:modified xsi:type="dcterms:W3CDTF">2022-11-08T15:59:20Z</dcterms:modified>
</cp:coreProperties>
</file>