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05/23/2024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6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5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05/23/2024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100,000</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46,075,821</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118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13,939,637</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103,556</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2,744,219</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1,200,000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7,548,000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40" w:type="dxa"/>
            <w:vAlign w:val="bottom"/>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2"/>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8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Partners Master Fund, L.P.</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Casdin Eli</w:t>
              </w:r>
            </w:hyperlink>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1350 AVENUE OF THE AMERICAS</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Casdin Capital,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FUND GP, LLC</w:t>
        </w:r>
      </w:hyperlink>
    </w:p>
    <w:p>
      <w:pPr>
        <w:sectPr>
          <w:pgSz w:w="11900" w:h="16880" w:orient="portrait"/>
          <w:cols w:equalWidth="0" w:num="1">
            <w:col w:w="9979"/>
          </w:cols>
          <w:pgMar w:left="480" w:top="125" w:right="1440" w:bottom="0" w:gutter="0" w:footer="0" w:header="0"/>
        </w:sectPr>
      </w:pPr>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80" w:orient="portrait"/>
          <w:cols w:equalWidth="0" w:num="1">
            <w:col w:w="9979"/>
          </w:cols>
          <w:pgMar w:left="480" w:top="125" w:right="1440" w:bottom="0" w:gutter="0" w:footer="0" w:header="0"/>
          <w:type w:val="continuous"/>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40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2940685"/>
                    </a:xfrm>
                    <a:prstGeom prst="rect">
                      <a:avLst/>
                    </a:prstGeom>
                    <a:noFill/>
                  </pic:spPr>
                </pic:pic>
              </a:graphicData>
            </a:graphic>
          </wp:anchor>
        </w:drawing>
        <w:t>1350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20" w:type="dxa"/>
            <w:vAlign w:val="bottom"/>
            <w:gridSpan w:val="3"/>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Casdin Partners FO1-MSV,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CASDIN PARTNERS GP,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7"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FO1-MSV, LP ("Casdin FO1") and may be deemed to be indirectly beneficially owned by (i) Casdin, the investment adviser to Casdin FO1, (ii) the GP, the general partner of Casdin FO1,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II LLC ("CMLS Holdings II"). The Board of Managers of CMLS Holdings II includes Eli Casdin, who, as a member of the Board of Managers of CMLS Holdings II, shares voting and investment discretion with respect to the common stock held by CMLS Holdings II.</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20"/>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20"/>
          </w:cols>
          <w:pgMar w:left="480" w:top="178" w:right="49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93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95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98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41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0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9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Growth Equity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63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6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FO1-MSV,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52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20" w:space="40"/>
            <w:col w:w="2160"/>
          </w:cols>
          <w:pgMar w:left="480" w:top="178" w:right="49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78" w:right="4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3"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12" Type="http://schemas.openxmlformats.org/officeDocument/2006/relationships/hyperlink" Target="http://www.sec.gov/cgi-bin/browse-edgar?action=getcompany&amp;CIK=0001534265"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534264" TargetMode="External"/><Relationship Id="rId17" Type="http://schemas.openxmlformats.org/officeDocument/2006/relationships/hyperlink" Target="http://www.sec.gov/cgi-bin/browse-edgar?action=getcompany&amp;CIK=0001534261" TargetMode="External"/><Relationship Id="rId18" Type="http://schemas.openxmlformats.org/officeDocument/2006/relationships/hyperlink" Target="http://www.sec.gov/cgi-bin/browse-edgar?action=getcompany&amp;CIK=0001534260" TargetMode="External"/><Relationship Id="rId19" Type="http://schemas.openxmlformats.org/officeDocument/2006/relationships/hyperlink" Target="http://www.sec.gov/cgi-bin/browse-edgar?action=getcompany&amp;CIK=0001891102" TargetMode="External"/><Relationship Id="rId20" Type="http://schemas.openxmlformats.org/officeDocument/2006/relationships/hyperlink" Target="http://www.sec.gov/cgi-bin/browse-edgar?action=getcompany&amp;CIK=0001919480" TargetMode="External"/><Relationship Id="rId21" Type="http://schemas.openxmlformats.org/officeDocument/2006/relationships/hyperlink" Target="http://www.sec.gov/cgi-bin/browse-edgar?action=getcompany&amp;CIK=0001823061" TargetMode="External"/><Relationship Id="rId22" Type="http://schemas.openxmlformats.org/officeDocument/2006/relationships/hyperlink" Target="http://www.sec.gov/cgi-bin/browse-edgar?action=getcompany&amp;CIK=0001864554" TargetMode="External"/><Relationship Id="rId24" Type="http://schemas.openxmlformats.org/officeDocument/2006/relationships/hyperlink" Target="http://www.sec.gov/cgi-bin/browse-edgar?action=getcompany&amp;CIK=00019387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2024-05-28T19:56:21Z</dcterms:created>
  <dcterms:modified xsi:type="dcterms:W3CDTF">2024-05-28T19:56:21Z</dcterms:modified>
</cp:coreProperties>
</file>