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color w:val="auto"/>
        </w:rPr>
        <w:t>SEC Form 3</w:t>
      </w:r>
    </w:p>
    <w:p>
      <w:pPr>
        <w:spacing w:after="0" w:line="23"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00"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1600" w:type="dxa"/>
            <w:vAlign w:val="bottom"/>
          </w:tcPr>
          <w:p>
            <w:pPr>
              <w:spacing w:after="0"/>
              <w:rPr>
                <w:sz w:val="5"/>
                <w:szCs w:val="5"/>
                <w:color w:val="auto"/>
              </w:rPr>
            </w:pPr>
          </w:p>
        </w:tc>
        <w:tc>
          <w:tcPr>
            <w:tcW w:w="67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40" w:type="dxa"/>
            <w:vAlign w:val="bottom"/>
            <w:vMerge w:val="restart"/>
          </w:tcPr>
          <w:p>
            <w:pPr>
              <w:ind w:left="620"/>
              <w:spacing w:after="0"/>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5"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13335</wp:posOffset>
            </wp:positionV>
            <wp:extent cx="7317740" cy="2404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404745"/>
                    </a:xfrm>
                    <a:prstGeom prst="rect">
                      <a:avLst/>
                    </a:prstGeom>
                    <a:noFill/>
                  </pic:spPr>
                </pic:pic>
              </a:graphicData>
            </a:graphic>
          </wp:anchor>
        </w:drawing>
      </w:r>
    </w:p>
    <w:p>
      <w:pPr>
        <w:sectPr>
          <w:pgSz w:w="11900" w:h="16838" w:orient="portrait"/>
          <w:cols w:equalWidth="0" w:num="1">
            <w:col w:w="11480"/>
          </w:cols>
          <w:pgMar w:left="220" w:top="193" w:right="199" w:bottom="1440" w:gutter="0" w:footer="0" w:header="0"/>
        </w:sectPr>
      </w:pPr>
    </w:p>
    <w:p>
      <w:pPr>
        <w:spacing w:after="0" w:line="73"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Times New Roman" w:cs="Times New Roman" w:eastAsia="Times New Roman" w:hAnsi="Times New Roman"/>
          <w:sz w:val="14"/>
          <w:szCs w:val="14"/>
          <w:u w:val="single" w:color="auto"/>
          <w:color w:val="0000EE"/>
        </w:rPr>
      </w:pPr>
      <w:hyperlink r:id="rId11">
        <w:r>
          <w:rPr>
            <w:rFonts w:ascii="Times New Roman" w:cs="Times New Roman" w:eastAsia="Times New Roman" w:hAnsi="Times New Roman"/>
            <w:sz w:val="14"/>
            <w:szCs w:val="14"/>
            <w:u w:val="single" w:color="auto"/>
            <w:color w:val="0000EE"/>
          </w:rPr>
          <w:t>Khadder Nicholas</w:t>
        </w:r>
      </w:hyperlink>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ind w:left="2" w:hanging="2"/>
        <w:spacing w:after="0" w:line="246"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ind w:left="2"/>
        <w:spacing w:after="0"/>
        <w:rPr>
          <w:sz w:val="20"/>
          <w:szCs w:val="20"/>
          <w:color w:val="auto"/>
        </w:rPr>
      </w:pPr>
      <w:r>
        <w:rPr>
          <w:rFonts w:ascii="Times New Roman" w:cs="Times New Roman" w:eastAsia="Times New Roman" w:hAnsi="Times New Roman"/>
          <w:sz w:val="12"/>
          <w:szCs w:val="12"/>
          <w:color w:val="0000FF"/>
        </w:rPr>
        <w:t>06/21/2016</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8"/>
          <w:szCs w:val="8"/>
          <w:color w:val="auto"/>
        </w:rPr>
        <w:t xml:space="preserve">3. Issuer Name </w:t>
      </w:r>
      <w:r>
        <w:rPr>
          <w:rFonts w:ascii="Arial" w:cs="Arial" w:eastAsia="Arial" w:hAnsi="Arial"/>
          <w:sz w:val="8"/>
          <w:szCs w:val="8"/>
          <w:b w:val="1"/>
          <w:bCs w:val="1"/>
          <w:color w:val="auto"/>
        </w:rPr>
        <w:t>and</w:t>
      </w:r>
      <w:r>
        <w:rPr>
          <w:rFonts w:ascii="Arial" w:cs="Arial" w:eastAsia="Arial" w:hAnsi="Arial"/>
          <w:sz w:val="8"/>
          <w:szCs w:val="8"/>
          <w:color w:val="auto"/>
        </w:rPr>
        <w:t xml:space="preserve"> Ticker or Trading Symbol</w:t>
      </w:r>
    </w:p>
    <w:p>
      <w:pPr>
        <w:spacing w:after="0" w:line="17" w:lineRule="exact"/>
        <w:rPr>
          <w:sz w:val="24"/>
          <w:szCs w:val="24"/>
          <w:color w:val="auto"/>
        </w:rPr>
      </w:pPr>
    </w:p>
    <w:p>
      <w:pPr>
        <w:spacing w:after="0"/>
        <w:rPr>
          <w:rFonts w:ascii="Times New Roman" w:cs="Times New Roman" w:eastAsia="Times New Roman" w:hAnsi="Times New Roman"/>
          <w:sz w:val="14"/>
          <w:szCs w:val="14"/>
          <w:color w:val="0000EE"/>
        </w:rPr>
      </w:pPr>
      <w:hyperlink r:id="rId12">
        <w:r>
          <w:rPr>
            <w:rFonts w:ascii="Times New Roman" w:cs="Times New Roman" w:eastAsia="Times New Roman" w:hAnsi="Times New Roman"/>
            <w:sz w:val="14"/>
            <w:szCs w:val="14"/>
            <w:u w:val="single" w:color="auto"/>
            <w:color w:val="0000EE"/>
          </w:rPr>
          <w:t>FLUIDIGM CORP</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1"/>
          <w:szCs w:val="11"/>
          <w:color w:val="0000FF"/>
        </w:rPr>
        <w:t>FLDM</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w:t>
      </w:r>
    </w:p>
    <w:p>
      <w:pPr>
        <w:spacing w:after="0" w:line="263" w:lineRule="exact"/>
        <w:rPr>
          <w:sz w:val="24"/>
          <w:szCs w:val="24"/>
          <w:color w:val="auto"/>
        </w:rPr>
      </w:pPr>
    </w:p>
    <w:p>
      <w:pPr>
        <w:sectPr>
          <w:pgSz w:w="11900" w:h="16838" w:orient="portrait"/>
          <w:cols w:equalWidth="0" w:num="3">
            <w:col w:w="2758" w:space="720"/>
            <w:col w:w="1482" w:space="220"/>
            <w:col w:w="6300"/>
          </w:cols>
          <w:pgMar w:left="220" w:top="193" w:right="199" w:bottom="1440" w:gutter="0" w:footer="0" w:header="0"/>
          <w:type w:val="continuous"/>
        </w:sectPr>
      </w:pPr>
    </w:p>
    <w:tbl>
      <w:tblPr>
        <w:tblLayout w:type="fixed"/>
        <w:tblInd w:w="40" w:type="dxa"/>
        <w:tblCellMar>
          <w:top w:w="0" w:type="dxa"/>
          <w:left w:w="0" w:type="dxa"/>
          <w:bottom w:w="0" w:type="dxa"/>
          <w:right w:w="0" w:type="dxa"/>
        </w:tblCellMar>
      </w:tblPr>
      <w:tr>
        <w:trPr>
          <w:trHeight w:val="120"/>
        </w:trPr>
        <w:tc>
          <w:tcPr>
            <w:tcW w:w="40" w:type="dxa"/>
            <w:vAlign w:val="bottom"/>
          </w:tcPr>
          <w:p>
            <w:pPr>
              <w:spacing w:after="0"/>
              <w:rPr>
                <w:sz w:val="10"/>
                <w:szCs w:val="10"/>
                <w:color w:val="auto"/>
              </w:rPr>
            </w:pPr>
          </w:p>
        </w:tc>
        <w:tc>
          <w:tcPr>
            <w:tcW w:w="880" w:type="dxa"/>
            <w:vAlign w:val="bottom"/>
          </w:tcPr>
          <w:p>
            <w:pPr>
              <w:spacing w:after="0"/>
              <w:rPr>
                <w:sz w:val="20"/>
                <w:szCs w:val="20"/>
                <w:color w:val="auto"/>
              </w:rPr>
            </w:pPr>
            <w:r>
              <w:rPr>
                <w:rFonts w:ascii="Arial" w:cs="Arial" w:eastAsia="Arial" w:hAnsi="Arial"/>
                <w:sz w:val="9"/>
                <w:szCs w:val="9"/>
                <w:color w:val="auto"/>
              </w:rPr>
              <w:t>(Last)</w:t>
            </w:r>
          </w:p>
        </w:tc>
        <w:tc>
          <w:tcPr>
            <w:tcW w:w="1180" w:type="dxa"/>
            <w:vAlign w:val="bottom"/>
          </w:tcPr>
          <w:p>
            <w:pPr>
              <w:ind w:left="220"/>
              <w:spacing w:after="0"/>
              <w:rPr>
                <w:sz w:val="20"/>
                <w:szCs w:val="20"/>
                <w:color w:val="auto"/>
              </w:rPr>
            </w:pPr>
            <w:r>
              <w:rPr>
                <w:rFonts w:ascii="Arial" w:cs="Arial" w:eastAsia="Arial" w:hAnsi="Arial"/>
                <w:sz w:val="9"/>
                <w:szCs w:val="9"/>
                <w:color w:val="auto"/>
              </w:rPr>
              <w:t>(First)</w:t>
            </w:r>
          </w:p>
        </w:tc>
        <w:tc>
          <w:tcPr>
            <w:tcW w:w="1220" w:type="dxa"/>
            <w:vAlign w:val="bottom"/>
          </w:tcPr>
          <w:p>
            <w:pPr>
              <w:ind w:left="140"/>
              <w:spacing w:after="0"/>
              <w:rPr>
                <w:sz w:val="20"/>
                <w:szCs w:val="20"/>
                <w:color w:val="auto"/>
              </w:rPr>
            </w:pPr>
            <w:r>
              <w:rPr>
                <w:rFonts w:ascii="Arial" w:cs="Arial" w:eastAsia="Arial" w:hAnsi="Arial"/>
                <w:sz w:val="9"/>
                <w:szCs w:val="9"/>
                <w:color w:val="auto"/>
              </w:rPr>
              <w:t>(Middle)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FLUIDIGM CORPORATION</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7000 SHORELINE COURT SUITE 100</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920" w:type="dxa"/>
            <w:vAlign w:val="bottom"/>
            <w:gridSpan w:val="2"/>
          </w:tcPr>
          <w:p>
            <w:pPr>
              <w:spacing w:after="0"/>
              <w:rPr>
                <w:sz w:val="20"/>
                <w:szCs w:val="20"/>
                <w:color w:val="auto"/>
              </w:rPr>
            </w:pPr>
            <w:r>
              <w:rPr>
                <w:rFonts w:ascii="Arial" w:cs="Arial" w:eastAsia="Arial" w:hAnsi="Arial"/>
                <w:sz w:val="9"/>
                <w:szCs w:val="9"/>
                <w:color w:val="auto"/>
              </w:rPr>
              <w:t>(Street)</w:t>
            </w: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2"/>
                <w:szCs w:val="12"/>
                <w:color w:val="0000FF"/>
              </w:rPr>
              <w:t>SOUTH SAN</w:t>
            </w:r>
          </w:p>
        </w:tc>
        <w:tc>
          <w:tcPr>
            <w:tcW w:w="11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CA</w:t>
            </w:r>
          </w:p>
        </w:tc>
        <w:tc>
          <w:tcPr>
            <w:tcW w:w="12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94080</w:t>
            </w: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FRANCISCO</w:t>
            </w: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 w:right="1160" w:firstLine="9"/>
        <w:spacing w:after="0" w:line="261"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531"/>
        <w:spacing w:after="0"/>
        <w:tabs>
          <w:tab w:leader="none" w:pos="2170"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15" w:lineRule="exact"/>
        <w:rPr>
          <w:sz w:val="24"/>
          <w:szCs w:val="24"/>
          <w:color w:val="auto"/>
        </w:rPr>
      </w:pPr>
    </w:p>
    <w:p>
      <w:pPr>
        <w:ind w:left="231"/>
        <w:spacing w:after="0"/>
        <w:tabs>
          <w:tab w:leader="none" w:pos="510" w:val="left"/>
          <w:tab w:leader="none" w:pos="2170" w:val="left"/>
        </w:tabs>
        <w:rPr>
          <w:sz w:val="20"/>
          <w:szCs w:val="20"/>
          <w:color w:val="auto"/>
        </w:rPr>
      </w:pPr>
      <w:r>
        <w:rPr>
          <w:rFonts w:ascii="Times New Roman" w:cs="Times New Roman" w:eastAsia="Times New Roman" w:hAnsi="Times New Roman"/>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61" w:lineRule="exact"/>
        <w:rPr>
          <w:sz w:val="24"/>
          <w:szCs w:val="24"/>
          <w:color w:val="auto"/>
        </w:rPr>
      </w:pPr>
    </w:p>
    <w:p>
      <w:pPr>
        <w:ind w:left="1371"/>
        <w:spacing w:after="0"/>
        <w:rPr>
          <w:sz w:val="20"/>
          <w:szCs w:val="20"/>
          <w:color w:val="auto"/>
        </w:rPr>
      </w:pPr>
      <w:r>
        <w:rPr>
          <w:rFonts w:ascii="Times New Roman" w:cs="Times New Roman" w:eastAsia="Times New Roman" w:hAnsi="Times New Roman"/>
          <w:sz w:val="12"/>
          <w:szCs w:val="12"/>
          <w:color w:val="0000FF"/>
        </w:rPr>
        <w:t>See Remarks</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56" w:lineRule="exact"/>
        <w:rPr>
          <w:rFonts w:ascii="Arial" w:cs="Arial" w:eastAsia="Arial" w:hAnsi="Arial"/>
          <w:sz w:val="9"/>
          <w:szCs w:val="9"/>
          <w:color w:val="auto"/>
        </w:rPr>
      </w:pPr>
    </w:p>
    <w:p>
      <w:pPr>
        <w:ind w:left="179" w:right="560" w:hanging="179"/>
        <w:spacing w:after="0" w:line="318"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Times New Roman" w:cs="Times New Roman" w:eastAsia="Times New Roman" w:hAnsi="Times New Roman"/>
          <w:sz w:val="11"/>
          <w:szCs w:val="11"/>
          <w:color w:val="0000FF"/>
        </w:rPr>
        <w:t xml:space="preserve">X </w:t>
      </w:r>
      <w:r>
        <w:rPr>
          <w:rFonts w:ascii="Arial" w:cs="Arial" w:eastAsia="Arial" w:hAnsi="Arial"/>
          <w:sz w:val="9"/>
          <w:szCs w:val="9"/>
          <w:color w:val="000000"/>
        </w:rPr>
        <w:t>Form filed by One Reporting Person</w:t>
      </w: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429" w:lineRule="exact"/>
        <w:rPr>
          <w:sz w:val="24"/>
          <w:szCs w:val="24"/>
          <w:color w:val="auto"/>
        </w:rPr>
      </w:pPr>
    </w:p>
    <w:p>
      <w:pPr>
        <w:sectPr>
          <w:pgSz w:w="11900" w:h="16838" w:orient="portrait"/>
          <w:cols w:equalWidth="0" w:num="3">
            <w:col w:w="4469" w:space="720"/>
            <w:col w:w="3051" w:space="381"/>
            <w:col w:w="2859"/>
          </w:cols>
          <w:pgMar w:left="220" w:top="193" w:right="199" w:bottom="1440" w:gutter="0" w:footer="0" w:header="0"/>
          <w:type w:val="continuous"/>
        </w:sectPr>
      </w:pPr>
    </w:p>
    <w:p>
      <w:pPr>
        <w:spacing w:after="0" w:line="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27"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26"/>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38"/>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82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1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3940" w:type="dxa"/>
            <w:vAlign w:val="bottom"/>
          </w:tcPr>
          <w:p>
            <w:pPr>
              <w:spacing w:after="0"/>
              <w:rPr>
                <w:sz w:val="4"/>
                <w:szCs w:val="4"/>
                <w:color w:val="auto"/>
              </w:rPr>
            </w:pPr>
          </w:p>
        </w:tc>
        <w:tc>
          <w:tcPr>
            <w:tcW w:w="600" w:type="dxa"/>
            <w:vAlign w:val="bottom"/>
            <w:vMerge w:val="restart"/>
          </w:tcPr>
          <w:p>
            <w:pPr>
              <w:ind w:left="60"/>
              <w:spacing w:after="0"/>
              <w:rPr>
                <w:sz w:val="20"/>
                <w:szCs w:val="20"/>
                <w:color w:val="auto"/>
              </w:rPr>
            </w:pPr>
            <w:r>
              <w:rPr>
                <w:rFonts w:ascii="Arial" w:cs="Arial" w:eastAsia="Arial" w:hAnsi="Arial"/>
                <w:sz w:val="9"/>
                <w:szCs w:val="9"/>
                <w:b w:val="1"/>
                <w:bCs w:val="1"/>
                <w:color w:val="auto"/>
              </w:rPr>
              <w:t>Date</w:t>
            </w:r>
          </w:p>
        </w:tc>
        <w:tc>
          <w:tcPr>
            <w:tcW w:w="540" w:type="dxa"/>
            <w:vAlign w:val="bottom"/>
            <w:vMerge w:val="restart"/>
          </w:tcPr>
          <w:p>
            <w:pPr>
              <w:ind w:left="40"/>
              <w:spacing w:after="0"/>
              <w:rPr>
                <w:sz w:val="20"/>
                <w:szCs w:val="20"/>
                <w:color w:val="auto"/>
              </w:rPr>
            </w:pPr>
            <w:r>
              <w:rPr>
                <w:rFonts w:ascii="Arial" w:cs="Arial" w:eastAsia="Arial" w:hAnsi="Arial"/>
                <w:sz w:val="9"/>
                <w:szCs w:val="9"/>
                <w:b w:val="1"/>
                <w:bCs w:val="1"/>
                <w:color w:val="auto"/>
              </w:rPr>
              <w:t>Expiration</w:t>
            </w:r>
          </w:p>
        </w:tc>
        <w:tc>
          <w:tcPr>
            <w:tcW w:w="1820" w:type="dxa"/>
            <w:vAlign w:val="bottom"/>
          </w:tcPr>
          <w:p>
            <w:pPr>
              <w:spacing w:after="0"/>
              <w:rPr>
                <w:sz w:val="4"/>
                <w:szCs w:val="4"/>
                <w:color w:val="auto"/>
              </w:rPr>
            </w:pPr>
          </w:p>
        </w:tc>
        <w:tc>
          <w:tcPr>
            <w:tcW w:w="1160" w:type="dxa"/>
            <w:vAlign w:val="bottom"/>
            <w:vMerge w:val="restart"/>
          </w:tcPr>
          <w:p>
            <w:pPr>
              <w:ind w:left="520"/>
              <w:spacing w:after="0"/>
              <w:rPr>
                <w:sz w:val="20"/>
                <w:szCs w:val="20"/>
                <w:color w:val="auto"/>
              </w:rPr>
            </w:pPr>
            <w:r>
              <w:rPr>
                <w:rFonts w:ascii="Arial" w:cs="Arial" w:eastAsia="Arial" w:hAnsi="Arial"/>
                <w:sz w:val="9"/>
                <w:szCs w:val="9"/>
                <w:b w:val="1"/>
                <w:bCs w:val="1"/>
                <w:color w:val="auto"/>
              </w:rPr>
              <w:t>Amount or</w:t>
            </w:r>
          </w:p>
        </w:tc>
        <w:tc>
          <w:tcPr>
            <w:tcW w:w="8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39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8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820" w:type="dxa"/>
            <w:vAlign w:val="bottom"/>
            <w:vMerge w:val="restart"/>
          </w:tcPr>
          <w:p>
            <w:pPr>
              <w:ind w:left="80"/>
              <w:spacing w:after="0"/>
              <w:rPr>
                <w:sz w:val="20"/>
                <w:szCs w:val="20"/>
                <w:color w:val="auto"/>
              </w:rPr>
            </w:pPr>
            <w:r>
              <w:rPr>
                <w:rFonts w:ascii="Arial" w:cs="Arial" w:eastAsia="Arial" w:hAnsi="Arial"/>
                <w:sz w:val="9"/>
                <w:szCs w:val="9"/>
                <w:b w:val="1"/>
                <w:bCs w:val="1"/>
                <w:color w:val="auto"/>
              </w:rPr>
              <w:t>Title</w:t>
            </w:r>
          </w:p>
        </w:tc>
        <w:tc>
          <w:tcPr>
            <w:tcW w:w="1160" w:type="dxa"/>
            <w:vAlign w:val="bottom"/>
          </w:tcPr>
          <w:p>
            <w:pPr>
              <w:ind w:left="520"/>
              <w:spacing w:after="0" w:line="99" w:lineRule="exact"/>
              <w:rPr>
                <w:sz w:val="20"/>
                <w:szCs w:val="20"/>
                <w:color w:val="auto"/>
              </w:rPr>
            </w:pPr>
            <w:r>
              <w:rPr>
                <w:rFonts w:ascii="Arial" w:cs="Arial" w:eastAsia="Arial" w:hAnsi="Arial"/>
                <w:sz w:val="9"/>
                <w:szCs w:val="9"/>
                <w:b w:val="1"/>
                <w:bCs w:val="1"/>
                <w:color w:val="auto"/>
              </w:rPr>
              <w:t>Number of</w:t>
            </w: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820" w:type="dxa"/>
            <w:vAlign w:val="bottom"/>
            <w:vMerge w:val="continue"/>
          </w:tcPr>
          <w:p>
            <w:pPr>
              <w:spacing w:after="0"/>
              <w:rPr>
                <w:sz w:val="10"/>
                <w:szCs w:val="10"/>
                <w:color w:val="auto"/>
              </w:rPr>
            </w:pPr>
          </w:p>
        </w:tc>
        <w:tc>
          <w:tcPr>
            <w:tcW w:w="1160" w:type="dxa"/>
            <w:vAlign w:val="bottom"/>
          </w:tcPr>
          <w:p>
            <w:pPr>
              <w:ind w:left="520"/>
              <w:spacing w:after="0"/>
              <w:rPr>
                <w:sz w:val="20"/>
                <w:szCs w:val="20"/>
                <w:color w:val="auto"/>
              </w:rPr>
            </w:pPr>
            <w:r>
              <w:rPr>
                <w:rFonts w:ascii="Arial" w:cs="Arial" w:eastAsia="Arial" w:hAnsi="Arial"/>
                <w:sz w:val="9"/>
                <w:szCs w:val="9"/>
                <w:b w:val="1"/>
                <w:bCs w:val="1"/>
                <w:color w:val="auto"/>
              </w:rPr>
              <w:t>Shares</w:t>
            </w: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39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82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940" w:type="dxa"/>
            <w:vAlign w:val="bottom"/>
          </w:tcPr>
          <w:p>
            <w:pPr>
              <w:ind w:left="20"/>
              <w:spacing w:after="0"/>
              <w:rPr>
                <w:sz w:val="20"/>
                <w:szCs w:val="20"/>
                <w:color w:val="auto"/>
              </w:rPr>
            </w:pPr>
            <w:r>
              <w:rPr>
                <w:rFonts w:ascii="Times New Roman" w:cs="Times New Roman" w:eastAsia="Times New Roman" w:hAnsi="Times New Roman"/>
                <w:sz w:val="9"/>
                <w:szCs w:val="9"/>
                <w:color w:val="008000"/>
              </w:rPr>
              <w:t>Senior Vice President, Legal Affairs, General Counsel, Chief Compliance Officer and Secretary</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No securities are beneficially owned.</w:t>
            </w: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2"/>
                <w:szCs w:val="12"/>
                <w:color w:val="0000FF"/>
                <w:w w:val="95"/>
              </w:rPr>
              <w:t>/s/ Vikram Jog, Attorney-in-fact</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06/22/2016</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rPr>
              <w:t>** Signature of Reporting Person</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3"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1"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The undersigned, as a Section 16 reporting person of Fluidigm Corporation (the "Company"), hereby constitutes and appoints the officers of the Company and the respo</w:t>
      </w:r>
    </w:p>
    <w:p>
      <w:pPr>
        <w:spacing w:after="0" w:line="10" w:lineRule="exact"/>
        <w:rPr>
          <w:sz w:val="20"/>
          <w:szCs w:val="20"/>
          <w:color w:val="auto"/>
        </w:rPr>
      </w:pPr>
    </w:p>
    <w:p>
      <w:pPr>
        <w:ind w:left="428" w:hanging="428"/>
        <w:spacing w:after="0"/>
        <w:tabs>
          <w:tab w:leader="none" w:pos="4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complete and execute Forms ID, 3, 4 and 5 and other forms and all amendments thereto as such attorney-in-fact shall in his or her discretion determine to be r</w:t>
      </w:r>
    </w:p>
    <w:p>
      <w:pPr>
        <w:spacing w:after="0" w:line="10" w:lineRule="exact"/>
        <w:rPr>
          <w:rFonts w:ascii="Courier New" w:cs="Courier New" w:eastAsia="Courier New" w:hAnsi="Courier New"/>
          <w:sz w:val="11"/>
          <w:szCs w:val="11"/>
          <w:color w:val="auto"/>
        </w:rPr>
      </w:pPr>
    </w:p>
    <w:p>
      <w:pPr>
        <w:ind w:left="8" w:hanging="8"/>
        <w:spacing w:after="0" w:line="261" w:lineRule="auto"/>
        <w:tabs>
          <w:tab w:leader="none" w:pos="43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all acts necessary in order to file such forms with the Securities and Exchange Commission, any securities exchange or national association, the Company an The undersigned hereby ratifies and confirms all that said attorney-in-fact and agents shall do or cause to be done by virtue hereof. The undersigned acknowledges This Power of Attorney shall remain in full force and effect until the undersigned is no longer required to file Forms ID, 3, 4 and 5 with respect to the undersigne IN WITNESS WHEREOF, the undersigned has caused this Power of Attorney to be executed as of this 20th day of June, 2016.</w:t>
      </w:r>
    </w:p>
    <w:p>
      <w:pPr>
        <w:spacing w:after="0" w:line="19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Signature: /s/ Nicholas S. Khadder</w:t>
      </w:r>
    </w:p>
    <w:p>
      <w:pPr>
        <w:spacing w:after="0" w:line="21"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Nicholas S. Khadder</w:t>
      </w:r>
    </w:p>
    <w:sectPr>
      <w:pgSz w:w="11900" w:h="16838" w:orient="portrait"/>
      <w:cols w:equalWidth="0" w:num="1">
        <w:col w:w="11528"/>
      </w:cols>
      <w:pgMar w:left="212" w:top="119"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98911" TargetMode="External"/><Relationship Id="rId12"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2019-12-07T15:20:43Z</dcterms:created>
  <dcterms:modified xsi:type="dcterms:W3CDTF">2019-12-07T15:20:43Z</dcterms:modified>
</cp:coreProperties>
</file>