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JONES ROBERT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223"/>
        <w:spacing w:after="0"/>
        <w:rPr>
          <w:sz w:val="20"/>
          <w:szCs w:val="20"/>
          <w:color w:val="auto"/>
        </w:rPr>
      </w:pPr>
      <w:r>
        <w:rPr>
          <w:rFonts w:ascii="Arial" w:cs="Arial" w:eastAsia="Arial" w:hAnsi="Arial"/>
          <w:sz w:val="16"/>
          <w:szCs w:val="16"/>
          <w:color w:val="0000FF"/>
        </w:rPr>
        <w:t>EVP, RESEARCH &amp; DEVELOPMENT</w:t>
      </w:r>
    </w:p>
    <w:p>
      <w:pPr>
        <w:spacing w:after="0" w:line="581"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Arial" w:cs="Arial" w:eastAsia="Arial" w:hAnsi="Arial"/>
                <w:sz w:val="18"/>
                <w:szCs w:val="18"/>
                <w:color w:val="0000FF"/>
              </w:rPr>
              <w:t>02/11/2015</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right"/>
              <w:ind w:right="132"/>
              <w:spacing w:after="0"/>
              <w:rPr>
                <w:sz w:val="20"/>
                <w:szCs w:val="20"/>
                <w:color w:val="auto"/>
              </w:rPr>
            </w:pPr>
            <w:r>
              <w:rPr>
                <w:rFonts w:ascii="Arial" w:cs="Arial" w:eastAsia="Arial" w:hAnsi="Arial"/>
                <w:sz w:val="18"/>
                <w:szCs w:val="18"/>
                <w:color w:val="0000FF"/>
              </w:rPr>
              <w:t>4,900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14.6</w:t>
            </w:r>
          </w:p>
        </w:tc>
        <w:tc>
          <w:tcPr>
            <w:tcW w:w="1420" w:type="dxa"/>
            <w:vAlign w:val="bottom"/>
            <w:gridSpan w:val="3"/>
          </w:tcPr>
          <w:p>
            <w:pPr>
              <w:jc w:val="right"/>
              <w:ind w:right="356"/>
              <w:spacing w:after="0"/>
              <w:rPr>
                <w:sz w:val="20"/>
                <w:szCs w:val="20"/>
                <w:color w:val="auto"/>
              </w:rPr>
            </w:pPr>
            <w:r>
              <w:rPr>
                <w:rFonts w:ascii="Arial" w:cs="Arial" w:eastAsia="Arial" w:hAnsi="Arial"/>
                <w:sz w:val="18"/>
                <w:szCs w:val="18"/>
                <w:color w:val="0000FF"/>
              </w:rPr>
              <w:t>5,626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02/11/2015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4,900</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37.6181</w:t>
            </w:r>
            <w:r>
              <w:rPr>
                <w:rFonts w:ascii="Arial" w:cs="Arial" w:eastAsia="Arial" w:hAnsi="Arial"/>
                <w:sz w:val="22"/>
                <w:szCs w:val="22"/>
                <w:color w:val="008000"/>
                <w:w w:val="85"/>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436"/>
              <w:spacing w:after="0"/>
              <w:rPr>
                <w:sz w:val="20"/>
                <w:szCs w:val="20"/>
                <w:color w:val="auto"/>
              </w:rPr>
            </w:pPr>
            <w:r>
              <w:rPr>
                <w:rFonts w:ascii="Arial" w:cs="Arial" w:eastAsia="Arial" w:hAnsi="Arial"/>
                <w:sz w:val="18"/>
                <w:szCs w:val="18"/>
                <w:color w:val="0000FF"/>
                <w:w w:val="79"/>
              </w:rPr>
              <w:t>726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4,900</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14.6</w:t>
            </w: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02/11/2015</w:t>
            </w:r>
          </w:p>
        </w:tc>
        <w:tc>
          <w:tcPr>
            <w:tcW w:w="1140" w:type="dxa"/>
            <w:vAlign w:val="bottom"/>
          </w:tcPr>
          <w:p>
            <w:pPr>
              <w:spacing w:after="0"/>
              <w:rPr>
                <w:sz w:val="5"/>
                <w:szCs w:val="5"/>
                <w:color w:val="auto"/>
              </w:rPr>
            </w:pPr>
          </w:p>
        </w:tc>
        <w:tc>
          <w:tcPr>
            <w:tcW w:w="4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5"/>
                <w:szCs w:val="5"/>
                <w:color w:val="auto"/>
              </w:rPr>
            </w:pPr>
          </w:p>
        </w:tc>
        <w:tc>
          <w:tcPr>
            <w:tcW w:w="70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w w:val="91"/>
              </w:rPr>
              <w:t>4,900</w:t>
            </w:r>
          </w:p>
        </w:tc>
        <w:tc>
          <w:tcPr>
            <w:tcW w:w="820" w:type="dxa"/>
            <w:vAlign w:val="bottom"/>
            <w:vMerge w:val="continue"/>
          </w:tcPr>
          <w:p>
            <w:pPr>
              <w:spacing w:after="0"/>
              <w:rPr>
                <w:sz w:val="5"/>
                <w:szCs w:val="5"/>
                <w:color w:val="auto"/>
              </w:rPr>
            </w:pPr>
          </w:p>
        </w:tc>
        <w:tc>
          <w:tcPr>
            <w:tcW w:w="80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w w:val="94"/>
              </w:rPr>
              <w:t>05/17/2021</w:t>
            </w: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w w:val="96"/>
              </w:rPr>
              <w:t>8,701</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8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Jones were effected pursuant to a Rule 10b5-1 trading plan adopted on March 14, 2014, as amended on December 12, 2014.</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$37.24 to $37.80,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1/48th of the shares subject to the Option vested on June 18, 2011 and 1/48th of the shares subject to the Option vest each month thereafter, such that the Option will be fully vested on May 18, 2015.</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Valerie Barnett, attorney-in- </w:t>
      </w:r>
      <w:r>
        <w:rPr>
          <w:rFonts w:ascii="Arial" w:cs="Arial" w:eastAsia="Arial" w:hAnsi="Arial"/>
          <w:sz w:val="35"/>
          <w:szCs w:val="35"/>
          <w:color w:val="0000FF"/>
          <w:vertAlign w:val="subscript"/>
        </w:rPr>
        <w:t>02/13/2015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642"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2019-12-07T23:22:43Z</dcterms:created>
  <dcterms:modified xsi:type="dcterms:W3CDTF">2019-12-07T23:22:43Z</dcterms:modified>
</cp:coreProperties>
</file>