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ab-20250331.htm"/>
      <w:bookmarkStart w:id="1" w:name="kslab20250331"/>
      <w:bookmarkEnd w:id="0"/>
      <w:bookmarkEnd w:id="1"/>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______________________________________</w:t>
      </w:r>
    </w:p>
    <w:p>
      <w:pPr>
        <w:pStyle w:val="TextBody"/>
        <w:bidi w:val="0"/>
        <w:jc w:val="center"/>
        <w:rPr>
          <w:rFonts w:ascii="Times New Roman" w:hAnsi="Times New Roman"/>
          <w:sz w:val="20"/>
        </w:rPr>
      </w:pPr>
      <w:r>
        <w:rPr>
          <w:rFonts w:ascii="Times New Roman" w:hAnsi="Times New Roman"/>
          <w:b/>
          <w:color w:val="000000"/>
          <w:sz w:val="32"/>
        </w:rPr>
        <w:t>FORM 10-Q</w:t>
      </w:r>
      <w:r>
        <w:rPr>
          <w:rFonts w:ascii="Times New Roman" w:hAnsi="Times New Roman"/>
          <w:color w:val="000000"/>
          <w:sz w:val="20"/>
        </w:rPr>
        <w:t xml:space="preserve"> </w:t>
      </w:r>
    </w:p>
    <w:p>
      <w:pPr>
        <w:pStyle w:val="TextBody"/>
        <w:bidi w:val="0"/>
        <w:jc w:val="left"/>
        <w:rPr>
          <w:rFonts w:ascii="Times New Roman" w:hAnsi="Times New Roman"/>
          <w:b/>
          <w:color w:val="000000"/>
          <w:sz w:val="18"/>
        </w:rPr>
      </w:pPr>
      <w:r>
        <w:rPr>
          <w:rFonts w:ascii="Times New Roman" w:hAnsi="Times New Roman"/>
          <w:b/>
          <w:color w:val="000000"/>
          <w:sz w:val="18"/>
        </w:rPr>
        <w:t>(Mark One)</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jc w:val="center"/>
        <w:rPr>
          <w:rFonts w:ascii="Times New Roman" w:hAnsi="Times New Roman"/>
          <w:sz w:val="20"/>
        </w:rPr>
      </w:pPr>
      <w:r>
        <w:rPr>
          <w:rFonts w:ascii="Times New Roman" w:hAnsi="Times New Roman"/>
          <w:b/>
          <w:color w:val="000000"/>
          <w:sz w:val="24"/>
        </w:rPr>
        <w:t>For the quarterly period ended March 31, 2025</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or</w:t>
      </w:r>
    </w:p>
    <w:p>
      <w:pPr>
        <w:pStyle w:val="TextBody"/>
        <w:bidi w:val="0"/>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jc w:val="center"/>
        <w:rPr>
          <w:rFonts w:ascii="Times New Roman" w:hAnsi="Times New Roman"/>
          <w:b/>
          <w:color w:val="000000"/>
          <w:sz w:val="24"/>
        </w:rPr>
      </w:pPr>
      <w:r>
        <w:rPr>
          <w:rFonts w:ascii="Times New Roman" w:hAnsi="Times New Roman"/>
          <w:b/>
          <w:color w:val="000000"/>
          <w:sz w:val="24"/>
        </w:rPr>
        <w:t>For the transition period from to</w:t>
      </w:r>
    </w:p>
    <w:p>
      <w:pPr>
        <w:pStyle w:val="TextBody"/>
        <w:bidi w:val="0"/>
        <w:jc w:val="center"/>
        <w:rPr>
          <w:rFonts w:ascii="Times New Roman" w:hAnsi="Times New Roman"/>
          <w:color w:val="000000"/>
          <w:sz w:val="16"/>
        </w:rPr>
      </w:pPr>
      <w:r>
        <w:rPr>
          <w:rFonts w:ascii="Times New Roman" w:hAnsi="Times New Roman"/>
          <w:color w:val="000000"/>
          <w:sz w:val="16"/>
        </w:rPr>
        <w:t>_____________________________________________</w:t>
      </w:r>
    </w:p>
    <w:p>
      <w:pPr>
        <w:pStyle w:val="TextBody"/>
        <w:bidi w:val="0"/>
        <w:jc w:val="center"/>
        <w:rPr>
          <w:rFonts w:ascii="Times New Roman" w:hAnsi="Times New Roman"/>
          <w:sz w:val="20"/>
        </w:rPr>
      </w:pPr>
      <w:r>
        <w:rPr>
          <w:rFonts w:ascii="Times New Roman" w:hAnsi="Times New Roman"/>
          <w:b/>
          <w:color w:val="000000"/>
          <w:sz w:val="24"/>
        </w:rPr>
        <w:t>Commission file number: 001-34180</w:t>
      </w:r>
      <w:r>
        <w:rPr>
          <w:rFonts w:ascii="Times New Roman" w:hAnsi="Times New Roman"/>
          <w:color w:val="000000"/>
          <w:sz w:val="20"/>
        </w:rPr>
        <w:t xml:space="preserve"> </w:t>
      </w:r>
    </w:p>
    <w:p>
      <w:pPr>
        <w:pStyle w:val="TextBody"/>
        <w:bidi w:val="0"/>
        <w:spacing w:before="80" w:after="283"/>
        <w:jc w:val="center"/>
        <w:rPr/>
      </w:pPr>
      <w:r>
        <w:rPr/>
        <w:drawing>
          <wp:inline distT="0" distB="0" distL="0" distR="0">
            <wp:extent cx="1428750" cy="1028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102870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44"/>
        </w:rPr>
        <w:t>STANDARD BIOTOOLS INC.</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tbl>
      <w:tblPr>
        <w:tblW w:w="6868" w:type="dxa"/>
        <w:jc w:val="left"/>
        <w:tblInd w:w="0" w:type="dxa"/>
        <w:tblLayout w:type="fixed"/>
        <w:tblCellMar>
          <w:top w:w="28" w:type="dxa"/>
          <w:left w:w="28" w:type="dxa"/>
          <w:bottom w:w="28" w:type="dxa"/>
          <w:right w:w="28" w:type="dxa"/>
        </w:tblCellMar>
      </w:tblPr>
      <w:tblGrid>
        <w:gridCol w:w="4171"/>
        <w:gridCol w:w="146"/>
        <w:gridCol w:w="2551"/>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r>
      <w:tr>
        <w:trPr/>
        <w:tc>
          <w:tcPr>
            <w:tcW w:w="4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77-0513190</w:t>
            </w:r>
          </w:p>
        </w:tc>
      </w:tr>
      <w:tr>
        <w:trPr/>
        <w:tc>
          <w:tcPr>
            <w:tcW w:w="417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16"/>
              </w:rPr>
            </w:pPr>
            <w:r>
              <w:rPr>
                <w:rFonts w:ascii="Times New Roman" w:hAnsi="Times New Roman"/>
                <w:color w:val="000000"/>
                <w:sz w:val="16"/>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16"/>
              </w:rPr>
            </w:pPr>
            <w:r>
              <w:rPr>
                <w:rFonts w:ascii="Times New Roman" w:hAnsi="Times New Roman"/>
                <w:color w:val="000000"/>
                <w:sz w:val="16"/>
              </w:rPr>
              <w:t>I.R.S. Employer Identification No.</w:t>
            </w:r>
          </w:p>
        </w:tc>
      </w:tr>
      <w:tr>
        <w:trPr/>
        <w:tc>
          <w:tcPr>
            <w:tcW w:w="41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2 Tower Place, Suite 2000</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South San Francisco, CA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94080</w:t>
            </w:r>
          </w:p>
        </w:tc>
      </w:tr>
      <w:tr>
        <w:trPr/>
        <w:tc>
          <w:tcPr>
            <w:tcW w:w="4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Zip Code</w:t>
            </w:r>
          </w:p>
        </w:tc>
      </w:tr>
    </w:tbl>
    <w:p>
      <w:pPr>
        <w:pStyle w:val="TextBody"/>
        <w:bidi w:val="0"/>
        <w:jc w:val="center"/>
        <w:rPr>
          <w:rFonts w:ascii="Times New Roman" w:hAnsi="Times New Roman"/>
          <w:sz w:val="20"/>
        </w:rPr>
      </w:pPr>
      <w:r>
        <w:rPr>
          <w:rFonts w:ascii="Times New Roman" w:hAnsi="Times New Roman"/>
          <w:color w:val="000000"/>
          <w:sz w:val="16"/>
        </w:rPr>
        <w:t xml:space="preserve">Registrant’s telephone number, including area code: </w:t>
      </w:r>
      <w:r>
        <w:rPr>
          <w:rFonts w:ascii="Times New Roman" w:hAnsi="Times New Roman"/>
          <w:b/>
          <w:color w:val="000000"/>
          <w:sz w:val="16"/>
        </w:rPr>
        <w:t>(650) 266-6000</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_____________________________________________</w:t>
      </w:r>
    </w:p>
    <w:p>
      <w:pPr>
        <w:pStyle w:val="TextBody"/>
        <w:bidi w:val="0"/>
        <w:spacing w:before="0" w:after="100"/>
        <w:jc w:val="center"/>
        <w:rPr>
          <w:rFonts w:ascii="Times New Roman" w:hAnsi="Times New Roman"/>
          <w:color w:val="000000"/>
          <w:sz w:val="16"/>
        </w:rPr>
      </w:pPr>
      <w:r>
        <w:rPr>
          <w:rFonts w:ascii="Times New Roman" w:hAnsi="Times New Roman"/>
          <w:color w:val="000000"/>
          <w:sz w:val="16"/>
        </w:rPr>
        <w:t>Securities registered pursuant to Section 12(b) of the Act:</w:t>
      </w:r>
    </w:p>
    <w:tbl>
      <w:tblPr>
        <w:tblW w:w="7923" w:type="dxa"/>
        <w:jc w:val="left"/>
        <w:tblInd w:w="0" w:type="dxa"/>
        <w:tblLayout w:type="fixed"/>
        <w:tblCellMar>
          <w:top w:w="28" w:type="dxa"/>
          <w:left w:w="28" w:type="dxa"/>
          <w:bottom w:w="28" w:type="dxa"/>
          <w:right w:w="28" w:type="dxa"/>
        </w:tblCellMar>
      </w:tblPr>
      <w:tblGrid>
        <w:gridCol w:w="3271"/>
        <w:gridCol w:w="1426"/>
        <w:gridCol w:w="3226"/>
      </w:tblGrid>
      <w:tr>
        <w:trPr/>
        <w:tc>
          <w:tcPr>
            <w:tcW w:w="327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Title of each class</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Trading Symbol(s)</w:t>
            </w:r>
          </w:p>
        </w:tc>
        <w:tc>
          <w:tcPr>
            <w:tcW w:w="3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Name of each exchange on which registered</w:t>
            </w:r>
          </w:p>
        </w:tc>
      </w:tr>
      <w:tr>
        <w:trPr/>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$0.001 par value per share</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LAB</w:t>
            </w:r>
          </w:p>
        </w:tc>
        <w:tc>
          <w:tcPr>
            <w:tcW w:w="3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Global Select Market</w:t>
            </w:r>
          </w:p>
        </w:tc>
      </w:tr>
    </w:tbl>
    <w:p>
      <w:pPr>
        <w:pStyle w:val="TextBody"/>
        <w:bidi w:val="0"/>
        <w:spacing w:before="12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12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998" w:type="dxa"/>
        <w:jc w:val="left"/>
        <w:tblInd w:w="0" w:type="dxa"/>
        <w:tblLayout w:type="fixed"/>
        <w:tblCellMar>
          <w:top w:w="28" w:type="dxa"/>
          <w:left w:w="28" w:type="dxa"/>
          <w:bottom w:w="28" w:type="dxa"/>
          <w:right w:w="28" w:type="dxa"/>
        </w:tblCellMar>
      </w:tblPr>
      <w:tblGrid>
        <w:gridCol w:w="1666"/>
        <w:gridCol w:w="146"/>
        <w:gridCol w:w="316"/>
        <w:gridCol w:w="146"/>
        <w:gridCol w:w="146"/>
        <w:gridCol w:w="207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Non-accelerated filer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Smaller reporting company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Emerging growth company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6"/>
        </w:rPr>
        <w:t>As of May 1, 2025, there were 379,822,268</w:t>
      </w:r>
      <w:r>
        <w:rPr>
          <w:rFonts w:ascii="Times New Roman" w:hAnsi="Times New Roman"/>
          <w:color w:val="000000"/>
          <w:sz w:val="20"/>
        </w:rPr>
        <w:t xml:space="preserve"> </w:t>
      </w:r>
      <w:r>
        <w:rPr>
          <w:rFonts w:ascii="Times New Roman" w:hAnsi="Times New Roman"/>
          <w:color w:val="000000"/>
          <w:sz w:val="16"/>
        </w:rPr>
        <w:t>shares of the registrant’s common stock, $0.001 par value per share, outstanding.</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that are based on our management’s beliefs and assumptions and on information currently available to our management. The forward-looking statements are contained principally in the section titled “Management’s Discussion and Analysis of Financial Condition and Results of Operations.” Forward-looking statements include information concerning our possible or assumed future cash flow, revenue, sources of revenue and results of operations, cost of product revenue and product margin, operating and other expenses, unit sales and the selling prices of our products, timing of shipments, business strategies, financing plans, expansion of our business, investments to expand our customer base, plans for our products, competitive position, industry environment, anticipated National Institutes of Health funding pressures, the expected effect from U.S. export controls and tariffs, potential growth opportunities, market growth expectations, the effects of competition, cost structure optimization, acceleration of growth, potential merger and acquisition activity and restructuring plans (including expense reduction activities, modifications to the scope of our proteomic and genomics businesses and discontinuing of certain product lines) and our expectations regarding the benefits and integration of acquired businesses and/or products.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the “Risk Factors” section our Annual Report on Form 10-K for the year ended December 31, 2024 filed with the Securities and Exchange Commission (the “SEC”) on March 11, 2025 (the “Annual Report”). Given these uncertainties, you should not place undue reliance on these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Forward-looking statements represent our management’s beliefs and assumptions only as of the date of this Quarterly Report on Form 10-Q. 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Quarterly Report on Form 10-Q completely and with the understanding that our actual future results may be materially different from what we expect.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Standard BioTools, the Standard BioTools logo, Fluidigm®, the Fluidigm logo, 48.Atlas, Access Array, Advanta, Advanta EASE, Atlas, Biomark, “Bringing new insights to life”, C1, Callisto, Cell-ID, CyTOF®, CyTOF XT, the CyTOF XT logo, D3, Delta Gene, Direct, Digital Array, Dynamic Array, EP1, EQ, FC1, Flex Six, Flow Conductor, FluiDesign, Helios, High-Precision 96.96 Genotyping, HTI, Hyperion, Hyperion+, IMC, Imaging Mass Cytometry, Immune Profiling Assay, Juno, Maxpar®, MCD, MSL®, Nanoflex, Open App, Pathsetter, Polaris, qdPCR 37K, Script Builder, Script Hub, Singular, SNP Trace, SNP Type, “Unleashing tools to accelerate breakthroughs in human health”, X9 Real Time PCR System, Xgrade, SomaLogic®, SomaScan®, SOMAmer®, SomaSignal®, Power by SomaLogic, DataDelve, KREX, Sengenics, i-Ome, OncoREX, and Cardio </w:t>
      </w:r>
      <w:r>
        <w:rPr>
          <w:rFonts w:ascii="Times New Roman" w:hAnsi="Times New Roman"/>
          <w:color w:val="000000"/>
          <w:sz w:val="13"/>
        </w:rPr>
        <w:t>DM</w:t>
      </w:r>
      <w:r>
        <w:rPr>
          <w:rFonts w:ascii="Times New Roman" w:hAnsi="Times New Roman"/>
          <w:color w:val="000000"/>
          <w:sz w:val="20"/>
        </w:rPr>
        <w:t> are trademarks or registered trademarks of Standard BioTools Inc. or its affiliates in the United States and/or other countries. Other service marks, trademarks and trade names referred to in this Quarterly Report on Form 10-Q are the property of their respective owners. We do not use the ® or  symbol in each instance in which one of our trademarks appears in this report, but this should not be construed as any indication that we will not assert our rights thereto to the fullest extent under applicable law.</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849"/>
        <w:gridCol w:w="8844"/>
        <w:gridCol w:w="512"/>
      </w:tblGrid>
      <w:tr>
        <w:trPr/>
        <w:tc>
          <w:tcPr>
            <w:tcW w:w="849" w:type="dxa"/>
            <w:tcBorders/>
            <w:vAlign w:val="center"/>
          </w:tcPr>
          <w:p>
            <w:pPr>
              <w:pStyle w:val="TableContents"/>
              <w:bidi w:val="0"/>
              <w:spacing w:before="0" w:after="283"/>
              <w:jc w:val="left"/>
              <w:rPr>
                <w:sz w:val="4"/>
                <w:szCs w:val="4"/>
              </w:rPr>
            </w:pPr>
            <w:r>
              <w:rPr>
                <w:sz w:val="4"/>
                <w:szCs w:val="4"/>
              </w:rPr>
            </w:r>
          </w:p>
        </w:tc>
        <w:tc>
          <w:tcPr>
            <w:tcW w:w="884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8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Times New Roman" w:hAnsi="Times New Roman"/>
                <w:b/>
                <w:color w:val="000000"/>
                <w:sz w:val="16"/>
              </w:rPr>
            </w:pPr>
            <w:r>
              <w:rPr>
                <w:rFonts w:ascii="Times New Roman" w:hAnsi="Times New Roman"/>
                <w:b/>
                <w:color w:val="000000"/>
                <w:sz w:val="16"/>
              </w:rPr>
              <w:t>Page</w:t>
            </w:r>
          </w:p>
        </w:tc>
      </w:tr>
      <w:tr>
        <w:trPr/>
        <w:tc>
          <w:tcPr>
            <w:tcW w:w="849"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b/>
                <w:color w:val="000000"/>
                <w:sz w:val="20"/>
              </w:rPr>
            </w:pPr>
            <w:r>
              <w:rPr>
                <w:rFonts w:ascii="Times New Roman" w:hAnsi="Times New Roman"/>
                <w:b/>
                <w:color w:val="000000"/>
                <w:sz w:val="20"/>
              </w:rPr>
              <w:t>PART I.</w:t>
            </w:r>
          </w:p>
        </w:tc>
        <w:tc>
          <w:tcPr>
            <w:tcW w:w="8844"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b/>
                <w:color w:val="000000"/>
                <w:sz w:val="20"/>
              </w:rPr>
            </w:pPr>
            <w:r>
              <w:rPr>
                <w:rFonts w:ascii="Times New Roman" w:hAnsi="Times New Roman"/>
                <w:b/>
                <w:color w:val="000000"/>
                <w:sz w:val="20"/>
              </w:rPr>
              <w:t>FINANCIAL INFORMATION</w:t>
            </w:r>
          </w:p>
        </w:tc>
        <w:tc>
          <w:tcPr>
            <w:tcW w:w="51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9"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Item 1.</w:t>
            </w:r>
          </w:p>
        </w:tc>
        <w:tc>
          <w:tcPr>
            <w:tcW w:w="8844" w:type="dxa"/>
            <w:tcBorders/>
            <w:tcMar>
              <w:top w:w="0" w:type="dxa"/>
              <w:left w:w="0" w:type="dxa"/>
              <w:bottom w:w="0" w:type="dxa"/>
              <w:right w:w="0" w:type="dxa"/>
            </w:tcMar>
            <w:vAlign w:val="center"/>
          </w:tcPr>
          <w:p>
            <w:pPr>
              <w:pStyle w:val="TableContents"/>
              <w:bidi w:val="0"/>
              <w:spacing w:before="75" w:after="283"/>
              <w:jc w:val="left"/>
              <w:rPr/>
            </w:pPr>
            <w:hyperlink w:anchor="item_1_financialstatements">
              <w:r>
                <w:rPr>
                  <w:rStyle w:val="InternetLink"/>
                  <w:rFonts w:ascii="Times New Roman" w:hAnsi="Times New Roman"/>
                  <w:color w:val="0000FF"/>
                  <w:sz w:val="20"/>
                  <w:u w:val="single"/>
                </w:rPr>
                <w:t>Financial Statements (unaudited)</w:t>
              </w:r>
            </w:hyperlink>
          </w:p>
        </w:tc>
        <w:tc>
          <w:tcPr>
            <w:tcW w:w="512" w:type="dxa"/>
            <w:tcBorders/>
            <w:tcMar>
              <w:top w:w="0" w:type="dxa"/>
              <w:left w:w="0" w:type="dxa"/>
              <w:bottom w:w="0" w:type="dxa"/>
              <w:right w:w="0" w:type="dxa"/>
            </w:tcMar>
            <w:vAlign w:val="center"/>
          </w:tcPr>
          <w:p>
            <w:pPr>
              <w:pStyle w:val="TableContents"/>
              <w:bidi w:val="0"/>
              <w:spacing w:before="75" w:after="283"/>
              <w:jc w:val="right"/>
              <w:rPr>
                <w:rFonts w:ascii="Times New Roman" w:hAnsi="Times New Roman"/>
                <w:color w:val="000000"/>
                <w:sz w:val="20"/>
              </w:rPr>
            </w:pPr>
            <w:r>
              <w:rPr>
                <w:rFonts w:ascii="Times New Roman" w:hAnsi="Times New Roman"/>
                <w:color w:val="000000"/>
                <w:sz w:val="20"/>
              </w:rPr>
              <w:t>1</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as of March 31, 2025 and December 31, 2024</w:t>
              </w:r>
            </w:hyperlink>
          </w:p>
        </w:tc>
        <w:tc>
          <w:tcPr>
            <w:tcW w:w="512" w:type="dxa"/>
            <w:tcBorders/>
            <w:tcMar>
              <w:top w:w="0" w:type="dxa"/>
              <w:left w:w="0" w:type="dxa"/>
              <w:bottom w:w="0" w:type="dxa"/>
              <w:right w:w="0" w:type="dxa"/>
            </w:tcMar>
            <w:vAlign w:val="center"/>
          </w:tcPr>
          <w:p>
            <w:pPr>
              <w:pStyle w:val="TableContents"/>
              <w:bidi w:val="0"/>
              <w:spacing w:before="75" w:after="283"/>
              <w:jc w:val="right"/>
              <w:rPr>
                <w:rFonts w:ascii="Times New Roman" w:hAnsi="Times New Roman"/>
                <w:color w:val="000000"/>
                <w:sz w:val="20"/>
              </w:rPr>
            </w:pPr>
            <w:r>
              <w:rPr>
                <w:rFonts w:ascii="Times New Roman" w:hAnsi="Times New Roman"/>
                <w:color w:val="000000"/>
                <w:sz w:val="20"/>
              </w:rPr>
              <w:t>1</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hyperlink w:anchor="condensed_consolida_stmt_of_operations">
              <w:r>
                <w:rPr>
                  <w:rStyle w:val="InternetLink"/>
                  <w:rFonts w:ascii="Times New Roman" w:hAnsi="Times New Roman"/>
                  <w:color w:val="0000FF"/>
                  <w:sz w:val="20"/>
                  <w:u w:val="single"/>
                </w:rPr>
                <w:t>Condensed Consolidated Statements of Operations for the three months ended March 31, 2025 and 2024</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hyperlink w:anchor="comprehensive_loss">
              <w:r>
                <w:rPr>
                  <w:rStyle w:val="InternetLink"/>
                  <w:rFonts w:ascii="Times New Roman" w:hAnsi="Times New Roman"/>
                  <w:color w:val="0000FF"/>
                  <w:sz w:val="20"/>
                  <w:u w:val="single"/>
                </w:rPr>
                <w:t>Condensed Consolidated Statements of Comprehensive Loss for the three months ended March 31, 2025 and 2024</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hyperlink w:anchor="stockholders_equity">
              <w:r>
                <w:rPr>
                  <w:rStyle w:val="InternetLink"/>
                  <w:rFonts w:ascii="Times New Roman" w:hAnsi="Times New Roman"/>
                  <w:color w:val="0000FF"/>
                  <w:sz w:val="20"/>
                  <w:u w:val="single"/>
                </w:rPr>
                <w:t>Condensed Consolidated Statements of Stockholders’ Equity (Deficit) for the three months ended March 31, 2025 and 2024</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Times New Roman" w:hAnsi="Times New Roman"/>
                  <w:color w:val="0000FF"/>
                  <w:sz w:val="20"/>
                  <w:u w:val="single"/>
                </w:rPr>
                <w:t>Condensed Consolidated Statements of Cash Flows for three months ended March 31, 2025 and 2024</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ate">
              <w:r>
                <w:rPr>
                  <w:rStyle w:val="InternetLink"/>
                  <w:rFonts w:ascii="Times New Roman" w:hAnsi="Times New Roman"/>
                  <w:color w:val="0000FF"/>
                  <w:sz w:val="20"/>
                  <w:u w:val="single"/>
                </w:rPr>
                <w:t>Notes to Condensed Consolidated Financial Statements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44" w:type="dxa"/>
            <w:tcBorders/>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44" w:type="dxa"/>
            <w:tcBorders/>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44" w:type="dxa"/>
            <w:tcBorders/>
            <w:tcMar>
              <w:top w:w="0" w:type="dxa"/>
              <w:left w:w="0" w:type="dxa"/>
              <w:bottom w:w="0" w:type="dxa"/>
              <w:right w:w="0" w:type="dxa"/>
            </w:tcMar>
            <w:vAlign w:val="center"/>
          </w:tcPr>
          <w:p>
            <w:pPr>
              <w:pStyle w:val="TableContents"/>
              <w:bidi w:val="0"/>
              <w:spacing w:before="0" w:after="283"/>
              <w:jc w:val="left"/>
              <w:rPr/>
            </w:pPr>
            <w:hyperlink w:anchor="item4_controls_and_procedures">
              <w:r>
                <w:rPr>
                  <w:rStyle w:val="InternetLink"/>
                  <w:rFonts w:ascii="Times New Roman" w:hAnsi="Times New Roman"/>
                  <w:color w:val="0000FF"/>
                  <w:sz w:val="20"/>
                  <w:u w:val="single"/>
                </w:rPr>
                <w:t>Controls and Procedures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27</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INFORMATION</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44" w:type="dxa"/>
            <w:tcBorders/>
            <w:tcMar>
              <w:top w:w="0" w:type="dxa"/>
              <w:left w:w="0" w:type="dxa"/>
              <w:bottom w:w="0" w:type="dxa"/>
              <w:right w:w="0" w:type="dxa"/>
            </w:tcMar>
            <w:vAlign w:val="center"/>
          </w:tcPr>
          <w:p>
            <w:pPr>
              <w:pStyle w:val="TableContents"/>
              <w:bidi w:val="0"/>
              <w:spacing w:before="0" w:after="283"/>
              <w:jc w:val="left"/>
              <w:rPr/>
            </w:pPr>
            <w:hyperlink w:anchor="item_1_legal_proceeding">
              <w:r>
                <w:rPr>
                  <w:rStyle w:val="InternetLink"/>
                  <w:rFonts w:ascii="Times New Roman" w:hAnsi="Times New Roman"/>
                  <w:color w:val="0000FF"/>
                  <w:sz w:val="20"/>
                  <w:u w:val="single"/>
                </w:rPr>
                <w:t>Legal Proceedings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29</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44" w:type="dxa"/>
            <w:tcBorders/>
            <w:tcMar>
              <w:top w:w="0" w:type="dxa"/>
              <w:left w:w="0" w:type="dxa"/>
              <w:bottom w:w="0" w:type="dxa"/>
              <w:right w:w="0" w:type="dxa"/>
            </w:tcMar>
            <w:vAlign w:val="center"/>
          </w:tcPr>
          <w:p>
            <w:pPr>
              <w:pStyle w:val="TableContents"/>
              <w:bidi w:val="0"/>
              <w:spacing w:before="0" w:after="283"/>
              <w:jc w:val="left"/>
              <w:rPr/>
            </w:pPr>
            <w:hyperlink w:anchor="item_1a_riskfactors">
              <w:r>
                <w:rPr>
                  <w:rStyle w:val="InternetLink"/>
                  <w:rFonts w:ascii="Times New Roman" w:hAnsi="Times New Roman"/>
                  <w:color w:val="0000FF"/>
                  <w:sz w:val="20"/>
                  <w:u w:val="single"/>
                </w:rPr>
                <w:t>Risk Factors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29</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44" w:type="dxa"/>
            <w:tcBorders/>
            <w:tcMar>
              <w:top w:w="0" w:type="dxa"/>
              <w:left w:w="0" w:type="dxa"/>
              <w:bottom w:w="0" w:type="dxa"/>
              <w:right w:w="0" w:type="dxa"/>
            </w:tcMar>
            <w:vAlign w:val="center"/>
          </w:tcPr>
          <w:p>
            <w:pPr>
              <w:pStyle w:val="TableContents"/>
              <w:bidi w:val="0"/>
              <w:spacing w:before="0" w:after="283"/>
              <w:jc w:val="left"/>
              <w:rPr/>
            </w:pPr>
            <w:hyperlink w:anchor="item_2_unregistered">
              <w:r>
                <w:rPr>
                  <w:rStyle w:val="InternetLink"/>
                  <w:rFonts w:ascii="Times New Roman" w:hAnsi="Times New Roman"/>
                  <w:color w:val="0000FF"/>
                  <w:sz w:val="20"/>
                  <w:u w:val="single"/>
                </w:rPr>
                <w:t>Unregistered Sales of Equity Securities and Use of Proceeds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29</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44"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29</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44"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29</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44"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29</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44"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30</w:t>
            </w:r>
          </w:p>
        </w:tc>
      </w:tr>
      <w:tr>
        <w:trPr/>
        <w:tc>
          <w:tcPr>
            <w:tcW w:w="969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3" w:type="dxa"/>
            <w:gridSpan w:val="2"/>
            <w:tcBorders/>
            <w:tcMar>
              <w:top w:w="0" w:type="dxa"/>
              <w:left w:w="0" w:type="dxa"/>
              <w:bottom w:w="0" w:type="dxa"/>
              <w:right w:w="0" w:type="dxa"/>
            </w:tcMar>
            <w:vAlign w:val="center"/>
          </w:tcPr>
          <w:p>
            <w:pPr>
              <w:pStyle w:val="TableContents"/>
              <w:bidi w:val="0"/>
              <w:spacing w:before="0" w:after="283"/>
              <w:jc w:val="left"/>
              <w:rPr/>
            </w:pPr>
            <w:hyperlink w:anchor="exhibit_list">
              <w:r>
                <w:rPr>
                  <w:rStyle w:val="InternetLink"/>
                  <w:rFonts w:ascii="Times New Roman" w:hAnsi="Times New Roman"/>
                  <w:color w:val="0000FF"/>
                  <w:sz w:val="20"/>
                  <w:u w:val="single"/>
                </w:rPr>
                <w:t>EXHIBIT LIST</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30</w:t>
            </w:r>
          </w:p>
        </w:tc>
      </w:tr>
      <w:tr>
        <w:trPr/>
        <w:tc>
          <w:tcPr>
            <w:tcW w:w="969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3"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31</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rFonts w:ascii="Times New Roman" w:hAnsi="Times New Roman"/>
          <w:b/>
          <w:color w:val="000000"/>
          <w:sz w:val="20"/>
        </w:rPr>
      </w:pPr>
      <w:bookmarkStart w:id="2" w:name="part_i_financialinformation"/>
      <w:bookmarkEnd w:id="2"/>
      <w:r>
        <w:rPr>
          <w:rFonts w:ascii="Times New Roman" w:hAnsi="Times New Roman"/>
          <w:b/>
          <w:color w:val="000000"/>
          <w:sz w:val="20"/>
        </w:rPr>
        <w:t>PART I. FINANCIAL INFORMATION</w:t>
      </w:r>
    </w:p>
    <w:p>
      <w:pPr>
        <w:pStyle w:val="TextBody"/>
        <w:bidi w:val="0"/>
        <w:spacing w:before="120" w:after="283"/>
        <w:jc w:val="left"/>
        <w:rPr>
          <w:rFonts w:ascii="Times New Roman" w:hAnsi="Times New Roman"/>
          <w:b/>
          <w:color w:val="000000"/>
          <w:sz w:val="20"/>
        </w:rPr>
      </w:pPr>
      <w:bookmarkStart w:id="3" w:name="item_1_financialstatements"/>
      <w:bookmarkEnd w:id="3"/>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sz w:val="20"/>
        </w:rPr>
      </w:pPr>
      <w:r>
        <w:rPr>
          <w:rFonts w:ascii="Times New Roman" w:hAnsi="Times New Roman"/>
          <w:b/>
          <w:color w:val="000000"/>
          <w:sz w:val="20"/>
        </w:rPr>
        <w:t>(In thousands, except par value)</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68"/>
        <w:gridCol w:w="146"/>
        <w:gridCol w:w="196"/>
        <w:gridCol w:w="886"/>
        <w:gridCol w:w="166"/>
        <w:gridCol w:w="146"/>
        <w:gridCol w:w="196"/>
        <w:gridCol w:w="889"/>
        <w:gridCol w:w="412"/>
      </w:tblGrid>
      <w:tr>
        <w:trPr/>
        <w:tc>
          <w:tcPr>
            <w:tcW w:w="71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150,880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166,728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126,146</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33,608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40,737</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8,661</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344,019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375,880</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Inventory,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18,528</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42,556</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lease right-of-use asset,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27,422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28,828</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6,301</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Acquired 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28,954</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111,719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111,297</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579,597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612,344</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12,282</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30,739</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6,228</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revenue,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13,118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grant income,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3,527</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8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56,236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8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65,894</w:t>
            </w:r>
          </w:p>
        </w:tc>
        <w:tc>
          <w:tcPr>
            <w:tcW w:w="4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Convertible notes,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299</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Deferred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1,081</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24,897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26,469</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Deferred revenue,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32,674</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Deferred grant income,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7,243</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6,962</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125,002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140,622</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Commitments and contingencies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7"/>
              </w:rPr>
              <w:t>Preferred stock: $0.001</w:t>
            </w:r>
            <w:r>
              <w:rPr>
                <w:rFonts w:ascii="Times New Roman" w:hAnsi="Times New Roman"/>
                <w:color w:val="000000"/>
                <w:sz w:val="20"/>
              </w:rPr>
              <w:t> </w:t>
            </w:r>
            <w:r>
              <w:rPr>
                <w:rFonts w:ascii="Times New Roman" w:hAnsi="Times New Roman"/>
                <w:color w:val="000000"/>
                <w:sz w:val="17"/>
              </w:rPr>
              <w:t>par value, 10,000</w:t>
            </w:r>
            <w:r>
              <w:rPr>
                <w:rFonts w:ascii="Times New Roman" w:hAnsi="Times New Roman"/>
                <w:color w:val="000000"/>
                <w:sz w:val="20"/>
              </w:rPr>
              <w:t> </w:t>
            </w:r>
            <w:r>
              <w:rPr>
                <w:rFonts w:ascii="Times New Roman" w:hAnsi="Times New Roman"/>
                <w:color w:val="000000"/>
                <w:sz w:val="17"/>
              </w:rPr>
              <w:t>shares authorized at March 31, 2025 and December 31, 2024; no</w:t>
            </w:r>
            <w:r>
              <w:rPr>
                <w:rFonts w:ascii="Times New Roman" w:hAnsi="Times New Roman"/>
                <w:color w:val="000000"/>
                <w:sz w:val="20"/>
              </w:rPr>
              <w:t> </w:t>
            </w:r>
            <w:r>
              <w:rPr>
                <w:rFonts w:ascii="Times New Roman" w:hAnsi="Times New Roman"/>
                <w:color w:val="000000"/>
                <w:sz w:val="17"/>
              </w:rPr>
              <w:t>shares issued and outstanding at March 31,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7"/>
              </w:rPr>
              <w:t>Common stock: $0.001</w:t>
            </w:r>
            <w:r>
              <w:rPr>
                <w:rFonts w:ascii="Times New Roman" w:hAnsi="Times New Roman"/>
                <w:color w:val="000000"/>
                <w:sz w:val="20"/>
              </w:rPr>
              <w:t> </w:t>
            </w:r>
            <w:r>
              <w:rPr>
                <w:rFonts w:ascii="Times New Roman" w:hAnsi="Times New Roman"/>
                <w:color w:val="000000"/>
                <w:sz w:val="17"/>
              </w:rPr>
              <w:t>par value, 600,000</w:t>
            </w:r>
            <w:r>
              <w:rPr>
                <w:rFonts w:ascii="Times New Roman" w:hAnsi="Times New Roman"/>
                <w:color w:val="000000"/>
                <w:sz w:val="20"/>
              </w:rPr>
              <w:t> </w:t>
            </w:r>
            <w:r>
              <w:rPr>
                <w:rFonts w:ascii="Times New Roman" w:hAnsi="Times New Roman"/>
                <w:color w:val="000000"/>
                <w:sz w:val="17"/>
              </w:rPr>
              <w:t>shares authorized at March 31, 2025 and December 31, 2024; 397,667</w:t>
            </w:r>
            <w:r>
              <w:rPr>
                <w:rFonts w:ascii="Times New Roman" w:hAnsi="Times New Roman"/>
                <w:color w:val="000000"/>
                <w:sz w:val="20"/>
              </w:rPr>
              <w:t> </w:t>
            </w:r>
            <w:r>
              <w:rPr>
                <w:rFonts w:ascii="Times New Roman" w:hAnsi="Times New Roman"/>
                <w:color w:val="000000"/>
                <w:sz w:val="17"/>
              </w:rPr>
              <w:t>and 396,110</w:t>
            </w:r>
            <w:r>
              <w:rPr>
                <w:rFonts w:ascii="Times New Roman" w:hAnsi="Times New Roman"/>
                <w:color w:val="000000"/>
                <w:sz w:val="20"/>
              </w:rPr>
              <w:t> </w:t>
            </w:r>
            <w:r>
              <w:rPr>
                <w:rFonts w:ascii="Times New Roman" w:hAnsi="Times New Roman"/>
                <w:color w:val="000000"/>
                <w:sz w:val="17"/>
              </w:rPr>
              <w:t>shares issued at March 31, 2025 and December 31, 2024, respectively; 379,087</w:t>
            </w:r>
            <w:r>
              <w:rPr>
                <w:rFonts w:ascii="Times New Roman" w:hAnsi="Times New Roman"/>
                <w:color w:val="000000"/>
                <w:sz w:val="20"/>
              </w:rPr>
              <w:t> </w:t>
            </w:r>
            <w:r>
              <w:rPr>
                <w:rFonts w:ascii="Times New Roman" w:hAnsi="Times New Roman"/>
                <w:color w:val="000000"/>
                <w:sz w:val="17"/>
              </w:rPr>
              <w:t>and 377,530</w:t>
            </w:r>
            <w:r>
              <w:rPr>
                <w:rFonts w:ascii="Times New Roman" w:hAnsi="Times New Roman"/>
                <w:color w:val="000000"/>
                <w:sz w:val="20"/>
              </w:rPr>
              <w:t> </w:t>
            </w:r>
            <w:r>
              <w:rPr>
                <w:rFonts w:ascii="Times New Roman" w:hAnsi="Times New Roman"/>
                <w:color w:val="000000"/>
                <w:sz w:val="17"/>
              </w:rPr>
              <w:t>shares outstanding at March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396</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1,711,180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1,702,219</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1,225</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(1,211,684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(1,185,651</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7"/>
              </w:rPr>
              <w:t>Treasury stock at cost: 18,580</w:t>
            </w:r>
            <w:r>
              <w:rPr>
                <w:rFonts w:ascii="Times New Roman" w:hAnsi="Times New Roman"/>
                <w:color w:val="000000"/>
                <w:sz w:val="20"/>
              </w:rPr>
              <w:t> </w:t>
            </w:r>
            <w:r>
              <w:rPr>
                <w:rFonts w:ascii="Times New Roman" w:hAnsi="Times New Roman"/>
                <w:color w:val="000000"/>
                <w:sz w:val="17"/>
              </w:rPr>
              <w:t>shares at March 31,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(46,467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(46,467</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454,595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471,722</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579,597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612,344</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bookmarkStart w:id="5" w:name="condensed_consolida_stmt_of_operations"/>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84"/>
        <w:gridCol w:w="146"/>
        <w:gridCol w:w="218"/>
        <w:gridCol w:w="811"/>
        <w:gridCol w:w="172"/>
        <w:gridCol w:w="151"/>
        <w:gridCol w:w="218"/>
        <w:gridCol w:w="811"/>
        <w:gridCol w:w="394"/>
      </w:tblGrid>
      <w:tr>
        <w:trPr/>
        <w:tc>
          <w:tcPr>
            <w:tcW w:w="7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23,592</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21,027</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40,795</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45,540</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12,781</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8,509</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collaboration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21,054</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21,352</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19,741</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24,188</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15,980</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38,707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46,943</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related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and integration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52,711</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84,370</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(60,182</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Bargain purchase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25,213</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6,207</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(32,029</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(26,033</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(32,157</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Induced conversion of redeemable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(46,014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(26,033</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(78,171</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in computing 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378,228</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294,125</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bookmarkStart w:id="6" w:name="comprehensive_loss"/>
      <w:bookmarkEnd w:id="6"/>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7441" w:type="dxa"/>
        <w:jc w:val="left"/>
        <w:tblInd w:w="0" w:type="dxa"/>
        <w:tblLayout w:type="fixed"/>
        <w:tblCellMar>
          <w:top w:w="28" w:type="dxa"/>
          <w:left w:w="28" w:type="dxa"/>
          <w:bottom w:w="28" w:type="dxa"/>
          <w:right w:w="28" w:type="dxa"/>
        </w:tblCellMar>
      </w:tblPr>
      <w:tblGrid>
        <w:gridCol w:w="4506"/>
        <w:gridCol w:w="146"/>
        <w:gridCol w:w="229"/>
        <w:gridCol w:w="801"/>
        <w:gridCol w:w="180"/>
        <w:gridCol w:w="158"/>
        <w:gridCol w:w="229"/>
        <w:gridCol w:w="801"/>
        <w:gridCol w:w="391"/>
      </w:tblGrid>
      <w:tr>
        <w:trPr/>
        <w:tc>
          <w:tcPr>
            <w:tcW w:w="4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change in unrealized gain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(26,089</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(31,728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bookmarkStart w:id="7" w:name="stockholders_equity"/>
      <w:bookmarkEnd w:id="7"/>
      <w:r>
        <w:rPr>
          <w:rFonts w:ascii="Times New Roman" w:hAnsi="Times New Roman"/>
          <w:b/>
          <w:color w:val="000000"/>
          <w:sz w:val="20"/>
        </w:rPr>
        <w:t>CONDENSED CONSOLIDATED STATEMENTS OF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10887" w:type="dxa"/>
        <w:jc w:val="left"/>
        <w:tblInd w:w="0" w:type="dxa"/>
        <w:tblLayout w:type="fixed"/>
        <w:tblCellMar>
          <w:top w:w="28" w:type="dxa"/>
          <w:left w:w="28" w:type="dxa"/>
          <w:bottom w:w="28" w:type="dxa"/>
          <w:right w:w="28" w:type="dxa"/>
        </w:tblCellMar>
      </w:tblPr>
      <w:tblGrid>
        <w:gridCol w:w="1371"/>
        <w:gridCol w:w="146"/>
        <w:gridCol w:w="146"/>
        <w:gridCol w:w="691"/>
        <w:gridCol w:w="146"/>
        <w:gridCol w:w="146"/>
        <w:gridCol w:w="196"/>
        <w:gridCol w:w="376"/>
        <w:gridCol w:w="146"/>
        <w:gridCol w:w="146"/>
        <w:gridCol w:w="196"/>
        <w:gridCol w:w="826"/>
        <w:gridCol w:w="166"/>
        <w:gridCol w:w="146"/>
        <w:gridCol w:w="196"/>
        <w:gridCol w:w="511"/>
        <w:gridCol w:w="166"/>
        <w:gridCol w:w="146"/>
        <w:gridCol w:w="196"/>
        <w:gridCol w:w="886"/>
        <w:gridCol w:w="166"/>
        <w:gridCol w:w="146"/>
        <w:gridCol w:w="146"/>
        <w:gridCol w:w="661"/>
        <w:gridCol w:w="166"/>
        <w:gridCol w:w="146"/>
        <w:gridCol w:w="196"/>
        <w:gridCol w:w="661"/>
        <w:gridCol w:w="166"/>
        <w:gridCol w:w="146"/>
        <w:gridCol w:w="205"/>
        <w:gridCol w:w="726"/>
        <w:gridCol w:w="411"/>
      </w:tblGrid>
      <w:tr>
        <w:trPr/>
        <w:tc>
          <w:tcPr>
            <w:tcW w:w="1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w:t>
              <w:b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Stockholders’</w:t>
              <w:br/>
              <w:t>Equity</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1,702,219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(1,185,651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471,722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restricted stock, net of shares withheld</w:t>
              <w:br/>
              <w:t>   for taxes,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(26,033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397,667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1,711,180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(1,211,684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454,595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10873" w:type="dxa"/>
        <w:jc w:val="left"/>
        <w:tblInd w:w="0" w:type="dxa"/>
        <w:tblLayout w:type="fixed"/>
        <w:tblCellMar>
          <w:top w:w="28" w:type="dxa"/>
          <w:left w:w="28" w:type="dxa"/>
          <w:bottom w:w="28" w:type="dxa"/>
          <w:right w:w="28" w:type="dxa"/>
        </w:tblCellMar>
      </w:tblPr>
      <w:tblGrid>
        <w:gridCol w:w="1371"/>
        <w:gridCol w:w="146"/>
        <w:gridCol w:w="146"/>
        <w:gridCol w:w="691"/>
        <w:gridCol w:w="146"/>
        <w:gridCol w:w="146"/>
        <w:gridCol w:w="196"/>
        <w:gridCol w:w="376"/>
        <w:gridCol w:w="146"/>
        <w:gridCol w:w="146"/>
        <w:gridCol w:w="196"/>
        <w:gridCol w:w="826"/>
        <w:gridCol w:w="166"/>
        <w:gridCol w:w="146"/>
        <w:gridCol w:w="196"/>
        <w:gridCol w:w="571"/>
        <w:gridCol w:w="166"/>
        <w:gridCol w:w="146"/>
        <w:gridCol w:w="196"/>
        <w:gridCol w:w="886"/>
        <w:gridCol w:w="166"/>
        <w:gridCol w:w="146"/>
        <w:gridCol w:w="146"/>
        <w:gridCol w:w="571"/>
        <w:gridCol w:w="166"/>
        <w:gridCol w:w="146"/>
        <w:gridCol w:w="196"/>
        <w:gridCol w:w="661"/>
        <w:gridCol w:w="166"/>
        <w:gridCol w:w="146"/>
        <w:gridCol w:w="196"/>
        <w:gridCol w:w="751"/>
        <w:gridCol w:w="411"/>
      </w:tblGrid>
      <w:tr>
        <w:trPr/>
        <w:tc>
          <w:tcPr>
            <w:tcW w:w="1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w:t>
              <w:b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br/>
              <w:t>Equity</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860,816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(148,051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Conversion of redeemable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311,253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restricted stock, net of shares withheld</w:t>
              <w:br/>
              <w:t>   for taxes,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11,611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stock relinquished in litigation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 xml:space="preserve">Merger consideration </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444,219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(32,157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387,652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1,674,672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(1,078,923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577,316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(1) Merger consideration included 26,367</w:t>
      </w:r>
      <w:r>
        <w:rPr>
          <w:rFonts w:ascii="Times New Roman" w:hAnsi="Times New Roman"/>
          <w:color w:val="000000"/>
          <w:sz w:val="20"/>
        </w:rPr>
        <w:t xml:space="preserve"> </w:t>
      </w:r>
      <w:r>
        <w:rPr>
          <w:rFonts w:ascii="Times New Roman" w:hAnsi="Times New Roman"/>
          <w:color w:val="000000"/>
          <w:sz w:val="16"/>
        </w:rPr>
        <w:t>shares of common stock that were issued to a related party. See Note 13,</w:t>
      </w:r>
      <w:r>
        <w:rPr>
          <w:rFonts w:ascii="Times New Roman" w:hAnsi="Times New Roman"/>
          <w:color w:val="000000"/>
          <w:sz w:val="20"/>
        </w:rPr>
        <w:t xml:space="preserve"> </w:t>
      </w:r>
      <w:r>
        <w:rPr>
          <w:rFonts w:ascii="Times New Roman" w:hAnsi="Times New Roman"/>
          <w:i/>
          <w:color w:val="000000"/>
          <w:sz w:val="16"/>
        </w:rPr>
        <w:t>Related Parties</w:t>
      </w:r>
      <w:r>
        <w:rPr>
          <w:rFonts w:ascii="Times New Roman" w:hAnsi="Times New Roman"/>
          <w:color w:val="000000"/>
          <w:sz w:val="16"/>
        </w:rPr>
        <w: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bookmarkStart w:id="8" w:name="cash_flows"/>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tbl>
      <w:tblPr>
        <w:tblW w:w="8477" w:type="dxa"/>
        <w:jc w:val="left"/>
        <w:tblInd w:w="0" w:type="dxa"/>
        <w:tblLayout w:type="fixed"/>
        <w:tblCellMar>
          <w:top w:w="28" w:type="dxa"/>
          <w:left w:w="28" w:type="dxa"/>
          <w:bottom w:w="28" w:type="dxa"/>
          <w:right w:w="28" w:type="dxa"/>
        </w:tblCellMar>
      </w:tblPr>
      <w:tblGrid>
        <w:gridCol w:w="5521"/>
        <w:gridCol w:w="146"/>
        <w:gridCol w:w="225"/>
        <w:gridCol w:w="795"/>
        <w:gridCol w:w="191"/>
        <w:gridCol w:w="168"/>
        <w:gridCol w:w="225"/>
        <w:gridCol w:w="795"/>
        <w:gridCol w:w="411"/>
      </w:tblGrid>
      <w:tr>
        <w:trPr/>
        <w:tc>
          <w:tcPr>
            <w:tcW w:w="5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(32,157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Bargain purchase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(25,213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11,611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Accretion of discount on short-term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for excess and obsolete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non-cash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(10,284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(30,283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(62,476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restricted cash acquired in merger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280,033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(73,177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sales and maturities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112,000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14,625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318,075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Repayment of term loan and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of term loan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(11,051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Payments for taxes related to net share settlement of equity awards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(19,733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foreign exchange rate fluctuations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235,845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168,818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52,499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153,471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288,344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disclosures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Equity consideration transferred in connection with merger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444,219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income taxes, net of refunds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Non-cash right-of-use assets and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 retirement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6"/>
        </w:rPr>
        <w:t>(1)</w:t>
      </w:r>
      <w:r>
        <w:rPr>
          <w:rFonts w:ascii="Times New Roman" w:hAnsi="Times New Roman"/>
          <w:color w:val="000000"/>
          <w:sz w:val="20"/>
        </w:rPr>
        <w:t xml:space="preserve"> </w:t>
      </w:r>
      <w:r>
        <w:rPr>
          <w:rFonts w:ascii="Times New Roman" w:hAnsi="Times New Roman"/>
          <w:color w:val="000000"/>
          <w:sz w:val="16"/>
        </w:rPr>
        <w:t>Equity consideration transferred in connection with merger included 26,367</w:t>
      </w:r>
      <w:r>
        <w:rPr>
          <w:rFonts w:ascii="Times New Roman" w:hAnsi="Times New Roman"/>
          <w:color w:val="000000"/>
          <w:sz w:val="20"/>
        </w:rPr>
        <w:t xml:space="preserve"> </w:t>
      </w:r>
      <w:r>
        <w:rPr>
          <w:rFonts w:ascii="Times New Roman" w:hAnsi="Times New Roman"/>
          <w:color w:val="000000"/>
          <w:sz w:val="16"/>
        </w:rPr>
        <w:t>shares of common stock that were beneficially issued to a related party. See Note 13,</w:t>
      </w:r>
      <w:r>
        <w:rPr>
          <w:rFonts w:ascii="Times New Roman" w:hAnsi="Times New Roman"/>
          <w:color w:val="000000"/>
          <w:sz w:val="20"/>
        </w:rPr>
        <w:t xml:space="preserve"> </w:t>
      </w:r>
      <w:r>
        <w:rPr>
          <w:rFonts w:ascii="Times New Roman" w:hAnsi="Times New Roman"/>
          <w:i/>
          <w:color w:val="000000"/>
          <w:sz w:val="16"/>
        </w:rPr>
        <w:t>Related Parties</w:t>
      </w:r>
      <w:r>
        <w:rPr>
          <w:rFonts w:ascii="Times New Roman" w:hAnsi="Times New Roman"/>
          <w:color w:val="000000"/>
          <w:sz w:val="16"/>
        </w:rPr>
        <w: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bookmarkStart w:id="9" w:name="notes_to_consolidated_financial_state"/>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March 31, 2025</w:t>
      </w:r>
    </w:p>
    <w:p>
      <w:pPr>
        <w:pStyle w:val="TextBody"/>
        <w:bidi w:val="0"/>
        <w:spacing w:before="240" w:after="283"/>
        <w:jc w:val="left"/>
        <w:rPr>
          <w:rFonts w:ascii="Times New Roman" w:hAnsi="Times New Roman"/>
          <w:b/>
          <w:color w:val="000000"/>
          <w:sz w:val="20"/>
        </w:rPr>
      </w:pPr>
      <w:bookmarkStart w:id="10" w:name="note_1"/>
      <w:bookmarkEnd w:id="10"/>
      <w:r>
        <w:rPr>
          <w:rFonts w:ascii="Times New Roman" w:hAnsi="Times New Roman"/>
          <w:b/>
          <w:color w:val="000000"/>
          <w:sz w:val="20"/>
        </w:rPr>
        <w:t>1. Basis of Presentation and Summary of Significant Accounting Policies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Description of the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Standard BioTools Inc. (“Standard BioTools” or the “Company”) is a Delaware corporation headquartered in South San Francisco, California.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develops, manufactures and sells a diversified range of instrumentation, consumables, and services that help scientists and biomedical researchers develop better therapeutics faster. Its proprietary multi-omics tools provide unique insights into human health, immune response, and disease states across a broad range of applications, including proteomics and genomics, and other areas of translational and clinical research.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works with leading academic, government, pharmaceutical, biotechnology, plant and animal research, and clinical laboratories worldwide, focusing on the most pressing needs in translational and clinical research, including oncology, immunology, and immunotherapy.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unaudited condensed consolidated financial statements have been prepared in accordance with accounting principles generally accepted in the United States of America (“GAAP”) for interim financial information and applicable rules and regulations of the U.S. Securities and Exchange Commission (the “SEC”) regarding financial reporting. All intercompany transactions and balances have been eliminated in consolidation. These interim condensed consolidated financial statements and related disclosures are unaudited and have been prepared on the same basis as the annual financial statements. In the opinion of management, the accompanying financial statements contain all adjustments of a normal and recurring nature, necessary for a fair statement of the Company's financial position as of March 31, 2025, results of operations for the three months ended March 31, 2025 and 2024, and cash flows for the three months ended March 31, 2025 and 2024. The condensed consolidated balance sheet at December 31, 2024 was derived from audited annual financial statements but does not contain all of the footnote disclosures from the annual financial statements. Certain prior period amounts have been reclassified to conform to the current period presentation.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information and disclosures normally included in consolidated financial statements prepared in accordance with GAAP have been condensed or omitted. Accordingly, these condensed consolidated financial statements should be read in conjunction with the Company's audited consolidated financial statements as of and for the year ended December 31, 2024 (the “2024 Financial Statements”) included in the Company's Annual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Interim results are not necessarily indicative of the results to be expected for the full year ending December 31, 2025.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Segment Reporting</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The Company identifies operating and reportable segments based on how the chief operating decision maker (“CODM”) manages the business, allocates resources, makes operating decisions and evaluates operating performance. The Company’s Chief Executive Officer (“CEO”) is its CODM. The Company reassesses its operating segments when facts and circumstances suggest that there may have been a change in the way that the Company is managed.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Historically, the Company has managed its business as two operating and reportable segments: proteomics and genomics. Subsequent to the completion of its merger (the “Merger”) with SomaLogic, Inc. (“SomaLogic”) on January 5, 2024, the CODM continued managing the business as proteomics and genomics segments, with SomaLogic attributed to the proteomics segment. During the first quarter of 2025, after the full integration of SomaLogic and assessment of 2024 results, the CODM evaluated how the fully integrated, combined company should be managed. Subsequently, the CODM began managing the business on a consolidated basis, as a multi-omics company. Therefore, the Company reassessed its operating and reportable segments, concluding that it has one operating and reportable segment: the consolidated company.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Due to the resegmentation that was implemented commencing with the first quarter of fiscal year 2025, prior period segment results have been recast to conform to the current segment presentation. See Note 12, </w:t>
      </w:r>
      <w:r>
        <w:rPr>
          <w:rFonts w:ascii="Times New Roman" w:hAnsi="Times New Roman"/>
          <w:i/>
          <w:color w:val="000000"/>
          <w:sz w:val="20"/>
        </w:rPr>
        <w:t>Segment Reporting</w:t>
      </w:r>
      <w:r>
        <w:rPr>
          <w:rFonts w:ascii="Times New Roman" w:hAnsi="Times New Roman"/>
          <w:color w:val="000000"/>
          <w:sz w:val="20"/>
        </w:rPr>
        <w:t xml:space="preserve">, for more information on the new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reportable segment. See Note 4, </w:t>
      </w:r>
      <w:r>
        <w:rPr>
          <w:rFonts w:ascii="Times New Roman" w:hAnsi="Times New Roman"/>
          <w:i/>
          <w:color w:val="000000"/>
          <w:sz w:val="20"/>
        </w:rPr>
        <w:t>Goodwill and Acquired Intangible Assets</w:t>
      </w:r>
      <w:r>
        <w:rPr>
          <w:rFonts w:ascii="Times New Roman" w:hAnsi="Times New Roman"/>
          <w:color w:val="000000"/>
          <w:sz w:val="20"/>
        </w:rPr>
        <w:t>, for the allocation of goodwill to the new reportable segment.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preparation of financial statements in accordance with GAAP requires management to make estimates and assumptions that affect the amounts reported in the financial statements and disclosed in the accompanying notes. Actual results could differ materially from these estimates.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Significant estimates and assumptions which form the basis of amounts reported in the condensed consolidated financial statements include, but are not limited to, the identification of performance obligations in contracts with customers; standalone selling prices of the Company's performance obligations; timing of revenue recognition; fair value measurements; net realizable value of inventory; income taxes; the fair value of intangible assets acquired in business combinations; and impairment of long-lived assets (property and equipment, operating lease right-of-use assets, intangible assets and goodwill) . The Company bases its estimates on current facts and circumstances, historical experience, forecasted results, and various other assumptions that it believes to be reasonable. The Company obtains reports from third-party valuation experts to inform and support estimates related to certain fair value measurements.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Changes and Accounting Pronouncements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Recent Accounting Pronouncements</w:t>
      </w:r>
    </w:p>
    <w:p>
      <w:pPr>
        <w:pStyle w:val="TextBody"/>
        <w:bidi w:val="0"/>
        <w:spacing w:before="240" w:after="283"/>
        <w:jc w:val="both"/>
        <w:rPr>
          <w:rFonts w:ascii="Times New Roman" w:hAnsi="Times New Roman"/>
          <w:sz w:val="20"/>
        </w:rPr>
      </w:pPr>
      <w:r>
        <w:rPr>
          <w:rFonts w:ascii="Times New Roman" w:hAnsi="Times New Roman"/>
          <w:color w:val="000000"/>
          <w:sz w:val="20"/>
        </w:rPr>
        <w:t>In December 2023, the Financial Accounting Standards Board (“FASB”) issued ASU 2023-09</w:t>
      </w:r>
      <w:r>
        <w:rPr>
          <w:rFonts w:ascii="Times New Roman" w:hAnsi="Times New Roman"/>
          <w:i/>
          <w:color w:val="000000"/>
          <w:sz w:val="20"/>
        </w:rPr>
        <w:t>, Improvements to Income Tax Disclosures</w:t>
      </w:r>
      <w:r>
        <w:rPr>
          <w:rFonts w:ascii="Times New Roman" w:hAnsi="Times New Roman"/>
          <w:color w:val="000000"/>
          <w:sz w:val="20"/>
        </w:rPr>
        <w:t>, which requires disaggregation of rate reconciliation categories and income taxes paid by jurisdiction. The new standard is effective for fiscal years beginning after December 15, 2024. The amendments may be applied prospectively or retrospectively, and early adoption is permitted. The Company is currently assessing the effects of adoption on its consolidated financial statements.</w:t>
      </w:r>
    </w:p>
    <w:p>
      <w:pPr>
        <w:pStyle w:val="TextBody"/>
        <w:bidi w:val="0"/>
        <w:spacing w:before="240" w:after="283"/>
        <w:jc w:val="both"/>
        <w:rPr>
          <w:rFonts w:ascii="Times New Roman" w:hAnsi="Times New Roman"/>
          <w:sz w:val="20"/>
        </w:rPr>
      </w:pPr>
      <w:r>
        <w:rPr>
          <w:rFonts w:ascii="Times New Roman" w:hAnsi="Times New Roman"/>
          <w:color w:val="000000"/>
          <w:sz w:val="20"/>
        </w:rPr>
        <w:t>In November 2024, FASB issued ASU 2024-03</w:t>
      </w:r>
      <w:r>
        <w:rPr>
          <w:rFonts w:ascii="Times New Roman" w:hAnsi="Times New Roman"/>
          <w:i/>
          <w:color w:val="000000"/>
          <w:sz w:val="20"/>
        </w:rPr>
        <w:t>, Income Statement: Reporting Comprehensive Income-Expense Disaggregation Disclosures (Subtopic 220-40)</w:t>
      </w:r>
      <w:r>
        <w:rPr>
          <w:rFonts w:ascii="Times New Roman" w:hAnsi="Times New Roman"/>
          <w:color w:val="000000"/>
          <w:sz w:val="20"/>
        </w:rPr>
        <w:t>, to improve disclosures about an entity's expenses. Upon adoption, we will be required to disclose in the notes to the financial statements a disaggregation of certain expense categories included within the expense captions on the face of the income statement. The new standard is effective for fiscal years beginning after December 15, 2026. The amendments may be applied prospectively or retrospectively, and early adoption is permitted. The Company is currently assessing the effects of adoption on its consolidated financial statements.</w:t>
      </w:r>
    </w:p>
    <w:p>
      <w:pPr>
        <w:pStyle w:val="TextBody"/>
        <w:bidi w:val="0"/>
        <w:spacing w:before="120" w:after="283"/>
        <w:jc w:val="left"/>
        <w:rPr/>
      </w:pPr>
      <w:r>
        <w:rPr/>
        <w:t> </w:t>
      </w:r>
    </w:p>
    <w:p>
      <w:pPr>
        <w:pStyle w:val="TextBody"/>
        <w:bidi w:val="0"/>
        <w:spacing w:before="160" w:after="283"/>
        <w:jc w:val="left"/>
        <w:rPr>
          <w:rFonts w:ascii="Times New Roman" w:hAnsi="Times New Roman"/>
          <w:b/>
          <w:color w:val="000000"/>
          <w:sz w:val="20"/>
        </w:rPr>
      </w:pPr>
      <w:bookmarkStart w:id="11" w:name="note_2"/>
      <w:bookmarkEnd w:id="11"/>
      <w:r>
        <w:rPr>
          <w:rFonts w:ascii="Times New Roman" w:hAnsi="Times New Roman"/>
          <w:b/>
          <w:color w:val="000000"/>
          <w:sz w:val="20"/>
        </w:rPr>
        <w:t>2. Business Combinations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SomaLogic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January 5, 2024 (the “Closing Date”), the Company completed the Merger with SomaLogic, whereby SomaLogic and its subsidiaries became wholly owned subsidiaries of Standard BioTools. Upon completion of the Merger, each share of SomaLogic common stock was exchanged for 1.11 shares of the Company's common stock. The fair value of the consideration transferred in connection with the Merger was $444.2 million. As a result of the Merger, the Company recognized a gain on bargain purchase of $25.2 million. The purchase accounting for the Merger was finalized as of December 31, 2024, and no measurement period adjustments were recorded subsequent to the Closing Date.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Sengenics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November 21, 2024, the Company acquired 100% of the equity interests in Sengenics Corporation Pte Ltd (“Sengenics”). During the three months ended March 31, 2025, the Company recorded a measurement period adjustment related to the finalization of certain tax estimates existing as of the acquisition date. The adjustment resulted in an increase to deferred tax liability and corresponding increase to goodwill of $0.3 million. The adjustment was recorded within the one-year measurement period, in accordance with ASC 805, </w:t>
      </w:r>
      <w:r>
        <w:rPr>
          <w:rFonts w:ascii="Times New Roman" w:hAnsi="Times New Roman"/>
          <w:i/>
          <w:color w:val="000000"/>
          <w:sz w:val="20"/>
        </w:rPr>
        <w:t>Business Combinations</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For additional details regarding both business combinations, refer to Note 3, </w:t>
      </w:r>
      <w:r>
        <w:rPr>
          <w:rFonts w:ascii="Times New Roman" w:hAnsi="Times New Roman"/>
          <w:i/>
          <w:color w:val="000000"/>
          <w:sz w:val="20"/>
        </w:rPr>
        <w:t>Business Combinations</w:t>
      </w:r>
      <w:r>
        <w:rPr>
          <w:rFonts w:ascii="Times New Roman" w:hAnsi="Times New Roman"/>
          <w:color w:val="000000"/>
          <w:sz w:val="20"/>
        </w:rPr>
        <w:t xml:space="preserve"> in the Company's Annual Report.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left"/>
        <w:rPr/>
      </w:pPr>
      <w:r>
        <w:rPr/>
        <w:t> </w:t>
      </w:r>
    </w:p>
    <w:p>
      <w:pPr>
        <w:pStyle w:val="TextBody"/>
        <w:bidi w:val="0"/>
        <w:spacing w:before="360" w:after="283"/>
        <w:jc w:val="left"/>
        <w:rPr>
          <w:rFonts w:ascii="Times New Roman" w:hAnsi="Times New Roman"/>
          <w:b/>
          <w:color w:val="000000"/>
          <w:sz w:val="20"/>
        </w:rPr>
      </w:pPr>
      <w:bookmarkStart w:id="12" w:name="note_3"/>
      <w:bookmarkEnd w:id="12"/>
      <w:r>
        <w:rPr>
          <w:rFonts w:ascii="Times New Roman" w:hAnsi="Times New Roman"/>
          <w:b/>
          <w:color w:val="000000"/>
          <w:sz w:val="20"/>
        </w:rPr>
        <w:t>3. Revenue and Geographic Area</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Disaggregation of Revenue by Product Type and Geographic Area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present the Company's revenue for the three months ended March 31, 2025 and 2024 based on product type and the geographic location of customers’ facilities (in thousands):</w:t>
      </w:r>
    </w:p>
    <w:p>
      <w:pPr>
        <w:pStyle w:val="TextBody"/>
        <w:bidi w:val="0"/>
        <w:jc w:val="left"/>
        <w:rPr/>
      </w:pPr>
      <w:r>
        <w:rPr/>
        <w:t> </w:t>
      </w:r>
    </w:p>
    <w:tbl>
      <w:tblPr>
        <w:tblW w:w="5896" w:type="dxa"/>
        <w:jc w:val="left"/>
        <w:tblInd w:w="0" w:type="dxa"/>
        <w:tblLayout w:type="fixed"/>
        <w:tblCellMar>
          <w:top w:w="28" w:type="dxa"/>
          <w:left w:w="28" w:type="dxa"/>
          <w:bottom w:w="28" w:type="dxa"/>
          <w:right w:w="28" w:type="dxa"/>
        </w:tblCellMar>
      </w:tblPr>
      <w:tblGrid>
        <w:gridCol w:w="2761"/>
        <w:gridCol w:w="146"/>
        <w:gridCol w:w="245"/>
        <w:gridCol w:w="785"/>
        <w:gridCol w:w="169"/>
        <w:gridCol w:w="169"/>
        <w:gridCol w:w="245"/>
        <w:gridCol w:w="785"/>
        <w:gridCol w:w="5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Consumables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14,454</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Lab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Field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5,501</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17,607</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and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40,795</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45,540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406" w:type="dxa"/>
        <w:jc w:val="left"/>
        <w:tblInd w:w="0" w:type="dxa"/>
        <w:tblLayout w:type="fixed"/>
        <w:tblCellMar>
          <w:top w:w="28" w:type="dxa"/>
          <w:left w:w="28" w:type="dxa"/>
          <w:bottom w:w="28" w:type="dxa"/>
          <w:right w:w="28" w:type="dxa"/>
        </w:tblCellMar>
      </w:tblPr>
      <w:tblGrid>
        <w:gridCol w:w="2671"/>
        <w:gridCol w:w="146"/>
        <w:gridCol w:w="245"/>
        <w:gridCol w:w="785"/>
        <w:gridCol w:w="169"/>
        <w:gridCol w:w="169"/>
        <w:gridCol w:w="245"/>
        <w:gridCol w:w="785"/>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18,974</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Middle East and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9,215</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40,795</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45,540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Illumina Cambridge, Ltd.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Merger, the Company assumed a multi-year arrangement with Illumina Cambridge, Ltd. (“Illumina”), originally entered into by SomaLogic and Illumina in December 2021 (the “Illumina Agreement”), to jointly develop and commercialize co-branded kits to combine Illumina's Next Generation Sequencing technology with SomaScan® technology (the “Co-Branded Kits”). Pursuant to the Illumina Agreement, SomaLogic received a non-refundable upfront payment of $30.0 million in January 2022. Subsequent to executing the Illumina Agreement, Illumina paid an additional $0.5 million to purchase the equipment, supplies and training necessary to run the SomaScan® assay at their facilities, representing a modification to the Illumina Agreement. As of the Closing Date, the Company determined that the transaction price of the Illumina Agreement was $30.5 million. Subsequent to commercialization of the Co-Branded Kits, the Company is entitled to receive $124.5 million of minimum guaranteed royalties through the term of the Illumina Agreement. No royalties were included in the Illumina transaction price as probability of commercialization had not been achieved as of the Closing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Subsequent to commercialization of the Co-Branded Kits, Illumina has the right to purchase SOMAmer reagents below standalone selling price (“SSP”) through the remaining term of the Illumina Agreement, which will continue for approximately eight years following commercialization. Illumina's option to purchase SOMAmer reagents below SSP for this period represents a significant material right (the “Material Right”). As of the Closing Date, the Company allocated $30.4 million of the Illumina transaction price to the Material Right, which will be recognized as revenue as Illumina purchases SOMAmer reagents post commercialization.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first quarter of 2024, the Company determined that commercialization of the Co-Branded Kits is probable due to the launch of an early-access program and adjusted the transaction price to include $127.9 million of royalties expected to be received from 2025 through 2032. The Company allocated $0.4 million of the adjusted transaction price to satisfied performance obligations and recognized that amount as revenue on a cumulative catch-up basis. The total transaction price of the Illumina Agreement as adjusted is $158.4 million. Substantially all of the transaction price is allocated to the Material Right, which the Company expects to recognize as revenue over an 8-year period from 2025 through 2032.</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NEC Corporation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Additionally, in connection with the Merger, the Company assumed a joint development and commercialization agreement (the “JDCA”) with NEC Solution Innovators, Ltd. (“NEC”), originally entered into by SomaLogic and NEC in March 2020, to develop and commercialize SomaScan® services in Japan. The JDCA is within the scope of ASC 808, </w:t>
      </w:r>
      <w:r>
        <w:rPr>
          <w:rFonts w:ascii="Times New Roman" w:hAnsi="Times New Roman"/>
          <w:i/>
          <w:color w:val="000000"/>
          <w:sz w:val="20"/>
        </w:rPr>
        <w:t>Collaborative Arrangements</w:t>
      </w:r>
      <w:r>
        <w:rPr>
          <w:rFonts w:ascii="Times New Roman" w:hAnsi="Times New Roman"/>
          <w:color w:val="000000"/>
          <w:sz w:val="20"/>
        </w:rPr>
        <w:t xml:space="preserve">, as both companies are active participants and are exposed to significant rewards and risks dependent on commercial failure or success, and is accounted for by analogy to ASC 606, </w:t>
      </w:r>
      <w:r>
        <w:rPr>
          <w:rFonts w:ascii="Times New Roman" w:hAnsi="Times New Roman"/>
          <w:i/>
          <w:color w:val="000000"/>
          <w:sz w:val="20"/>
        </w:rPr>
        <w:t>Revenue from contracts with customers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Merger, the Company assumed certain contract liabilities and recorded $1.8 million of deferred revenue as of the Closing Date. Under the JDCA, the Company was entitled to receive $2.0 million in exchange for research and development (“R&amp;D”) services, which was received in April 2024. Deferred revenue related to the JDCA has been fully recognized as of March 31, 2025.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New England Biolabs,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Also in connection with the Merger, the Company assumed a non-exclusive licensing agreement with New England Biolabs, Inc. (“NEB”), originally entered into by SomaLogic and NEB in September 2022 (the "NEB Agreement"), whereby the Company provides a license to use certain proprietary information and know-how relating to SomaLogic's aptamer technology. Under the NEB Agreement, the Company is guaranteed fixed minimum royalties of $5.0 million to be received through September 2025. No revenue related to the guaranteed fixed minimum royalties will be recognized, as all revenue related to the receivable was recognized by SomaLogic prior to the Merger. Any revenue above the guaranteed fixed minimum royalties will be recognized in the period in which the subsequent sale or usage has occurred. As of March 31, 2025, royalties receivable related to this agreement were $4.6 million, included in accounts receivable within current assets on the consolidated balance sheet.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Unfulfilled Performance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the change in deferred revenue is as follows (in thousands):</w:t>
      </w:r>
    </w:p>
    <w:p>
      <w:pPr>
        <w:pStyle w:val="TextBody"/>
        <w:bidi w:val="0"/>
        <w:jc w:val="both"/>
        <w:rPr/>
      </w:pPr>
      <w:r>
        <w:rPr/>
        <w:t> </w:t>
      </w:r>
    </w:p>
    <w:tbl>
      <w:tblPr>
        <w:tblW w:w="10117" w:type="dxa"/>
        <w:jc w:val="left"/>
        <w:tblInd w:w="0" w:type="dxa"/>
        <w:tblLayout w:type="fixed"/>
        <w:tblCellMar>
          <w:top w:w="28" w:type="dxa"/>
          <w:left w:w="28" w:type="dxa"/>
          <w:bottom w:w="28" w:type="dxa"/>
          <w:right w:w="28" w:type="dxa"/>
        </w:tblCellMar>
      </w:tblPr>
      <w:tblGrid>
        <w:gridCol w:w="5491"/>
        <w:gridCol w:w="146"/>
        <w:gridCol w:w="211"/>
        <w:gridCol w:w="481"/>
        <w:gridCol w:w="166"/>
        <w:gridCol w:w="146"/>
        <w:gridCol w:w="211"/>
        <w:gridCol w:w="676"/>
        <w:gridCol w:w="146"/>
        <w:gridCol w:w="146"/>
        <w:gridCol w:w="211"/>
        <w:gridCol w:w="676"/>
        <w:gridCol w:w="166"/>
        <w:gridCol w:w="146"/>
        <w:gridCol w:w="211"/>
        <w:gridCol w:w="676"/>
        <w:gridCol w:w="211"/>
      </w:tblGrid>
      <w:tr>
        <w:trPr/>
        <w:tc>
          <w:tcPr>
            <w:tcW w:w="5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Illumina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Recognition of revenue from beginning deferred revenue balances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deferred during the period, net of revenue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45,311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expects to recognize revenue from unfulfilled performance obligations associated with service contracts that were partially completed as of March 31, 2025 in the following periods (in thousands):</w:t>
      </w:r>
    </w:p>
    <w:p>
      <w:pPr>
        <w:pStyle w:val="TextBody"/>
        <w:bidi w:val="0"/>
        <w:jc w:val="left"/>
        <w:rPr/>
      </w:pPr>
      <w:r>
        <w:rPr/>
        <w:t> </w:t>
      </w:r>
    </w:p>
    <w:tbl>
      <w:tblPr>
        <w:tblW w:w="4223" w:type="dxa"/>
        <w:jc w:val="left"/>
        <w:tblInd w:w="0" w:type="dxa"/>
        <w:tblLayout w:type="fixed"/>
        <w:tblCellMar>
          <w:top w:w="28" w:type="dxa"/>
          <w:left w:w="28" w:type="dxa"/>
          <w:bottom w:w="28" w:type="dxa"/>
          <w:right w:w="28" w:type="dxa"/>
        </w:tblCellMar>
      </w:tblPr>
      <w:tblGrid>
        <w:gridCol w:w="2296"/>
        <w:gridCol w:w="146"/>
        <w:gridCol w:w="378"/>
        <w:gridCol w:w="1212"/>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Expected Revenue </w:t>
            </w:r>
            <w:r>
              <w:rPr>
                <w:rFonts w:ascii="Times New Roman" w:hAnsi="Times New Roman"/>
                <w:b/>
                <w:color w:val="000000"/>
                <w:sz w:val="11"/>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remainder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Expected revenue includes both billed amounts included in deferred revenue and unbilled amounts that are not reflected in the Company’s condensed consolidated financial statements and are subject to change if the Company’s customers decide to cancel or modify their contracts. Purchase orders for instrument service contracts can generally be canceled before the service period begins.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also has unsatisfied performance obligations for service contracts with an expected term of one year or less not included in the amounts above.</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left"/>
        <w:rPr>
          <w:rFonts w:ascii="Times New Roman" w:hAnsi="Times New Roman"/>
          <w:b/>
          <w:color w:val="000000"/>
          <w:sz w:val="20"/>
        </w:rPr>
      </w:pPr>
      <w:bookmarkStart w:id="13" w:name="note_4"/>
      <w:bookmarkEnd w:id="13"/>
      <w:r>
        <w:rPr>
          <w:rFonts w:ascii="Times New Roman" w:hAnsi="Times New Roman"/>
          <w:b/>
          <w:color w:val="000000"/>
          <w:sz w:val="20"/>
        </w:rPr>
        <w:t>4. Goodwill and Acquired Intangible Assets,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of the Company's change to its operating and reportable segments in the first quarter of 2025, the Company also re-assessed its reporting units for goodwill impairment testing. The number of reporting units decreased from two reporting units to one reporting unit. As of March 31, 2025, the Company had one reporting unit for goodwill impairment testing. The Company performed a goodwill impairment analysis immediately prior to and following the change in reporting units. No goodwill impairment charges were recorded during the three months ended March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changes in carrying value of goodwill are as follows (in thousands):</w:t>
      </w:r>
    </w:p>
    <w:p>
      <w:pPr>
        <w:pStyle w:val="TextBody"/>
        <w:bidi w:val="0"/>
        <w:jc w:val="left"/>
        <w:rPr/>
      </w:pPr>
      <w:r>
        <w:rPr/>
        <w:t> </w:t>
      </w:r>
    </w:p>
    <w:tbl>
      <w:tblPr>
        <w:tblW w:w="4270" w:type="dxa"/>
        <w:jc w:val="left"/>
        <w:tblInd w:w="0" w:type="dxa"/>
        <w:tblLayout w:type="fixed"/>
        <w:tblCellMar>
          <w:top w:w="28" w:type="dxa"/>
          <w:left w:w="28" w:type="dxa"/>
          <w:bottom w:w="28" w:type="dxa"/>
          <w:right w:w="28" w:type="dxa"/>
        </w:tblCellMar>
      </w:tblPr>
      <w:tblGrid>
        <w:gridCol w:w="2941"/>
        <w:gridCol w:w="146"/>
        <w:gridCol w:w="211"/>
        <w:gridCol w:w="781"/>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Measurement period adjustment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111,719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measurement period adjustment relates to an adjustment made to increase deferred tax liabilities assumed in connection with the acquisition of Sengenics, based on new information about facts and circumstances that existed as of the acquisition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Acquired intangible assets, net consisted of the following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25"/>
        <w:gridCol w:w="146"/>
        <w:gridCol w:w="257"/>
        <w:gridCol w:w="952"/>
        <w:gridCol w:w="146"/>
        <w:gridCol w:w="146"/>
        <w:gridCol w:w="264"/>
        <w:gridCol w:w="1060"/>
        <w:gridCol w:w="166"/>
        <w:gridCol w:w="146"/>
        <w:gridCol w:w="211"/>
        <w:gridCol w:w="676"/>
        <w:gridCol w:w="146"/>
        <w:gridCol w:w="146"/>
        <w:gridCol w:w="257"/>
        <w:gridCol w:w="952"/>
        <w:gridCol w:w="146"/>
        <w:gridCol w:w="146"/>
        <w:gridCol w:w="264"/>
        <w:gridCol w:w="1060"/>
        <w:gridCol w:w="166"/>
        <w:gridCol w:w="146"/>
        <w:gridCol w:w="211"/>
        <w:gridCol w:w="676"/>
        <w:gridCol w:w="194"/>
      </w:tblGrid>
      <w:tr>
        <w:trPr/>
        <w:tc>
          <w:tcPr>
            <w:tcW w:w="15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40" w:type="dxa"/>
            <w:gridSpan w:val="2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2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2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Acquired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Total amortization expense of the Company's acquired intangible assets was $0.9 million and $2.1 million for the three months ended March 31, 2025 and 2024,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2025, future expected amortization expense of acquired intangible assets, net was as follows (in thousands):</w:t>
      </w:r>
    </w:p>
    <w:p>
      <w:pPr>
        <w:pStyle w:val="TextBody"/>
        <w:bidi w:val="0"/>
        <w:jc w:val="left"/>
        <w:rPr/>
      </w:pPr>
      <w:r>
        <w:rPr/>
        <w:t> </w:t>
      </w:r>
    </w:p>
    <w:tbl>
      <w:tblPr>
        <w:tblW w:w="3374" w:type="dxa"/>
        <w:jc w:val="left"/>
        <w:tblInd w:w="0" w:type="dxa"/>
        <w:tblLayout w:type="fixed"/>
        <w:tblCellMar>
          <w:top w:w="28" w:type="dxa"/>
          <w:left w:w="28" w:type="dxa"/>
          <w:bottom w:w="28" w:type="dxa"/>
          <w:right w:w="28" w:type="dxa"/>
        </w:tblCellMar>
      </w:tblPr>
      <w:tblGrid>
        <w:gridCol w:w="2296"/>
        <w:gridCol w:w="211"/>
        <w:gridCol w:w="676"/>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Period</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remainder of the year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bookmarkStart w:id="14" w:name="note_5"/>
      <w:bookmarkEnd w:id="14"/>
      <w:r>
        <w:rPr>
          <w:rFonts w:ascii="Times New Roman" w:hAnsi="Times New Roman"/>
          <w:b/>
          <w:color w:val="000000"/>
          <w:sz w:val="20"/>
        </w:rPr>
        <w:t>5. Balance Sheet Details</w:t>
      </w:r>
    </w:p>
    <w:p>
      <w:pPr>
        <w:pStyle w:val="TextBody"/>
        <w:bidi w:val="0"/>
        <w:spacing w:before="120" w:after="283"/>
        <w:jc w:val="left"/>
        <w:rPr>
          <w:rFonts w:ascii="Times New Roman" w:hAnsi="Times New Roman"/>
          <w:sz w:val="20"/>
        </w:rPr>
      </w:pPr>
      <w:r>
        <w:rPr>
          <w:rFonts w:ascii="Times New Roman" w:hAnsi="Times New Roman"/>
          <w:b/>
          <w:i/>
          <w:color w:val="000000"/>
          <w:sz w:val="20"/>
        </w:rPr>
        <w:t>Cash, Cash Equivalents and Restricted Cash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cash equivalents and restricted cash consisted of the following (in thousands):</w:t>
      </w:r>
    </w:p>
    <w:p>
      <w:pPr>
        <w:pStyle w:val="TextBody"/>
        <w:bidi w:val="0"/>
        <w:jc w:val="left"/>
        <w:rPr/>
      </w:pPr>
      <w:r>
        <w:rPr/>
        <w:t> </w:t>
      </w:r>
    </w:p>
    <w:tbl>
      <w:tblPr>
        <w:tblW w:w="7335" w:type="dxa"/>
        <w:jc w:val="left"/>
        <w:tblInd w:w="0" w:type="dxa"/>
        <w:tblLayout w:type="fixed"/>
        <w:tblCellMar>
          <w:top w:w="28" w:type="dxa"/>
          <w:left w:w="28" w:type="dxa"/>
          <w:bottom w:w="28" w:type="dxa"/>
          <w:right w:w="28" w:type="dxa"/>
        </w:tblCellMar>
      </w:tblPr>
      <w:tblGrid>
        <w:gridCol w:w="3946"/>
        <w:gridCol w:w="146"/>
        <w:gridCol w:w="268"/>
        <w:gridCol w:w="992"/>
        <w:gridCol w:w="146"/>
        <w:gridCol w:w="146"/>
        <w:gridCol w:w="319"/>
        <w:gridCol w:w="1181"/>
        <w:gridCol w:w="19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168,818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Restricted cash of $2.6 million and $2.1 million is included in other non-current assets on the condensed consolidated balance sheets as of March 31, 2025 and December 31, 2024, respectively.</w:t>
      </w:r>
    </w:p>
    <w:p>
      <w:pPr>
        <w:pStyle w:val="TextBody"/>
        <w:bidi w:val="0"/>
        <w:spacing w:before="4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consisted of the following (in thousands):</w:t>
      </w:r>
    </w:p>
    <w:p>
      <w:pPr>
        <w:pStyle w:val="TextBody"/>
        <w:bidi w:val="0"/>
        <w:jc w:val="left"/>
        <w:rPr/>
      </w:pPr>
      <w:r>
        <w:rPr/>
        <w:t> </w:t>
      </w:r>
    </w:p>
    <w:tbl>
      <w:tblPr>
        <w:tblW w:w="6925" w:type="dxa"/>
        <w:jc w:val="left"/>
        <w:tblInd w:w="0" w:type="dxa"/>
        <w:tblLayout w:type="fixed"/>
        <w:tblCellMar>
          <w:top w:w="28" w:type="dxa"/>
          <w:left w:w="28" w:type="dxa"/>
          <w:bottom w:w="28" w:type="dxa"/>
          <w:right w:w="28" w:type="dxa"/>
        </w:tblCellMar>
      </w:tblPr>
      <w:tblGrid>
        <w:gridCol w:w="3496"/>
        <w:gridCol w:w="146"/>
        <w:gridCol w:w="299"/>
        <w:gridCol w:w="961"/>
        <w:gridCol w:w="166"/>
        <w:gridCol w:w="146"/>
        <w:gridCol w:w="357"/>
        <w:gridCol w:w="1143"/>
        <w:gridCol w:w="2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receivable,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allowance for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33,608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Inventory consisted of the following (in thousands):</w:t>
      </w:r>
    </w:p>
    <w:p>
      <w:pPr>
        <w:pStyle w:val="TextBody"/>
        <w:bidi w:val="0"/>
        <w:jc w:val="left"/>
        <w:rPr/>
      </w:pPr>
      <w:r>
        <w:rPr/>
        <w:t> </w:t>
      </w:r>
    </w:p>
    <w:tbl>
      <w:tblPr>
        <w:tblW w:w="5550" w:type="dxa"/>
        <w:jc w:val="left"/>
        <w:tblInd w:w="0" w:type="dxa"/>
        <w:tblLayout w:type="fixed"/>
        <w:tblCellMar>
          <w:top w:w="28" w:type="dxa"/>
          <w:left w:w="28" w:type="dxa"/>
          <w:bottom w:w="28" w:type="dxa"/>
          <w:right w:w="28" w:type="dxa"/>
        </w:tblCellMar>
      </w:tblPr>
      <w:tblGrid>
        <w:gridCol w:w="2161"/>
        <w:gridCol w:w="146"/>
        <w:gridCol w:w="299"/>
        <w:gridCol w:w="961"/>
        <w:gridCol w:w="146"/>
        <w:gridCol w:w="146"/>
        <w:gridCol w:w="357"/>
        <w:gridCol w:w="1143"/>
        <w:gridCol w:w="19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59,265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Inventory, non-current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value of inventory that is not expected to be used within 12 months of the balance sheet date is classified as non-current inventory on the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recorded charges for excess and obsolete inventory of $0.8 million and $0.7 million for the three months ended March 31, 2025 and 2024, respectively.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net consisted of the following (in thousands):</w:t>
      </w:r>
    </w:p>
    <w:p>
      <w:pPr>
        <w:pStyle w:val="TextBody"/>
        <w:bidi w:val="0"/>
        <w:jc w:val="left"/>
        <w:rPr/>
      </w:pPr>
      <w:r>
        <w:rPr/>
        <w:t> </w:t>
      </w:r>
    </w:p>
    <w:tbl>
      <w:tblPr>
        <w:tblW w:w="7480" w:type="dxa"/>
        <w:jc w:val="left"/>
        <w:tblInd w:w="0" w:type="dxa"/>
        <w:tblLayout w:type="fixed"/>
        <w:tblCellMar>
          <w:top w:w="28" w:type="dxa"/>
          <w:left w:w="28" w:type="dxa"/>
          <w:bottom w:w="28" w:type="dxa"/>
          <w:right w:w="28" w:type="dxa"/>
        </w:tblCellMar>
      </w:tblPr>
      <w:tblGrid>
        <w:gridCol w:w="4051"/>
        <w:gridCol w:w="146"/>
        <w:gridCol w:w="268"/>
        <w:gridCol w:w="992"/>
        <w:gridCol w:w="166"/>
        <w:gridCol w:w="146"/>
        <w:gridCol w:w="319"/>
        <w:gridCol w:w="1181"/>
        <w:gridCol w:w="2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and manufacturing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Internal-use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Construction-in-progress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42,556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Depreciation and amortization expense related to property and equipment was $3.3 million and $3.0 million for the three months ended March 31, 2025 and 2024, respectively.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Accrued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liabilities, which are included in current liabilities on the condensed consolidated balance sheets consisted of the following (in thousands):</w:t>
      </w:r>
    </w:p>
    <w:p>
      <w:pPr>
        <w:pStyle w:val="TextBody"/>
        <w:bidi w:val="0"/>
        <w:jc w:val="left"/>
        <w:rPr/>
      </w:pPr>
      <w:r>
        <w:rPr/>
        <w:t> </w:t>
      </w:r>
    </w:p>
    <w:tbl>
      <w:tblPr>
        <w:tblW w:w="7005" w:type="dxa"/>
        <w:jc w:val="left"/>
        <w:tblInd w:w="0" w:type="dxa"/>
        <w:tblLayout w:type="fixed"/>
        <w:tblCellMar>
          <w:top w:w="28" w:type="dxa"/>
          <w:left w:w="28" w:type="dxa"/>
          <w:bottom w:w="28" w:type="dxa"/>
          <w:right w:w="28" w:type="dxa"/>
        </w:tblCellMar>
      </w:tblPr>
      <w:tblGrid>
        <w:gridCol w:w="3616"/>
        <w:gridCol w:w="146"/>
        <w:gridCol w:w="299"/>
        <w:gridCol w:w="961"/>
        <w:gridCol w:w="146"/>
        <w:gridCol w:w="146"/>
        <w:gridCol w:w="357"/>
        <w:gridCol w:w="1143"/>
        <w:gridCol w:w="1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related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Loss contingency accruals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warranties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Uninvoiced receipts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This amount primarily relates to a historical contingent consideration arrangement with former stockholders of SomaLogic, which remains recorded due to ongoing litigation.</w:t>
      </w:r>
    </w:p>
    <w:p>
      <w:pPr>
        <w:pStyle w:val="TextBody"/>
        <w:bidi w:val="0"/>
        <w:jc w:val="left"/>
        <w:rPr/>
      </w:pPr>
      <w:r>
        <w:rPr/>
        <w:t> </w:t>
      </w:r>
    </w:p>
    <w:p>
      <w:pPr>
        <w:pStyle w:val="TextBody"/>
        <w:bidi w:val="0"/>
        <w:spacing w:before="360" w:after="283"/>
        <w:jc w:val="left"/>
        <w:rPr>
          <w:rFonts w:ascii="Times New Roman" w:hAnsi="Times New Roman"/>
          <w:sz w:val="20"/>
        </w:rPr>
      </w:pPr>
      <w:bookmarkStart w:id="15" w:name="note_8"/>
      <w:bookmarkEnd w:id="15"/>
      <w:r>
        <w:rPr>
          <w:rFonts w:ascii="Times New Roman" w:hAnsi="Times New Roman"/>
          <w:b/>
          <w:color w:val="000000"/>
          <w:sz w:val="20"/>
        </w:rPr>
        <w:t>6. Commitments and Contingencies</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Commitments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Illumina Agreement, SomaLogic, and now the Company, is required to engage with two contract manufacturing organizations in order to ensure manufacturing capacity. In 2023, SomaLogic contracted with Integrated DNA Technologies, Inc. (“IDT”) to manufacture custom products. Under the contract manufacturing agreement with IDT, SomaLogic committed to minimum annual purchases of $2.3 million, which the Company subsumed in connection with the Merger. As the minimum contract term is three years, the total purchase commitment related to the IDT agreement is $6.9 million. The Company has placed initial orders under the IDT contract and expects to receive shipments beginning in the second quarter of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2024, the Company contracted with LGC Genomics (“LGC”) to satisfy the manufacturing capacity requirement of the Illumina Agreement. Under the Company’s agreement with LGC, the Company committed to minimum annual purchases of $1.0 million over a two-year minimum contract term. The Company placed initial orders under the LGC contract in the fourth quarter of 2024 and received its first shipment under the contract in January 2025. As of March 31, 2025, the remaining purchase commitment relating to the LGC agreement totaled $2.0 million. The Company does not have additional material purchase commitments with remaining terms in excess of one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entered into several license and patent agreements. Under these agreements, the Company pays annual license maintenance fees, non-refundable license issuance fees, and royalties as a percentage of net sales for the sale or sublicense of products using the licensed technology. Future payments related to these license agreements have not been included in the open commitments above, as the period of time over which the future license payments will be required to be made, and the amount of such payments, are indeterminable. The Company does not expect the license payments to be material in any particular year.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Indemnification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the Company has entered into agreements in the ordinary course of business, with certain business partners, customers and suppliers, that contain indemnification provisions. Pursuant to these agreements, the Company may indemnify, hold harmless and reimburse the indemnified parties on a case-by-case basis for losses suffered or incurred by the indemnified parties in connection with any patent or other intellectual property infringement claim by any third party with respect to the Company’s products. The term of the indemnification provisions within these agreements is generally perpetual from the time of the execution of the respective agreement. The maximum potential amount of future payments the Company could be required to make under these agreements is typically not limited to a specific amount.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Company has entered into indemnification agreements with its officers, directors and certain other employees. With certain exceptions, these agreements provide for indemnification for related expenses including, among others, attorneys’ fees, judgments, fines and settlement amounts incurred by any of these individuals in any action or proceeding that may arise by reason of their status or service as officers, directors, or employees. The Company does not have any indemnification liabilities related to these indemnification obligations recorded on its condensed consolidated balance sheet as of March 31,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the Company may be subject to various legal proceedings and claims arising in the ordinary course of business. These include disputes and lawsuits related to intellectual property, mergers and acquisitions, licensing, contract law, tax, regulatory, distribution arrangements, employee relations and other matters. Periodically, the Company reviews the status of each matter and assesses its potential financial exposure. If the potential loss from any claim or legal proceeding is considered probable and a range of possible loss can be estimated, the Company accrues a liability for the estimated loss.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Stockholder Litigation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December 12, 2023 two separate stockholder complaints were filed in the District of Delaware. The complaints asserted claims under Section 14(a) of the Exchange Act and Rule 14a-9 promulgated thereunder and Section 20(a) of the Exchange Act for allegedly causing the filing with the SEC on November 14, 2023 of a materially deficient registration statement on Form S-4. Among other remedies, the plaintiffs sought to enjoin a stockholder vote on the proposed Merger. These complaints were voluntarily dismissed. On December 13, 2023, a complaint was filed in the Delaware Court of Chancery against SomaLogic and certain officers and directors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alleging Breach of Fiduciary Duty and Aiding and Abetting Breach of Fiduciary Duty. This complaint also sought an injunction postponing the proposed business combination between SomaLogic and the Company, which was denied by the Court on January 4, 2024. An amended complaint was filed on June 20, 2024, containing primarily the same allegations, while removing some of the defendants. The remaining defendants filed a motion to dismiss on July 5, 2024, and served an opening brief on August 19, 2024. The Plaintiffs’ opposition brief was filed on December 2, 2024, and the defendants’ reply brief was filed on March 14, 2025. Oral argument has been set for July 7, 2025. Litigation is inherently uncertain and there can be no assurance regarding the outcome. Whether or not any plaintiffs’ claim is successful, this type of litigation may result in significant costs and divert management’s attention and resources, which could adversely affect the operation of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Between October 24, 2023 and January 3, 2024, SomaLogic received 18 letters from purported stockholders demanding that SomaLogic allow the inspection of its books and records and/or make corrective disclosures to its registration statement. The Company has resolved fee disputes with all but two stockholder’s counsel.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February 2024, the Company settled previously outstanding litigation with a former stockholder of SomaLogic, whereby the Company relinquished 422,048 shares of the Company's common stock that were subject to vesting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2024, the Company settled previously outstanding litigation with former stockholders of SomaLogic for $6.2 million consisting of the repurchase of approximately 1.84 million shares of the Company's common stock from the stockholders at the market price of $2.40 per share, and a cash payment of $1.8 million. The Company recognized a litigation loss of $0.6 million during the year ended December 31,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June 4, 2024, the Company received a demand pursuant to Section 220 of the Delaware General Corporation Law from a stockholder to inspect the Company’s books and records relating to the prior conversion of the Company’s Series B Preferred Stock (as defined below). The Company has responded to the demand and has produced documents.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 lawsuits against us and certain of our officers or directors may be filed in the future. If additional similar complaints are filed, absent new or different allegations that are material, we will not necessarily announce such additional filings.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normal course of business, the Company is from time to time involved in legal proceedings or potential legal proceedings, including matters involving employment, intellectual property, or others. Although the results of litigation and claims cannot be predicted with certainty, management currently believes that the final outcome of any currently pending matters would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Legal proceedings are subject to uncertainties, and the outcomes are difficult to predict. Because of such uncertainties, accruals are based only on the best information available at the time. As additional information becomes available, the Company continues to reassess the potential liability related to pending claims and litigation and may revise estimates.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Contingencies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Following the Merger, the Company is responsible for SomaLogic’s liabilities and obligations, including with respect to legal, financial, regulatory, and compliance matters. These liabilities and obligations will result in additional cost and expense by the Company and, if the Company has underestimated the amount of these costs and expenses or if the Company fails to satisfy any such liabilities or obligations, the Company may not realize the anticipated benefits of the Merger and there may be an adverse impact on the Company because of defense and settlement costs, diversion of management resources, and other factors. Further, it is possible that there may be unknown, contingent or other liabilities, obligations or other problems that may arise in the future, the existence and/or magnitude of which the Company was previously unaware. Any such liabilities, obligations or other problems could have an adverse effect on the company’s business, financial condition, results of operations or cash flows. With respect to these additional matters, the Company is not able to estimate the possible loss or range of losses that could be incurred.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Fair Value of Financial Instruments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Company’s assets and liabilities measured at fair value on a recurring basis within the fair value hierarchy as of March 31, 2025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04"/>
        <w:gridCol w:w="146"/>
        <w:gridCol w:w="211"/>
        <w:gridCol w:w="781"/>
        <w:gridCol w:w="146"/>
        <w:gridCol w:w="146"/>
        <w:gridCol w:w="438"/>
        <w:gridCol w:w="1622"/>
        <w:gridCol w:w="151"/>
        <w:gridCol w:w="151"/>
        <w:gridCol w:w="364"/>
        <w:gridCol w:w="1351"/>
        <w:gridCol w:w="151"/>
        <w:gridCol w:w="151"/>
        <w:gridCol w:w="456"/>
        <w:gridCol w:w="1238"/>
        <w:gridCol w:w="398"/>
      </w:tblGrid>
      <w:tr>
        <w:trPr/>
        <w:tc>
          <w:tcPr>
            <w:tcW w:w="2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7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 Markets for Identical Assets (Level 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 (Level 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 (Level 3)</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107,182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130,162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107,182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Company’s assets and liabilities measured at fair value on a recurring basis within the fair value hierarchy as of December 31, 2024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01"/>
        <w:gridCol w:w="146"/>
        <w:gridCol w:w="211"/>
        <w:gridCol w:w="781"/>
        <w:gridCol w:w="146"/>
        <w:gridCol w:w="146"/>
        <w:gridCol w:w="440"/>
        <w:gridCol w:w="1629"/>
        <w:gridCol w:w="151"/>
        <w:gridCol w:w="151"/>
        <w:gridCol w:w="364"/>
        <w:gridCol w:w="1348"/>
        <w:gridCol w:w="151"/>
        <w:gridCol w:w="151"/>
        <w:gridCol w:w="455"/>
        <w:gridCol w:w="1236"/>
        <w:gridCol w:w="398"/>
      </w:tblGrid>
      <w:tr>
        <w:trPr/>
        <w:tc>
          <w:tcPr>
            <w:tcW w:w="2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7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 Markets For Identical Assets (Level 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 (Level 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 (Level 3)</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126,146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141,942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129,136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5,600</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5,874</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There were no transfers within the hierarchy and no changes in the valuation techniques used during the three months ended March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available-for-sale securities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61"/>
        <w:gridCol w:w="146"/>
        <w:gridCol w:w="1116"/>
        <w:gridCol w:w="146"/>
        <w:gridCol w:w="236"/>
        <w:gridCol w:w="875"/>
        <w:gridCol w:w="146"/>
        <w:gridCol w:w="146"/>
        <w:gridCol w:w="418"/>
        <w:gridCol w:w="688"/>
        <w:gridCol w:w="146"/>
        <w:gridCol w:w="146"/>
        <w:gridCol w:w="424"/>
        <w:gridCol w:w="697"/>
        <w:gridCol w:w="166"/>
        <w:gridCol w:w="146"/>
        <w:gridCol w:w="277"/>
        <w:gridCol w:w="1028"/>
        <w:gridCol w:w="397"/>
      </w:tblGrid>
      <w:tr>
        <w:trPr/>
        <w:tc>
          <w:tcPr>
            <w:tcW w:w="2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 2025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130,162</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107,182</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237,344</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871"/>
        <w:gridCol w:w="146"/>
        <w:gridCol w:w="1119"/>
        <w:gridCol w:w="146"/>
        <w:gridCol w:w="236"/>
        <w:gridCol w:w="876"/>
        <w:gridCol w:w="146"/>
        <w:gridCol w:w="146"/>
        <w:gridCol w:w="369"/>
        <w:gridCol w:w="740"/>
        <w:gridCol w:w="146"/>
        <w:gridCol w:w="146"/>
        <w:gridCol w:w="424"/>
        <w:gridCol w:w="698"/>
        <w:gridCol w:w="146"/>
        <w:gridCol w:w="146"/>
        <w:gridCol w:w="278"/>
        <w:gridCol w:w="1030"/>
        <w:gridCol w:w="396"/>
      </w:tblGrid>
      <w:tr>
        <w:trPr/>
        <w:tc>
          <w:tcPr>
            <w:tcW w:w="2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141,942</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126,146</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271,078</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March 31, 2025, none of the available-for-sale securities held have been in an unrealized loss position for greater than 12 months. The Company does not intend to sell these investments, and it is not likely that the Company will be required to sell these investments before recovery of their amortized cost basis. No allowance for credit losses was recorded.</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Liabilities Measured at Fair Value on a Recurring Basis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information about the Company's Level 3 liabilities that are measured at fair value on a recurring basis:</w:t>
      </w:r>
    </w:p>
    <w:p>
      <w:pPr>
        <w:pStyle w:val="TextBody"/>
        <w:bidi w:val="0"/>
        <w:jc w:val="left"/>
        <w:rPr/>
      </w:pPr>
      <w:r>
        <w:rPr/>
        <w:t> </w:t>
      </w:r>
    </w:p>
    <w:tbl>
      <w:tblPr>
        <w:tblW w:w="6974" w:type="dxa"/>
        <w:jc w:val="left"/>
        <w:tblInd w:w="0" w:type="dxa"/>
        <w:tblLayout w:type="fixed"/>
        <w:tblCellMar>
          <w:top w:w="28" w:type="dxa"/>
          <w:left w:w="28" w:type="dxa"/>
          <w:bottom w:w="28" w:type="dxa"/>
          <w:right w:w="28" w:type="dxa"/>
        </w:tblCellMar>
      </w:tblPr>
      <w:tblGrid>
        <w:gridCol w:w="2971"/>
        <w:gridCol w:w="457"/>
        <w:gridCol w:w="1043"/>
        <w:gridCol w:w="166"/>
        <w:gridCol w:w="146"/>
        <w:gridCol w:w="496"/>
        <w:gridCol w:w="1484"/>
        <w:gridCol w:w="211"/>
      </w:tblGrid>
      <w:tr>
        <w:trPr/>
        <w:tc>
          <w:tcPr>
            <w:tcW w:w="297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 Liabilities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Contingent Consideration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December 31, 2024</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March 31, 2025</w:t>
            </w:r>
          </w:p>
        </w:tc>
        <w:tc>
          <w:tcPr>
            <w:tcW w:w="4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color w:val="000000"/>
          <w:sz w:val="20"/>
        </w:rPr>
      </w:pPr>
      <w:r>
        <w:rPr>
          <w:rFonts w:ascii="Times New Roman" w:hAnsi="Times New Roman"/>
          <w:color w:val="000000"/>
          <w:sz w:val="20"/>
        </w:rPr>
        <w:t>The decreases in fair value of the warrant liabilities and contingent consideration liability were recorded as gains in other income (expense) on the condensed consolidated statement for the three months ended March 31, 2025.</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Warrant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Warrants were valued using a binomial lattice model (a special case of the income approach), using the following Level 3 inputs:</w:t>
      </w:r>
    </w:p>
    <w:p>
      <w:pPr>
        <w:pStyle w:val="TextBody"/>
        <w:bidi w:val="0"/>
        <w:spacing w:before="120" w:after="283"/>
        <w:jc w:val="left"/>
        <w:rPr/>
      </w:pPr>
      <w:r>
        <w:rPr/>
        <w:t> </w:t>
      </w:r>
    </w:p>
    <w:tbl>
      <w:tblPr>
        <w:tblW w:w="5605" w:type="dxa"/>
        <w:jc w:val="left"/>
        <w:tblInd w:w="0" w:type="dxa"/>
        <w:tblLayout w:type="fixed"/>
        <w:tblCellMar>
          <w:top w:w="28" w:type="dxa"/>
          <w:left w:w="28" w:type="dxa"/>
          <w:bottom w:w="28" w:type="dxa"/>
          <w:right w:w="28" w:type="dxa"/>
        </w:tblCellMar>
      </w:tblPr>
      <w:tblGrid>
        <w:gridCol w:w="1966"/>
        <w:gridCol w:w="146"/>
        <w:gridCol w:w="300"/>
        <w:gridCol w:w="960"/>
        <w:gridCol w:w="271"/>
        <w:gridCol w:w="146"/>
        <w:gridCol w:w="357"/>
        <w:gridCol w:w="1143"/>
        <w:gridCol w:w="31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Contingent consideration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contingent consideration was valued using a Monte Carlo simulation as of March 31, 2025 and December 31, 2024, using the following Level 3 inputs:</w:t>
      </w:r>
    </w:p>
    <w:tbl>
      <w:tblPr>
        <w:tblW w:w="5290" w:type="dxa"/>
        <w:jc w:val="left"/>
        <w:tblInd w:w="0" w:type="dxa"/>
        <w:tblLayout w:type="fixed"/>
        <w:tblCellMar>
          <w:top w:w="28" w:type="dxa"/>
          <w:left w:w="28" w:type="dxa"/>
          <w:bottom w:w="28" w:type="dxa"/>
          <w:right w:w="28" w:type="dxa"/>
        </w:tblCellMar>
      </w:tblPr>
      <w:tblGrid>
        <w:gridCol w:w="1651"/>
        <w:gridCol w:w="146"/>
        <w:gridCol w:w="300"/>
        <w:gridCol w:w="960"/>
        <w:gridCol w:w="271"/>
        <w:gridCol w:w="146"/>
        <w:gridCol w:w="357"/>
        <w:gridCol w:w="1143"/>
        <w:gridCol w:w="316"/>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Stockholders’ Equity (Deficit)</w:t>
      </w:r>
    </w:p>
    <w:p>
      <w:pPr>
        <w:pStyle w:val="TextBody"/>
        <w:bidi w:val="0"/>
        <w:spacing w:before="120" w:after="283"/>
        <w:jc w:val="left"/>
        <w:rPr>
          <w:rFonts w:ascii="Times New Roman" w:hAnsi="Times New Roman"/>
          <w:sz w:val="20"/>
        </w:rPr>
      </w:pPr>
      <w:r>
        <w:rPr>
          <w:rFonts w:ascii="Times New Roman" w:hAnsi="Times New Roman"/>
          <w:b/>
          <w:i/>
          <w:color w:val="000000"/>
          <w:sz w:val="20"/>
        </w:rPr>
        <w:t>2024 Stock Repurchase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6, 2024, the Company's board of directors authorized a share repurchase program (the “2024 Share Repurchase Program”) pursuant to which the Company may repurchase up to $50.0 million of shares of its common stock in the open market, in one or more Rule 10b5-1 trading plans, or in negotiated transactions through March 1, 2026. The repurchases are contingent upon favorable market and business conditions and are funded by cash on hand. The program does not obligate the Company to acquire any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specific number of shares. During the three months ended March 31, 2025, the Company did not repurchase any shares of its common stock under the 2024 Share Repurchase Program. </w:t>
      </w:r>
    </w:p>
    <w:p>
      <w:pPr>
        <w:pStyle w:val="TextBody"/>
        <w:bidi w:val="0"/>
        <w:spacing w:before="360" w:after="283"/>
        <w:jc w:val="left"/>
        <w:rPr>
          <w:rFonts w:ascii="Times New Roman" w:hAnsi="Times New Roman"/>
          <w:sz w:val="20"/>
        </w:rPr>
      </w:pPr>
      <w:r>
        <w:rPr>
          <w:rFonts w:ascii="Times New Roman" w:hAnsi="Times New Roman"/>
          <w:b/>
          <w:i/>
          <w:color w:val="000000"/>
          <w:sz w:val="20"/>
        </w:rPr>
        <w:t>Common Shares Reserved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2025, the Company had reserved shares of common stock for future issuance under equity compensation plans as follows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81"/>
        <w:gridCol w:w="146"/>
        <w:gridCol w:w="354"/>
        <w:gridCol w:w="1643"/>
        <w:gridCol w:w="146"/>
        <w:gridCol w:w="146"/>
        <w:gridCol w:w="396"/>
        <w:gridCol w:w="1841"/>
        <w:gridCol w:w="146"/>
        <w:gridCol w:w="146"/>
        <w:gridCol w:w="437"/>
        <w:gridCol w:w="2030"/>
        <w:gridCol w:w="393"/>
      </w:tblGrid>
      <w:tr>
        <w:trPr/>
        <w:tc>
          <w:tcPr>
            <w:tcW w:w="2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Securities To Be Issued Upon Exercise Of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Securities To Be Issued Upon Release Of Restricted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Remaining Securities Available For Future Issuance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2022 Inducement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2011 Equity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2017 Inducement Award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2017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SomaLogic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common stock reserved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11,945</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9. Stock-based Compensation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 has various stock-based compensation plans, which are more fully described in the 2024 Financial Statements. Under the Company’s 2022 Inducement Equity Incentive Plan (the “2022 Plan”), the Company has the ability to grant several forms of incentive awards to the Company's eligible employees, directors, and non-employee consultants.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Stock-based compensation expense is reported in the Company's condensed consolidated statement of operations as follows (in thousands):</w:t>
      </w:r>
    </w:p>
    <w:tbl>
      <w:tblPr>
        <w:tblW w:w="6596" w:type="dxa"/>
        <w:jc w:val="left"/>
        <w:tblInd w:w="0" w:type="dxa"/>
        <w:tblLayout w:type="fixed"/>
        <w:tblCellMar>
          <w:top w:w="28" w:type="dxa"/>
          <w:left w:w="28" w:type="dxa"/>
          <w:bottom w:w="28" w:type="dxa"/>
          <w:right w:w="28" w:type="dxa"/>
        </w:tblCellMar>
      </w:tblPr>
      <w:tblGrid>
        <w:gridCol w:w="3661"/>
        <w:gridCol w:w="146"/>
        <w:gridCol w:w="258"/>
        <w:gridCol w:w="699"/>
        <w:gridCol w:w="178"/>
        <w:gridCol w:w="178"/>
        <w:gridCol w:w="258"/>
        <w:gridCol w:w="827"/>
        <w:gridCol w:w="3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collaboration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7,774</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9,009</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Stock-based compensation will fluctuate based on the grant-date fair value of awards, the number of awards, the requisite service period of the awards, employee forfeitures and the timing of the awards. Expense related to each stock option and restricted stock unit (“RSU”) award is recognized on a straight-line basis over the requisite service period of the entire award.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award activity for stock options and RSUs for the three months ended March 31, 2025 (in thousands):</w:t>
      </w:r>
    </w:p>
    <w:p>
      <w:pPr>
        <w:pStyle w:val="TextBody"/>
        <w:bidi w:val="0"/>
        <w:jc w:val="left"/>
        <w:rPr/>
      </w:pPr>
      <w:r>
        <w:rPr/>
        <w:t> </w:t>
      </w:r>
    </w:p>
    <w:tbl>
      <w:tblPr>
        <w:tblW w:w="5557" w:type="dxa"/>
        <w:jc w:val="left"/>
        <w:tblInd w:w="0" w:type="dxa"/>
        <w:tblLayout w:type="fixed"/>
        <w:tblCellMar>
          <w:top w:w="28" w:type="dxa"/>
          <w:left w:w="28" w:type="dxa"/>
          <w:bottom w:w="28" w:type="dxa"/>
          <w:right w:w="28" w:type="dxa"/>
        </w:tblCellMar>
      </w:tblPr>
      <w:tblGrid>
        <w:gridCol w:w="2941"/>
        <w:gridCol w:w="146"/>
        <w:gridCol w:w="199"/>
        <w:gridCol w:w="926"/>
        <w:gridCol w:w="166"/>
        <w:gridCol w:w="146"/>
        <w:gridCol w:w="146"/>
        <w:gridCol w:w="676"/>
        <w:gridCol w:w="21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 or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37,648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20,602</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basic and diluted net loss per share is calculated by dividing net loss less any redemption or induced conversion on the Series B Preferred Stock by the weighted-average number of shares of common stock outstanding for the period. RSUs, performance stock units (“PSUs”), options to purchase the Company’s common stock, restricted stock, Employee Stock Purchase Plan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(“ESPP”) shares pending issuance, Series B Preferred Stock and convertible notes are considered to be potentially dilutive common shares but have been excluded from the calculation of diluted net loss per share as their effect is anti-dilutive for all periods presented.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January 23, 2022, the Company entered into separate Series B Convertible Preferred Stock Purchase Agreements (collectively, the "Purchase Agreements") with Casdin Private Growth Equity Fund II, L.P. and Casdin Partners Master Fund, L.P. (together, "Casdin"), and Viking Global Opportunities Illiquid Investments Sub Master LP and Viking Global Opportunities Drawdown LP (together, Viking, and together with Casdin, the “Investors"), whereby the Company issued and sold an aggregate of $225.0 million of convertible preferred stock, consisting of: (i) 112,500 shares of the Company’s Series B-1 Convertible Preferred Stock, par value $0.001 per share (the "Series B-1 Preferred Stock"), at a purchase price of $1,000 per share; and (ii) 112,500 shares of the Company’s Series B-2 Convertible Preferred Stock, par value $0.001 per share (the "Series B-2 Preferred Stock", and together with the Series B-1 Preferred Stock, the "Series B Preferred Stock") at a purchase price of $1,000 per share.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March 18, 2024, the Company entered into an exchange agreement (the “Exchange Agreement”) with Casdin and Viking in which all outstanding shares of Series B Preferred Stock were exchanged for an aggregate of 92,930,553 shares of the Company's common stock. This transaction was determined to be an induced conversion due to a reduction in the original conversion price. The excess of the fair value of the common stock issued over the fair value of shares issuable under original terms represents an in-substance distribution to the Investors, and was included as a reduction to the numerator in calculating earnings per share for the three months ended March 31,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Computation of net loss per share for the three months ended March 31, 2025 and 2024 was as follows (in thousands, except per share data):</w:t>
      </w:r>
    </w:p>
    <w:p>
      <w:pPr>
        <w:pStyle w:val="TextBody"/>
        <w:bidi w:val="0"/>
        <w:jc w:val="left"/>
        <w:rPr/>
      </w:pPr>
      <w:r>
        <w:rPr/>
        <w:t> </w:t>
      </w:r>
    </w:p>
    <w:tbl>
      <w:tblPr>
        <w:tblW w:w="8800" w:type="dxa"/>
        <w:jc w:val="left"/>
        <w:tblInd w:w="0" w:type="dxa"/>
        <w:tblLayout w:type="fixed"/>
        <w:tblCellMar>
          <w:top w:w="28" w:type="dxa"/>
          <w:left w:w="28" w:type="dxa"/>
          <w:bottom w:w="28" w:type="dxa"/>
          <w:right w:w="28" w:type="dxa"/>
        </w:tblCellMar>
      </w:tblPr>
      <w:tblGrid>
        <w:gridCol w:w="6046"/>
        <w:gridCol w:w="146"/>
        <w:gridCol w:w="220"/>
        <w:gridCol w:w="816"/>
        <w:gridCol w:w="173"/>
        <w:gridCol w:w="152"/>
        <w:gridCol w:w="220"/>
        <w:gridCol w:w="816"/>
        <w:gridCol w:w="211"/>
      </w:tblGrid>
      <w:tr>
        <w:trPr/>
        <w:tc>
          <w:tcPr>
            <w:tcW w:w="6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Induced conversion of redeemable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(46,014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378,228</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294,125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potentially dilutive common shares were excluded from the computations of diluted net loss per share for the periods presented because including them would have been anti-dilutive (in thousands):</w:t>
      </w:r>
    </w:p>
    <w:p>
      <w:pPr>
        <w:pStyle w:val="TextBody"/>
        <w:bidi w:val="0"/>
        <w:jc w:val="left"/>
        <w:rPr/>
      </w:pPr>
      <w:r>
        <w:rPr/>
        <w:t> </w:t>
      </w:r>
    </w:p>
    <w:tbl>
      <w:tblPr>
        <w:tblW w:w="7748" w:type="dxa"/>
        <w:jc w:val="left"/>
        <w:tblInd w:w="0" w:type="dxa"/>
        <w:tblLayout w:type="fixed"/>
        <w:tblCellMar>
          <w:top w:w="28" w:type="dxa"/>
          <w:left w:w="28" w:type="dxa"/>
          <w:bottom w:w="28" w:type="dxa"/>
          <w:right w:w="28" w:type="dxa"/>
        </w:tblCellMar>
      </w:tblPr>
      <w:tblGrid>
        <w:gridCol w:w="5011"/>
        <w:gridCol w:w="146"/>
        <w:gridCol w:w="181"/>
        <w:gridCol w:w="838"/>
        <w:gridCol w:w="181"/>
        <w:gridCol w:w="181"/>
        <w:gridCol w:w="181"/>
        <w:gridCol w:w="838"/>
        <w:gridCol w:w="191"/>
      </w:tblGrid>
      <w:tr>
        <w:trPr/>
        <w:tc>
          <w:tcPr>
            <w:tcW w:w="5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PSUs, stock options, restricted shares and ESPP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58,250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2014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76,684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11.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quarterly provision for income taxes is based on an estimated annual effective income tax rate. The quarterly provision for income taxes also includes discrete items, such as changes in valuation allowances or adjustments upon finalization of tax returns as well as infrequently occurring items, if any, such as the effects of changes in tax laws or rates, in the interim period in which they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recorded income tax benefit of $0.2 million and income tax expense of $0.1 million in the three months ended March 31, 2025 and 2024, respectively. The decrease in the Company's tax provision reflects the effect of the Company's foreign operations, which reported lower pre-tax income in the first quarter of 2025 compared to the same period in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effective tax rates for both periods differ from the 21% U.S. federal statutory tax rate primarily due to valuation allowances recorded against deferred tax assets on domestic losses and the tax rate differences between the United States and foreign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countries. The Company maintains a valuation allowance against its U.S. deferred tax assets as the Company believes it is more likely than not the deferred tax assets will not be realized.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Segment Reporting</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discussed in Note 1, </w:t>
      </w:r>
      <w:r>
        <w:rPr>
          <w:rFonts w:ascii="Times New Roman" w:hAnsi="Times New Roman"/>
          <w:i/>
          <w:color w:val="000000"/>
          <w:sz w:val="20"/>
        </w:rPr>
        <w:t>Basis of Presentation and Summary of Significant Accounting Policies,</w:t>
      </w:r>
      <w:r>
        <w:rPr>
          <w:rFonts w:ascii="Times New Roman" w:hAnsi="Times New Roman"/>
          <w:color w:val="000000"/>
          <w:sz w:val="20"/>
        </w:rPr>
        <w:t xml:space="preserve"> the Company reassessed its operating and reportable segments during the first quarter of 2025. As of March 31, 2025, the Company has one operating and reportable segment.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CODM utilizes the Company's annual operating plan, primarily consisting of an annual financial forecast, as a key input to resource allocation. The CODM makes decisions on resource allocation and assesses performance of the business using net loss.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significant expenses within net loss that the CODM regularly review are cost of revenue and operating expenses. Operating expenses consists of five main subcategories: research and development; selling, general and administrative (“SG&amp;A”); transaction and integration; and restructuring and related. All significant expense categories and subcategories are reported on the condensed consolidated statements of operations. Other segment items within net loss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expense, which is separately presented on the condensed consolidated statements of cash flows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contingent consideration, which is separately presented on the condensed consolidated statements of cash flows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Bargain purchase gain, which is separately presented on the condensed consolidated statements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and interest expense, which are separately presented on the condensed consolidated statements of operations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See Note 3, </w:t>
      </w:r>
      <w:r>
        <w:rPr>
          <w:rFonts w:ascii="Times New Roman" w:hAnsi="Times New Roman"/>
          <w:i/>
          <w:color w:val="000000"/>
          <w:sz w:val="20"/>
        </w:rPr>
        <w:t>Revenue and Geographic Area</w:t>
      </w:r>
      <w:r>
        <w:rPr>
          <w:rFonts w:ascii="Times New Roman" w:hAnsi="Times New Roman"/>
          <w:color w:val="000000"/>
          <w:sz w:val="20"/>
        </w:rPr>
        <w:t>, for the Company's revenue by geography.</w:t>
      </w:r>
    </w:p>
    <w:p>
      <w:pPr>
        <w:pStyle w:val="TextBody"/>
        <w:bidi w:val="0"/>
        <w:jc w:val="center"/>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13. Related Parties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Merger, Eli Casdin, a member of the Company’s board of directors and the Company’s principal stockholder, and the former principal stockholder of SomaLogic, was issued 3,807 shares of common stock, 3,807 RSUs vesting in equal annual installments beginning on March 17, 2024, and 144,088 options in exchange for his shares of SomaLogic common stock and SomaLogic equity awards. In addition, Casdin Partners Master Fund, L.P. and Casdin Private Growth Equity Fund, L.P. received 11,246,525 and 2,744,219 shares of common stock, respectively, in exchange for their shares of SomaLogic common stock, which shares may be deemed to be indirectly beneficially owned by Mr. Casdin. Additionally, in connection with the Merger, warrants held by CMLS Holdings II LLC (“CMLS LLC”) converted into the right to receive, upon exercise of such warrants, 4,824,802 shares of the Company’s common stock and CMLS LLC also received 7,548,000 shares of common stock in exchange for its SomaLogic common stock, all of which may be deemed to be indirectly beneficially owned by Mr. Casdin. In total, Mr. Casdin may be deemed to have beneficially received 26,515,248 shares of common stock in the Merger, including the shares of the Company's common stock issuable upon the vesting of RSUs and exercise of options and warrants.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On March 18, 2024, Casdin and its affiliates entered into the Exchange Agreement with the Company whereby all of the outstanding shares of the Series B-1 Preferred Stock held by Casdin and its affiliates were converted into an aggregate of 46,465,458 shares of the Company's common stock.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rFonts w:ascii="Times New Roman" w:hAnsi="Times New Roman"/>
          <w:b/>
          <w:color w:val="000000"/>
          <w:sz w:val="20"/>
        </w:rPr>
      </w:pPr>
      <w:bookmarkStart w:id="16" w:name="item_2_mda"/>
      <w:bookmarkEnd w:id="16"/>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together with the unaudited financial information and the notes thereto included appearing elsewhere in this Quarterly Report on Form 10-Q, and the audited financial information and the notes thereto included in our Annual Report.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our Annual Report, our actual results could differ materially from the results described in, or implied by, the forward-looking statements contained in the following discussion and analysis.</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the context requires otherwise, references in this Quarterly Report on Form 10-Q to “Standard BioTools” the “Company,” “we,” “us,” and “our” refer to Standard BioTools Inc. and its subsidiaries.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Standard BioTools, Inc., we are committed to setting the new standard in the life science tools industry through strategic consolidation, best-in-class operations and a world-class management team. Our established portfolio includes essential, standardized next-generation solutions designed to help biomedical researchers develop better therapeutics faster. We offer a diverse range of instrumentation, consumables, and services that generate high-quality data across early discovery, translational and clinical research. With advanced technologies in proteomics and genomics, we empower scientists to gain deeper biological insights, accelerate discoveries, and drive improved health outcomes across diverse therapeutic areas including immunology, oncology, neuroscience, cardiometabolic diseases and more.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built a solid foundation supporting a differentiated portfolio of life science tools, offering broad multi-omic capabilities that drive innovation and accelerate the pace of drug development. Our solutions are designed to unlock complex biological information across plasma, single-cell and spatial proteomics, as well as genomic analyses, enabling researchers to explore disease mechanisms with unprecedented depth and precision. By integrating our advanced platforms – SomaScan, CyTOF, Hyperion, Biomark, and KREX – we empower scientists to generate high-content data across therapeutic areas, from immuno-oncology to neurology and infectious diseases. Each system is engineered to extract meaningful molecular signatures, providing researchers with the tools they need to decode intricate biological networks. Together, these technologies accelerate discovery, offering a comprehensive approach to understanding the complexities of health and disease.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Factors Affecting Our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factors have been important to our business, and we expect them to impact our results of operations and financial condition in future periods: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Continued adoption of our services and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a well-established base of marquee customer and key opinion leader (“KOL”) relationships in place, and as we grow further, we expect to win contracts with new customers and expand the scope of existing contracts with existing customers.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continue to focus on growth in instrument placements, including the SomaScan® Authorized Sites program, which we expect to drive future growth in sales of consumables, SomaScan® assay kits, and field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continue to enhance our proteomics offering through continuous improvements to our proteomics instruments, and the commercial release of the LabThread SLX, which is a fully integrated system optimized for running the SomaScan® assay.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revenue may vary from period to period based on, among other things, the timing and size of new contracts, fluctuations in customer consumption of and adoption trends, ramp time and productivity of our salesforce, the impact of significant transactions, and seasonality. Failure to effectively develop and expand our sales and marketing capabilities or improve the productivity of our sales and marketing organization could harm our ability to expand our potential customer and sales pipeline, increase our customer base, and achieve broader market acceptance of our offering.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Continued investment in growth: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continue to invest significantly in our laboratory process and commercial infrastructure.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Investments in R&amp;D will include hiring of employees with the necessary scientific and technical backgrounds to enable enhancements to our existing services and products and bring new services and products to market.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Ability to lower operating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we integrate with SomaLogic, we continue to focus on improving operating discipline through implementation of lean SBS principles to build more efficient operations and reduce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intend to reduce manufacturing costs, in part, by modifying our assays and laboratory processes to use materials and technologies that provide equal or greater quality at lower cost, improving how we manage our materials and negotiating favorable terms for our materials purchases.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intend to reduce the cost of performing the SomaScan® assay as we move to either a less expensive array or Next Generation Sequencing system for our DNA readout of the protein concentrations present in a sample.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Seasonality: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revenue can be seasonal dependent upon the procurement and budgeting cycles of many of our customers, especially government- or grant-funded customers, whose cycles often coincide with government fiscal year ends.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Expansion of our proteomic content: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SomaScan® 11K Platform now includes protein measurements on a broader range of sample types, including cerebrospinal fluid, aqueous humor, tissue homogenates and cell lysates. The SomaScan® Platform provides the largest number of protein measurements and the greatest number of orthogonally confirmed protein reagents in the proteomics industry —11,000 protein measurements simultaneously from sample volumes as low as 55 µl—giving researchers access to half of the human proteome in just one assay.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added the KREX precision antibody profiling services and kits to our SomaScan suite of solutions, enabling the detection of autoantibody biomarkers and protein interactions for basic, translational and clinical research.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maintain our competitive advantage in the proteomics market, we plan to increase the number of protein reagents for commercial availability based on allocated funding, resource availability, and the successful validation of new reagents.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continue to expand our proteomics database and artificial intelligence and machine learning analytics to drive value and market opportunities.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generate our revenue from the sale of products and services. We also derive revenue from collaborative arrangements, license agreements, grants, and royalties. Customers include top biopharmaceutical companies and leading academic research universities.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Product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generate product revenue from the sale of instruments and consumables. Consumables revenue is largely driven by the size of our active installed base of instruments and the level of usage per instrument. Consumables revenue is also driven by the sale of SomaScan® assay kits, which is driven by the number of active SomaScan® Authorized Sites and the number of assays performed at those sites.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Service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generate service revenue from the sale of lab services and field services. Lab services revenue is primarily generated by performing the SomaScan® assay on customer samples to generate data on protein biomarkers. We expect lab services revenue to increase over the long-term with new and recurring sales opportunities. With the enhancement of our proteomic services, we expect to capture more market opportunities outside of the United States region, as well as winning contracts with new customers and expanding the scope of sales with existing customers.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Field services revenue primarily consists of post-warranty service contracts, preventive maintenance plans, installation and training for our instruments. We expect the average selling prices of our products and services to fluctuate over time based on market conditions, product mix and currency fluctuations.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Collaboration and other revenue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Collaboration and other revenue consists of fees earned for R&amp;D services, except for grant revenue R&amp;D services that are classified in other revenue. We believe expanding collaborative arrangements with KOLs will allow for further enhancements of our integrated platform, lower barriers to adoption and introduce or expand new market channels and customers within geographic regions and markets we do not currently operate in.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Cost of product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 of product revenue consists primarily of raw materials, equipment and production costs, salaries and other personnel costs, overhead and other direct costs related to product revenue. In addition, cost of product revenue includes amortization of developed technology, royalty costs for licensed technologies included in our products, warranty costs, provisions for excess and obsolete inventory, and stock-based compensation expense, and shipping and handling costs. Cost of product revenue is recognized in the period the related revenue is recognized. Shipping and handling costs incurred for product shipments are included in cost of product revenue in the consolidated statements of operations. Our cost of product revenue and related product margin may fluctuate depending on the capacity utilization of our manufacturing facilities in response to market conditions and the demand for our products.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Cost of service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of service revenue consists of raw materials and production costs, personnel-related costs, overhead and other direct costs. It also includes costs for production variances for SOMAmer® reagents, such as yield losses, material usages, spending and capacity variances. Cost of service revenue is recognized in the period the related revenue is recognized.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cost of service revenue and related service margin may fluctuate depending on the variability in material and labor costs of servicing.</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Cost of collaboration and other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of collaboration and other revenue consists primarily of personnel-related costs and other direct costs related to collaboration and other revenue.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R&amp;D expenses consist primarily of personnel-related costs related to enhancing our technologies and supporting development and commercialization of new and existing products and services. R&amp;D expenses also consist of laboratory supply costs, clinical study costs, consulting fees, and other allocated overhead expenses. We plan to continue to invest significantly in our R&amp;D efforts, including hiring additional employees, with an expected focus on advancing our proteomics products and services. As a result, we expect R&amp;D expenses will increase in absolute dollars in future periods and vary from period to period as a percentage of revenue.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Selling, General, and Administrative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SG&amp;A expenses consist primarily of personnel costs for our sales and marketing, business development, finance, legal, human resources, information technology and general management teams, as well as professional services, including legal and accounting services.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Restructuring and Related Charges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Restructuring and related charges primarily consist of severance costs related to our recent reduction-in-force and facilities costs for floors we have subleased or have the intent to sublease (net of sublease income) under our facility lease in South San Francisco. These costs, including a reduction in force, are incurred to improve operational efficiency, achieve cost savings and align our workforce to the future needs of the business. In addition to the reduction in force, we are reducing leased office space, optimizing our manufacturing footprint and streamlining support functions.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Transaction and Integration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Transaction and integration expenses consist of costs incurred in connection with acquisition-related activities, including legal, advisory, accounting and other transaction-related costs including integration costs.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Bargain Purchase Gain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Bargain purchase gain represents the excess of fair value of the assets acquired and liabilities assumed over the fair value of the consideration transferred in connection with the Merger with SomaLogic. We determined that the bargain purchase gain was primarily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attributable to a rapid decline in our stock price in the days following the announcement of the Merger, which persisted through the Closing Date.</w:t>
      </w:r>
    </w:p>
    <w:p>
      <w:pPr>
        <w:pStyle w:val="TextBody"/>
        <w:bidi w:val="0"/>
        <w:spacing w:before="360" w:after="283"/>
        <w:jc w:val="left"/>
        <w:rPr>
          <w:rFonts w:ascii="Times New Roman" w:hAnsi="Times New Roman"/>
          <w:b/>
          <w:color w:val="000000"/>
          <w:sz w:val="20"/>
        </w:rPr>
      </w:pPr>
      <w:bookmarkStart w:id="17" w:name="section29"/>
      <w:bookmarkEnd w:id="17"/>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our unaudited condensed consolidated statements of operations and as a percentage of total revenue for the three months ended March 31, 2025 and 2024 ($ in thousands):</w:t>
      </w:r>
    </w:p>
    <w:p>
      <w:pPr>
        <w:pStyle w:val="TextBody"/>
        <w:bidi w:val="0"/>
        <w:jc w:val="left"/>
        <w:rPr/>
      </w:pPr>
      <w:r>
        <w:rPr/>
        <w:t> </w:t>
      </w:r>
    </w:p>
    <w:tbl>
      <w:tblPr>
        <w:tblW w:w="7482" w:type="dxa"/>
        <w:jc w:val="left"/>
        <w:tblInd w:w="0" w:type="dxa"/>
        <w:tblLayout w:type="fixed"/>
        <w:tblCellMar>
          <w:top w:w="28" w:type="dxa"/>
          <w:left w:w="28" w:type="dxa"/>
          <w:bottom w:w="28" w:type="dxa"/>
          <w:right w:w="28" w:type="dxa"/>
        </w:tblCellMar>
      </w:tblPr>
      <w:tblGrid>
        <w:gridCol w:w="2931"/>
        <w:gridCol w:w="146"/>
        <w:gridCol w:w="196"/>
        <w:gridCol w:w="661"/>
        <w:gridCol w:w="166"/>
        <w:gridCol w:w="146"/>
        <w:gridCol w:w="146"/>
        <w:gridCol w:w="376"/>
        <w:gridCol w:w="316"/>
        <w:gridCol w:w="146"/>
        <w:gridCol w:w="196"/>
        <w:gridCol w:w="661"/>
        <w:gridCol w:w="166"/>
        <w:gridCol w:w="146"/>
        <w:gridCol w:w="146"/>
        <w:gridCol w:w="436"/>
        <w:gridCol w:w="501"/>
      </w:tblGrid>
      <w:tr>
        <w:trPr/>
        <w:tc>
          <w:tcPr>
            <w:tcW w:w="2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0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Selling, general and</w:t>
              <w:br/>
              <w:t>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Restructuring and related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Transaction and integration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84,370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Bargain purchase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revenue by product type, presented in dollars and as a percentage of total revenue ($ in thousands):</w:t>
      </w:r>
    </w:p>
    <w:p>
      <w:pPr>
        <w:pStyle w:val="TextBody"/>
        <w:bidi w:val="0"/>
        <w:jc w:val="left"/>
        <w:rPr/>
      </w:pPr>
      <w:r>
        <w:rPr/>
        <w:t> </w:t>
      </w:r>
    </w:p>
    <w:tbl>
      <w:tblPr>
        <w:tblW w:w="7657" w:type="dxa"/>
        <w:jc w:val="left"/>
        <w:tblInd w:w="0" w:type="dxa"/>
        <w:tblLayout w:type="fixed"/>
        <w:tblCellMar>
          <w:top w:w="28" w:type="dxa"/>
          <w:left w:w="28" w:type="dxa"/>
          <w:bottom w:w="28" w:type="dxa"/>
          <w:right w:w="28" w:type="dxa"/>
        </w:tblCellMar>
      </w:tblPr>
      <w:tblGrid>
        <w:gridCol w:w="2386"/>
        <w:gridCol w:w="146"/>
        <w:gridCol w:w="249"/>
        <w:gridCol w:w="765"/>
        <w:gridCol w:w="185"/>
        <w:gridCol w:w="185"/>
        <w:gridCol w:w="249"/>
        <w:gridCol w:w="765"/>
        <w:gridCol w:w="146"/>
        <w:gridCol w:w="146"/>
        <w:gridCol w:w="234"/>
        <w:gridCol w:w="681"/>
        <w:gridCol w:w="198"/>
        <w:gridCol w:w="174"/>
        <w:gridCol w:w="174"/>
        <w:gridCol w:w="413"/>
        <w:gridCol w:w="56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Year-over-Year Change</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6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7,778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Consumables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14,454</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(2,853</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22,232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Lab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12,106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Field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5,501</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17,607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Collaboration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956</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40,795</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(4,745</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5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Total revenue decreased by $4.7 million, or 10%, for the three months ended March 31, 2025, compared to the three months ended March 31, 2024. The decline was primarily driven by a $2.9 million, or 16%, decrease in consumables revenue, primarily due to lower sales volume. Lab services revenue declined by $2.8 million, or 19%, primarily due to elevated backlogs at the beginning of the first quarter of 2024, which contributed to higher lab services revenue in the prior-year period. These declines were partially offset by a $1.5 million, or 24%, increase in instruments revenue, primarily driven by higher sales of our Hyperion XTi spatial proteomics platform.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 of Revenue and Gross Profit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revenue, gross profit, and gross margin were as follows ($ in thousands):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pPr>
      <w:r>
        <w:rPr/>
        <w:t> </w:t>
      </w:r>
    </w:p>
    <w:tbl>
      <w:tblPr>
        <w:tblW w:w="8555" w:type="dxa"/>
        <w:jc w:val="left"/>
        <w:tblInd w:w="0" w:type="dxa"/>
        <w:tblLayout w:type="fixed"/>
        <w:tblCellMar>
          <w:top w:w="28" w:type="dxa"/>
          <w:left w:w="28" w:type="dxa"/>
          <w:bottom w:w="28" w:type="dxa"/>
          <w:right w:w="28" w:type="dxa"/>
        </w:tblCellMar>
      </w:tblPr>
      <w:tblGrid>
        <w:gridCol w:w="3346"/>
        <w:gridCol w:w="146"/>
        <w:gridCol w:w="231"/>
        <w:gridCol w:w="740"/>
        <w:gridCol w:w="296"/>
        <w:gridCol w:w="159"/>
        <w:gridCol w:w="231"/>
        <w:gridCol w:w="740"/>
        <w:gridCol w:w="271"/>
        <w:gridCol w:w="146"/>
        <w:gridCol w:w="230"/>
        <w:gridCol w:w="687"/>
        <w:gridCol w:w="180"/>
        <w:gridCol w:w="159"/>
        <w:gridCol w:w="159"/>
        <w:gridCol w:w="458"/>
        <w:gridCol w:w="376"/>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Year-over-Year Change</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8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10,730</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10,302</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collaboration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21,054</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19,741</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(4,447</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Gross profit decreased by $4.4 million, or 18%, for the three months ended March 31, 2025 compared to the three months ended March 31, 2024. The decrease in gross profit was primarily driven by the decline in revenues during the current period. Gross margins decreased primarily as a result of lower sales volume and lower price realization.</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expenses were as follows ($ in thousands):</w:t>
      </w:r>
    </w:p>
    <w:p>
      <w:pPr>
        <w:pStyle w:val="TextBody"/>
        <w:bidi w:val="0"/>
        <w:jc w:val="left"/>
        <w:rPr/>
      </w:pPr>
      <w:r>
        <w:rPr/>
        <w:t> </w:t>
      </w:r>
    </w:p>
    <w:tbl>
      <w:tblPr>
        <w:tblW w:w="8236" w:type="dxa"/>
        <w:jc w:val="left"/>
        <w:tblInd w:w="0" w:type="dxa"/>
        <w:tblLayout w:type="fixed"/>
        <w:tblCellMar>
          <w:top w:w="28" w:type="dxa"/>
          <w:left w:w="28" w:type="dxa"/>
          <w:bottom w:w="28" w:type="dxa"/>
          <w:right w:w="28" w:type="dxa"/>
        </w:tblCellMar>
      </w:tblPr>
      <w:tblGrid>
        <w:gridCol w:w="3151"/>
        <w:gridCol w:w="146"/>
        <w:gridCol w:w="245"/>
        <w:gridCol w:w="785"/>
        <w:gridCol w:w="169"/>
        <w:gridCol w:w="169"/>
        <w:gridCol w:w="245"/>
        <w:gridCol w:w="785"/>
        <w:gridCol w:w="146"/>
        <w:gridCol w:w="146"/>
        <w:gridCol w:w="222"/>
        <w:gridCol w:w="775"/>
        <w:gridCol w:w="174"/>
        <w:gridCol w:w="153"/>
        <w:gridCol w:w="153"/>
        <w:gridCol w:w="396"/>
        <w:gridCol w:w="376"/>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Year-over-Year Change</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7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9"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(4,652</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38,707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related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and integration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(16,039</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52,711</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(31,659</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R&amp;D expense decreased by $4.7 million, or 29%, for the three months ended March 31, 2025, compared to the three months ended March 31, 2024. The decrease was primarily driven by a reduction in employee headcount as a result of restructuring activities undertaken during 2024. Additionally, R&amp;D expense decreased due to reduced investment in certain long-term instrument projects.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Selling, 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SG&amp;A expense decreased by $8.2 million, or 18%, for the three months ended March 31, 2025 compared to the three months ended March 31, 2024. The decrease was primarily caused by a reduction in employee headcount as a result of restructuring activities undertaken during 2024.</w:t>
      </w:r>
    </w:p>
    <w:p>
      <w:pPr>
        <w:pStyle w:val="TextBody"/>
        <w:bidi w:val="0"/>
        <w:spacing w:before="360" w:after="283"/>
        <w:jc w:val="left"/>
        <w:rPr>
          <w:rFonts w:ascii="Times New Roman" w:hAnsi="Times New Roman"/>
          <w:b/>
          <w:i/>
          <w:color w:val="242424"/>
          <w:sz w:val="20"/>
        </w:rPr>
      </w:pPr>
      <w:r>
        <w:rPr>
          <w:rFonts w:ascii="Times New Roman" w:hAnsi="Times New Roman"/>
          <w:b/>
          <w:i/>
          <w:color w:val="242424"/>
          <w:sz w:val="20"/>
        </w:rPr>
        <w:t>Restructuring and Related Charges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Restructuring and related charges consisted of the following (in thousands):</w:t>
      </w:r>
    </w:p>
    <w:p>
      <w:pPr>
        <w:pStyle w:val="TextBody"/>
        <w:bidi w:val="0"/>
        <w:jc w:val="left"/>
        <w:rPr/>
      </w:pPr>
      <w:r>
        <w:rPr/>
        <w:t> </w:t>
      </w:r>
    </w:p>
    <w:tbl>
      <w:tblPr>
        <w:tblW w:w="8519" w:type="dxa"/>
        <w:jc w:val="left"/>
        <w:tblInd w:w="0" w:type="dxa"/>
        <w:tblLayout w:type="fixed"/>
        <w:tblCellMar>
          <w:top w:w="28" w:type="dxa"/>
          <w:left w:w="28" w:type="dxa"/>
          <w:bottom w:w="28" w:type="dxa"/>
          <w:right w:w="28" w:type="dxa"/>
        </w:tblCellMar>
      </w:tblPr>
      <w:tblGrid>
        <w:gridCol w:w="3436"/>
        <w:gridCol w:w="146"/>
        <w:gridCol w:w="272"/>
        <w:gridCol w:w="738"/>
        <w:gridCol w:w="188"/>
        <w:gridCol w:w="188"/>
        <w:gridCol w:w="272"/>
        <w:gridCol w:w="738"/>
        <w:gridCol w:w="146"/>
        <w:gridCol w:w="146"/>
        <w:gridCol w:w="236"/>
        <w:gridCol w:w="706"/>
        <w:gridCol w:w="185"/>
        <w:gridCol w:w="163"/>
        <w:gridCol w:w="163"/>
        <w:gridCol w:w="420"/>
        <w:gridCol w:w="376"/>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Year-over-Year Change</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8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3"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Severance and other termination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restructuring and related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Restructuring and related charges decreased by $2.7 million, or 64%, for the three months ended March 31, 2025 compared to the three months ended March 31, 2024, as restructuring activities stemming from the Merger, were completed in 2024. </w:t>
      </w:r>
    </w:p>
    <w:p>
      <w:pPr>
        <w:pStyle w:val="TextBody"/>
        <w:bidi w:val="0"/>
        <w:spacing w:before="360" w:after="283"/>
        <w:jc w:val="left"/>
        <w:rPr>
          <w:rFonts w:ascii="Times New Roman" w:hAnsi="Times New Roman"/>
          <w:b/>
          <w:i/>
          <w:color w:val="242424"/>
          <w:sz w:val="20"/>
        </w:rPr>
      </w:pPr>
      <w:r>
        <w:rPr>
          <w:rFonts w:ascii="Times New Roman" w:hAnsi="Times New Roman"/>
          <w:b/>
          <w:i/>
          <w:color w:val="242424"/>
          <w:sz w:val="20"/>
        </w:rPr>
        <w:t>Transaction and Integration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Transaction and integration expenses decreased by $16.0 million, or 93%, for the three months ended March 31, 2025 compared to the three months ended March 31, 2024. The decrease was due significant legal, advisory, accounting, and integration expenses incurred in connection with the Merger during the three months ended March 31, 2024, the majority of which were one-time in nature. During the three months ended March 31, 2025, the Company primarily incurred residual integration costs resulting from the Merger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acquisition of Sengenics. The Company expects to incur additional transaction and integration expenses in connection with future transactions.</w:t>
      </w:r>
    </w:p>
    <w:p>
      <w:pPr>
        <w:pStyle w:val="TextBody"/>
        <w:bidi w:val="0"/>
        <w:spacing w:before="360" w:after="283"/>
        <w:jc w:val="left"/>
        <w:rPr>
          <w:rFonts w:ascii="Times New Roman" w:hAnsi="Times New Roman"/>
          <w:b/>
          <w:i/>
          <w:color w:val="242424"/>
          <w:sz w:val="20"/>
        </w:rPr>
      </w:pPr>
      <w:r>
        <w:rPr>
          <w:rFonts w:ascii="Times New Roman" w:hAnsi="Times New Roman"/>
          <w:b/>
          <w:i/>
          <w:color w:val="242424"/>
          <w:sz w:val="20"/>
        </w:rPr>
        <w:t>Bargain purchase gain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Bargain purchase gain decreased by $25.2 million, or 100%, for the three months ended March 31, 2025 compared to the three months ended March 31, 2024. The bargain purchase gain recognized during the three months ended March 31, 2024 was due to the consummation of the Merger, which resulted in the fair value of assets acquired and liabilities assumed exceeding the fair value of the consideration transferred due to a decline in our stock price following the announcement of the Merger. The Company did not recognize any gains on bargain purchases of businesses during the three months ended March 31, 2025.</w:t>
      </w:r>
    </w:p>
    <w:p>
      <w:pPr>
        <w:pStyle w:val="TextBody"/>
        <w:bidi w:val="0"/>
        <w:spacing w:before="360" w:after="283"/>
        <w:jc w:val="left"/>
        <w:rPr>
          <w:rFonts w:ascii="Times New Roman" w:hAnsi="Times New Roman"/>
          <w:b/>
          <w:i/>
          <w:color w:val="242424"/>
          <w:sz w:val="20"/>
        </w:rPr>
      </w:pPr>
      <w:r>
        <w:rPr>
          <w:rFonts w:ascii="Times New Roman" w:hAnsi="Times New Roman"/>
          <w:b/>
          <w:i/>
          <w:color w:val="242424"/>
          <w:sz w:val="20"/>
        </w:rPr>
        <w:t>Interest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income decreased by $3.3 million, or 53%, for the three months ended March 31, 2025 compared the three months ended March 31, 2024. The decrease was primarily due to a decrease in the interest earned on balances of money market funds and short-term investments. The interest earned on money market funds and short-term investments decreased due to lower account balances during the three months ended March 31, 2025.</w:t>
      </w:r>
    </w:p>
    <w:p>
      <w:pPr>
        <w:pStyle w:val="TextBody"/>
        <w:bidi w:val="0"/>
        <w:spacing w:before="360" w:after="283"/>
        <w:jc w:val="left"/>
        <w:rPr>
          <w:rFonts w:ascii="Times New Roman" w:hAnsi="Times New Roman"/>
          <w:b/>
          <w:i/>
          <w:color w:val="242424"/>
          <w:sz w:val="20"/>
        </w:rPr>
      </w:pPr>
      <w:r>
        <w:rPr>
          <w:rFonts w:ascii="Times New Roman" w:hAnsi="Times New Roman"/>
          <w:b/>
          <w:i/>
          <w:color w:val="242424"/>
          <w:sz w:val="20"/>
        </w:rPr>
        <w:t>Interest Expense</w:t>
      </w:r>
    </w:p>
    <w:p>
      <w:pPr>
        <w:pStyle w:val="TextBody"/>
        <w:bidi w:val="0"/>
        <w:spacing w:before="240" w:after="283"/>
        <w:jc w:val="left"/>
        <w:rPr>
          <w:rFonts w:ascii="Times New Roman" w:hAnsi="Times New Roman"/>
          <w:sz w:val="20"/>
        </w:rPr>
      </w:pPr>
      <w:r>
        <w:rPr>
          <w:rFonts w:ascii="Times New Roman" w:hAnsi="Times New Roman"/>
          <w:color w:val="000000"/>
          <w:sz w:val="20"/>
        </w:rPr>
        <w:t>Interest expense decreased by $1.0 million, or 99%, for the three months ended March 31, 2025 compared to the three months ended March 31, 2024.</w:t>
      </w:r>
      <w:r>
        <w:rPr>
          <w:rFonts w:ascii="Times New Roman" w:hAnsi="Times New Roman"/>
          <w:color w:val="242424"/>
          <w:sz w:val="20"/>
        </w:rPr>
        <w:t xml:space="preserve"> During 2024, the Company fully repaid its outstanding term loan facility, as well as the balance on convertible notes issued during 2019. As a result, the Company had no material debt outstanding during the three months ended March 31, 2025, which resulted in negligible interest expense for the period.</w:t>
      </w:r>
    </w:p>
    <w:p>
      <w:pPr>
        <w:pStyle w:val="TextBody"/>
        <w:bidi w:val="0"/>
        <w:spacing w:before="360" w:after="283"/>
        <w:jc w:val="left"/>
        <w:rPr>
          <w:rFonts w:ascii="Times New Roman" w:hAnsi="Times New Roman"/>
          <w:b/>
          <w:i/>
          <w:color w:val="242424"/>
          <w:sz w:val="20"/>
        </w:rPr>
      </w:pPr>
      <w:r>
        <w:rPr>
          <w:rFonts w:ascii="Times New Roman" w:hAnsi="Times New Roman"/>
          <w:b/>
          <w:i/>
          <w:color w:val="242424"/>
          <w:sz w:val="20"/>
        </w:rPr>
        <w:t>Other Income (Expense), net</w:t>
      </w:r>
    </w:p>
    <w:p>
      <w:pPr>
        <w:pStyle w:val="TextBody"/>
        <w:bidi w:val="0"/>
        <w:spacing w:before="240" w:after="283"/>
        <w:jc w:val="left"/>
        <w:rPr>
          <w:rFonts w:ascii="Times New Roman" w:hAnsi="Times New Roman"/>
          <w:sz w:val="20"/>
        </w:rPr>
      </w:pPr>
      <w:r>
        <w:rPr>
          <w:rFonts w:ascii="Times New Roman" w:hAnsi="Times New Roman"/>
          <w:color w:val="000000"/>
          <w:sz w:val="20"/>
        </w:rPr>
        <w:t>Other income (expense), net increased by $6.1 million for the three months ended March 31, 2025 compared to the three months ended March 31, 2024.</w:t>
      </w:r>
      <w:r>
        <w:rPr>
          <w:rFonts w:ascii="Times New Roman" w:hAnsi="Times New Roman"/>
          <w:color w:val="242424"/>
          <w:sz w:val="20"/>
        </w:rPr>
        <w:t xml:space="preserve"> The increase was primarily driven by a decrease in the fair value of our contingent consideration liability, which resulted in a $3.4 million gain. The increase was further driven by more favorable impacts from foreign currency transactions for the three months ended March 31, 2025 compared to the prior-year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recorded an income tax benefit of $0.2 million and income tax expense of $0.1 million in the three months ended March 31, 2025 and 2024, respectively. The decrease in our tax provision reflects the effect of our foreign operations, which reported lower pre-tax income in the three months ended March 31, 2025 compared to the same period in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effective tax rates for both periods differ from the 21% U.S. Federal statutory tax rate primarily due to valuation allowances recorded against deferred tax assets on domestic losses and the tax rate differences between the United States and foreign countries.</w:t>
      </w:r>
    </w:p>
    <w:p>
      <w:pPr>
        <w:pStyle w:val="TextBody"/>
        <w:bidi w:val="0"/>
        <w:spacing w:before="360" w:after="283"/>
        <w:jc w:val="left"/>
        <w:rPr>
          <w:rFonts w:ascii="Times New Roman" w:hAnsi="Times New Roman"/>
          <w:b/>
          <w:color w:val="000000"/>
          <w:sz w:val="20"/>
        </w:rPr>
      </w:pPr>
      <w:bookmarkStart w:id="18" w:name="section30"/>
      <w:bookmarkEnd w:id="18"/>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experienced operating losses since inception and have an accumulated deficit of $1,211.7 million as of March 31, 2025. To date, we have funded our operating losses primarily through equity offerings, term loans, convertible notes and redeemable preferred stock. Our ability to fund future operations and meet debt covenant requirements will depend upon our level of future revenue and operating cash flow and our ability to access additional funding through either equity offerings, issuances of debt instruments or both.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liquidity and capital requirements depend upon many factors, including market acceptance of our products and services; effectiveness of our business improvement initiatives and restructuring programs; costs of supporting sales growth, product quality, R&amp;D and capital expenditures, including our enterprise resource planning upgrade; and costs and timing of acquiring other businesses, assets or technologies.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continually evaluate our liquidity requirements considering our operating needs, growth initiatives and capital resources. We expect that our existing liquidity and sources of capital will be sufficient to support our operations for at least the next 12 months from the filing date of this Quarterly Report on Form 10-Q.</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sources of liquidity are cash, cash equivalents and short-term investments. Our collective balances of cash, cash equivalents and short-term investments were $258.1 million and $292.9 million at March 31, 2025 and December 31, 2024,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Capital Resources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arrangements that serve as sources of capital and the associated contractual agreements may result in firm or contingent obligations of us. In addition to our common stockholders’ equity, our sources of capital have historically included debt and operating leases. Our operating lease arrangements require cash repayment, and our convertible debt contains rights that may result in their conversion to our common stock prior to maturity. However, as of March 31, 2025, we have fully repaid all traditional debt obligations and no longer maintain access to credit facilities. Accordingly, our ongoing sources of capital are primarily limited to equity and cash generated from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enter into contractual and legally binding commitments to purchase goods. Most of these contracts are cancellable with little or no notice or penalty. However, once a vendor has incurred costs to fulfill a contract with us, and which costs cannot be otherwise deployed, we are liable for those costs upon cancellation.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Merger, we assumed a purchase commitment of $6.9 million to IDT. Under the contract manufacturing agreement with IDT, we are required to spend $2.3 million per year for three years. We entered into a similar agreement with LGC in 2024, under which we are required to make annual purchases of $1.0 million for two years, resulting in a purchase obligation of $2.0 million. As of March 31, 2025, the remaining outstanding purchase commitment related to these agreements totaled $8.9 million.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 Activity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cash flow summary was as follows ($ in thousands):</w:t>
      </w:r>
    </w:p>
    <w:p>
      <w:pPr>
        <w:pStyle w:val="TextBody"/>
        <w:bidi w:val="0"/>
        <w:jc w:val="left"/>
        <w:rPr/>
      </w:pPr>
      <w:r>
        <w:rPr/>
        <w:t> </w:t>
      </w:r>
    </w:p>
    <w:tbl>
      <w:tblPr>
        <w:tblW w:w="8323" w:type="dxa"/>
        <w:jc w:val="left"/>
        <w:tblInd w:w="0" w:type="dxa"/>
        <w:tblLayout w:type="fixed"/>
        <w:tblCellMar>
          <w:top w:w="28" w:type="dxa"/>
          <w:left w:w="28" w:type="dxa"/>
          <w:bottom w:w="28" w:type="dxa"/>
          <w:right w:w="28" w:type="dxa"/>
        </w:tblCellMar>
      </w:tblPr>
      <w:tblGrid>
        <w:gridCol w:w="5566"/>
        <w:gridCol w:w="146"/>
        <w:gridCol w:w="225"/>
        <w:gridCol w:w="785"/>
        <w:gridCol w:w="177"/>
        <w:gridCol w:w="155"/>
        <w:gridCol w:w="225"/>
        <w:gridCol w:w="833"/>
        <w:gridCol w:w="21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 summary: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 fluctuations on cash</w:t>
              <w:br/>
              <w:t>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(15,347</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235,845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derive cash flows from operations primarily by collecting amounts due from sales of our products and services, and fees earned under our product development and license agreements. Our cash flows from operating activities are also significantly influenced by our use of cash for operating expenses and working capital to support the business. We have historically experienced negative cash flows from operating activities as we have expanded our business and built our infrastructure, domestically and internationally.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three months ended March 31, 2025, we used $19.7 million of net proceeds from the sales and maturities of short-term investments to help fund $30.3 million of net cash used in operating activities. We did not repurchase any common stock or repay and debt during the three months ended March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three months ended March 31, 2024, we used $38.8 million of net proceeds from the sales and maturities of short-term investments to help fund $62.5 million of net cash used in operating activities, $11.1 million of common stock repurchases under the 2024 Stock Repurchase Program, and $8.2 million of repayments on our term loan facility and convertible notes issued in 2014.</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decreased by $32.2 million for the three months ended March 31, 2025 compared to the same period in 2024. The decrease in cash use is due to a decrease in operating expenses for the three months ended March 31, 2025 compared to the same period in 2024, resulting from the completion of restructuring activities during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was $14.6 million for the three months ended March 31, 2025, compared to $318.1 million for the same period in 2024. The activity for the three months ended March 31, 2025 is primarily due to $19.7 million of proceeds from sales and maturities of short-term investments, net of purchases. In contrast, the net cash provided for the three months ended March 31, 2024 reflects $280.0 million of cash acquired in the Merger, along with $38.8 million of proceeds from sales and maturities of short-term investments, net of purchases.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financing activities was less than $0.1 million for the three months ended March 31, 2025 compared to $19.7 million for the three months ended March 31, 2024. During the three months ended March 31, 2024, we executed $11.1 million of common share repurchases under the 2024 Stock Repurchase Program and made $8.2 million of payments on the Company's term loan and convertible notes issued in 2014. We did not repurchase any common shares or repay any debt during the three months ended March 31, 2025.</w:t>
      </w:r>
    </w:p>
    <w:p>
      <w:pPr>
        <w:pStyle w:val="TextBody"/>
        <w:bidi w:val="0"/>
        <w:spacing w:before="360" w:after="283"/>
        <w:jc w:val="left"/>
        <w:rPr>
          <w:rFonts w:ascii="Times New Roman" w:hAnsi="Times New Roman"/>
          <w:b/>
          <w:color w:val="000000"/>
          <w:sz w:val="20"/>
        </w:rPr>
      </w:pPr>
      <w:bookmarkStart w:id="19" w:name="section31"/>
      <w:bookmarkEnd w:id="19"/>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Management’s discussion and analysis of our financial condition and results of operations are based on our unaudited condensed consolidated financial statements and related notes, which have been prepared in accordance with accounting principles generally accepted in the United States. The preparation of these financial statements requires the use of estimates and assumptions to determine the value of the assets, liabilities, revenues and expenses reported on the condensed consolidated balance sheets and statements of operations. We develop these estimates after considering historical transactions, the current economic environment and various other assumptions considered reasonable under the circumstances. Actual results may differ materially from these estimates and judgments. Accounts that rely heavily on estimated information to determine their values include revenue, trade receivables, inventories, right-of-use assets, goodwill, long-lived intangible assets, lease liabilities and income tax liabilities (assets). Refer to Item 7 in our Annual Report for additional information regarding our critical accounting policies and estimates.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Goodwill and Long-Lived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Goodwill represents the excess of the purchase price of an acquired entity over the fair value of the net assets acquired and liabilities assumed in a business combination. We assess goodwill at the reporting unit level on an annual basis during the fourth quarter, or more frequently if events or changes in circumstances suggest that goodwill impairment exists. A significant amount of judgment is involved in determining if an indicator of impairment exists.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those reporting units where events or change in circumstances indicate that potential impairment indicators exist, we perform a quantitative assessment to determine whether the carrying value of goodwill can be recovered. When performing the annual goodwill impairment test, we may start with an optional qualitative assessment. As part of the qualitative assessment, we evaluate all events and circumstances, including both positive and negative events, in their totality, to determine whether it is more likely than not that the fair value of a reporting unit is less than its carrying amount. If we bypass the qualitative assessment, or if the qualitative assessment indicates that a quantitative analysis should be performed, we perform a quantitative assessment to estimate the fair value of each reporting unit and compare the fair value of each reporting unit to its carrying value. We generally estimate a reporting unit's fair value using a discounted cash flow approach which is dependent on several significant estimates and assumptions related to forecasts of future revenues, cost of sales, expenses and the weighted average cost of capital for each reporting unit. If the carrying amount of a reporting unit exceeds the estimated fair value, an impairment charge is recorded to reduce the carrying value to the estimated fair value. The impairment of goodwill is limited to the total amount of goodwill allocated to the reporting unit. Any adverse changes in the significant estimates and assumptions used in our goodwill impairment test could have a significant impact on our goodwill impairment analyses and could have a material impact on our consolidated financial statements.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most recent assessment in the first quarter of 2025 did not indicate existence of impairment. However, during the first quarter of 2025, the price per share of our common stock has declined substantially. Management will continue to monitor our market capitalization relative to our net book value, and if our stock price does not increase, we may be required to perform additional impairment analyses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pPr>
      <w:r>
        <w:rPr>
          <w:rFonts w:ascii="Times New Roman" w:hAnsi="Times New Roman"/>
          <w:color w:val="000000"/>
          <w:sz w:val="20"/>
        </w:rPr>
        <w:t xml:space="preserve">for our reporting unit and could be required to recognize a non-cash goodwill impairment charge in the near future. Refer to </w:t>
      </w:r>
      <w:hyperlink w:anchor="note_4">
        <w:r>
          <w:rPr>
            <w:rStyle w:val="InternetLink"/>
            <w:rFonts w:ascii="Times New Roman" w:hAnsi="Times New Roman"/>
            <w:color w:val="0000FF"/>
            <w:sz w:val="20"/>
            <w:u w:val="single"/>
          </w:rPr>
          <w:t>Note 4</w:t>
        </w:r>
      </w:hyperlink>
      <w:r>
        <w:rPr>
          <w:rFonts w:ascii="Times New Roman" w:hAnsi="Times New Roman"/>
          <w:color w:val="000000"/>
          <w:sz w:val="20"/>
        </w:rPr>
        <w:t xml:space="preserve"> to our accompanying unaudited financial statements appearing elsewhere in this Quarterly Report on Form 10-Q for additional information on goodwill and long-lived assets.</w:t>
      </w:r>
    </w:p>
    <w:p>
      <w:pPr>
        <w:pStyle w:val="TextBody"/>
        <w:bidi w:val="0"/>
        <w:spacing w:before="240" w:after="283"/>
        <w:jc w:val="left"/>
        <w:rPr/>
      </w:pPr>
      <w:r>
        <w:rPr>
          <w:rFonts w:ascii="Times New Roman" w:hAnsi="Times New Roman"/>
          <w:color w:val="000000"/>
          <w:sz w:val="20"/>
        </w:rPr>
        <w:t xml:space="preserve">There have been no significant changes to our significant accounting policies described in our Annual Report, other than as disclosed in </w:t>
      </w:r>
      <w:hyperlink w:anchor="note_1">
        <w:r>
          <w:rPr>
            <w:rStyle w:val="InternetLink"/>
            <w:rFonts w:ascii="Times New Roman" w:hAnsi="Times New Roman"/>
            <w:color w:val="0000FF"/>
            <w:sz w:val="20"/>
            <w:u w:val="single"/>
          </w:rPr>
          <w:t>Note 1</w:t>
        </w:r>
      </w:hyperlink>
      <w:r>
        <w:rPr>
          <w:rFonts w:ascii="Times New Roman" w:hAnsi="Times New Roman"/>
          <w:color w:val="000000"/>
          <w:sz w:val="20"/>
        </w:rPr>
        <w:t xml:space="preserve"> to our accompanying financial statements appearing elsewhere in this Quarterly Report on Form 10-Q.</w:t>
      </w:r>
    </w:p>
    <w:p>
      <w:pPr>
        <w:pStyle w:val="TextBody"/>
        <w:bidi w:val="0"/>
        <w:spacing w:before="360" w:after="283"/>
        <w:jc w:val="left"/>
        <w:rPr>
          <w:rFonts w:ascii="Times New Roman" w:hAnsi="Times New Roman"/>
          <w:b/>
          <w:color w:val="000000"/>
          <w:sz w:val="20"/>
        </w:rPr>
      </w:pPr>
      <w:bookmarkStart w:id="20" w:name="section32"/>
      <w:bookmarkEnd w:id="20"/>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standards are issued by FASB or other standard setting bodies and adopted by us as of the specified effective date. Unless otherwise discussed, the impact of recently issued standards that are not yet effective will not have a material impact on our financial position or results of operations upon adoption.</w:t>
      </w:r>
    </w:p>
    <w:p>
      <w:pPr>
        <w:pStyle w:val="TextBody"/>
        <w:bidi w:val="0"/>
        <w:spacing w:before="360" w:after="283"/>
        <w:jc w:val="left"/>
        <w:rPr>
          <w:rFonts w:ascii="Times New Roman" w:hAnsi="Times New Roman"/>
          <w:b/>
          <w:color w:val="000000"/>
          <w:sz w:val="20"/>
        </w:rPr>
      </w:pPr>
      <w:bookmarkStart w:id="21" w:name="item_3_quantitative_and_qualitative"/>
      <w:bookmarkEnd w:id="21"/>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risk represents the risk of loss that may impact our financial position due to adverse changes in financial market prices and rates. Our market risk exposure is primarily the result of fluctuations in interest rates and foreign exchange rates, as well as, to a lesser extent, inflation and capital market risk.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interest rate risk in the ordinary course of our business. Our cash and cash equivalents are comprised of funds held in checking accounts and money market accounts.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our operations outside of the United States, we are exposed to market risk related to changes in foreign currency exchange rates. Historically, we have not hedged our foreign currency exposure. Changes in the relative values of currencies occur regularly and, in some instances, could materially adversely affect our business, our financial conditions, our results of operations or our cash flows. For the three months ended March 31, 2025 and 2024, changes in foreign currency exchange rates did not have a material impact on our historical financial position, our business, our financial condition, our results of operations or our cash flows.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Inflation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believe that inflation had a material effect on our business, financial condition, results of operations or cash flows in the last two years. If global inflation trends continue, we expect appreciable increases in labor and other operating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Capital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our revenue from the sale of products and services and from collaborative arrangements, license agreements, grants, and royalties, but we may in the future raise funds through other sources. One possible source of funding is through further securities offerings. Our ability to raise funds in this manner depends upon capital market forces affecting our stock price among other things.</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2" w:name="item4_controls_and_procedures"/>
      <w:bookmarkEnd w:id="22"/>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of our CEO and our Chief Financial Officer (“CFO”), evaluated the effectiveness of our disclosure controls and procedures as of March 31,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2025, our CEO and CFO concluded that, as of such date, our disclosure controls and procedures were effective at the reasonable assurance level.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2025, we implemented a new enterprise resource planning system which constituted a change in the Company’s internal control over financial reporting. Management is taking appropriate steps to test and validate the design and operational effectiveness of the controls associated with the new system. There have been no other changes in our internal control over financial reporting that occurred during the three months ended March 31, 2025 that have materially affected, or are reasonably likely to materially affect, our internal control over financial reporting.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Limitations on the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bookmarkStart w:id="23" w:name="part_ii_other_information"/>
      <w:bookmarkEnd w:id="23"/>
      <w:r>
        <w:rPr>
          <w:rFonts w:ascii="Times New Roman" w:hAnsi="Times New Roman"/>
          <w:b/>
          <w:color w:val="000000"/>
          <w:sz w:val="20"/>
        </w:rPr>
        <w:t>PART II. OTHER INFORMATION</w:t>
      </w:r>
    </w:p>
    <w:p>
      <w:pPr>
        <w:pStyle w:val="TextBody"/>
        <w:bidi w:val="0"/>
        <w:spacing w:before="240" w:after="283"/>
        <w:jc w:val="left"/>
        <w:rPr>
          <w:rFonts w:ascii="Times New Roman" w:hAnsi="Times New Roman"/>
          <w:b/>
          <w:color w:val="000000"/>
          <w:sz w:val="20"/>
        </w:rPr>
      </w:pPr>
      <w:bookmarkStart w:id="24" w:name="item_1_legal_proceeding"/>
      <w:bookmarkEnd w:id="24"/>
      <w:r>
        <w:rPr>
          <w:rFonts w:ascii="Times New Roman" w:hAnsi="Times New Roman"/>
          <w:b/>
          <w:color w:val="000000"/>
          <w:sz w:val="20"/>
        </w:rPr>
        <w:t>Item 1. Legal Proceedings</w:t>
      </w:r>
    </w:p>
    <w:p>
      <w:pPr>
        <w:pStyle w:val="TextBody"/>
        <w:bidi w:val="0"/>
        <w:spacing w:before="120" w:after="283"/>
        <w:jc w:val="left"/>
        <w:rPr/>
      </w:pPr>
      <w:r>
        <w:rPr>
          <w:rFonts w:ascii="Times New Roman" w:hAnsi="Times New Roman"/>
          <w:color w:val="000000"/>
          <w:sz w:val="20"/>
        </w:rPr>
        <w:t xml:space="preserve">Information with respect to certain legal proceedings is included in </w:t>
      </w:r>
      <w:hyperlink w:anchor="note_8">
        <w:r>
          <w:rPr>
            <w:rStyle w:val="InternetLink"/>
            <w:rFonts w:ascii="Times New Roman" w:hAnsi="Times New Roman"/>
            <w:color w:val="0000FF"/>
            <w:sz w:val="20"/>
            <w:u w:val="single"/>
          </w:rPr>
          <w:t>Note 6</w:t>
        </w:r>
      </w:hyperlink>
      <w:r>
        <w:rPr>
          <w:rFonts w:ascii="Times New Roman" w:hAnsi="Times New Roman"/>
          <w:color w:val="000000"/>
          <w:sz w:val="20"/>
        </w:rPr>
        <w:t xml:space="preserve"> to our accompanying financial statements appearing elsewhere in this Quarterly Report on Form 10-Q.</w:t>
      </w:r>
    </w:p>
    <w:p>
      <w:pPr>
        <w:pStyle w:val="TextBody"/>
        <w:bidi w:val="0"/>
        <w:spacing w:before="360" w:after="283"/>
        <w:jc w:val="left"/>
        <w:rPr>
          <w:rFonts w:ascii="Times New Roman" w:hAnsi="Times New Roman"/>
          <w:b/>
          <w:color w:val="000000"/>
          <w:sz w:val="20"/>
        </w:rPr>
      </w:pPr>
      <w:bookmarkStart w:id="25" w:name="item_1a_riskfactors"/>
      <w:bookmarkEnd w:id="25"/>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a rapidly changing environment that involves numerous uncertainties and risks. You should carefully consider the risk factors discussed in Part I Item 1A “Risk Factors” in our Annual Report, which could materially affect our business, financial condition or results of operations. The risks in our Annual Report are not the only ones we face. Our business is also subject to the risks that affect many other companies, such as employee relations, general economic conditions, global geopolitical events and international operations. Further, additional risks not currently known to us or that we currently believe are immaterial may in the future materially and adversely affect our business, operations, liquidity and stock price. If any of these risks occur, our business, results of operations or financial condition could suffer, the trading price of our securities could decline, and you may lose all or part of your investment.</w:t>
      </w:r>
    </w:p>
    <w:p>
      <w:pPr>
        <w:pStyle w:val="TextBody"/>
        <w:bidi w:val="0"/>
        <w:jc w:val="left"/>
        <w:rPr/>
      </w:pPr>
      <w:r>
        <w:rPr/>
        <w:t> </w:t>
      </w:r>
    </w:p>
    <w:p>
      <w:pPr>
        <w:pStyle w:val="TextBody"/>
        <w:bidi w:val="0"/>
        <w:spacing w:before="360" w:after="283"/>
        <w:jc w:val="left"/>
        <w:rPr>
          <w:rFonts w:ascii="Times New Roman" w:hAnsi="Times New Roman"/>
          <w:sz w:val="20"/>
        </w:rPr>
      </w:pPr>
      <w:bookmarkStart w:id="26" w:name="item_2_unregistered"/>
      <w:bookmarkEnd w:id="26"/>
      <w:r>
        <w:rPr>
          <w:rFonts w:ascii="Times New Roman" w:hAnsi="Times New Roman"/>
          <w:b/>
          <w:color w:val="000000"/>
          <w:sz w:val="20"/>
        </w:rPr>
        <w:t>Item 2. Unregistered</w:t>
      </w:r>
      <w:r>
        <w:rPr>
          <w:rFonts w:ascii="Times New Roman" w:hAnsi="Times New Roman"/>
          <w:color w:val="000000"/>
          <w:sz w:val="20"/>
        </w:rPr>
        <w:t xml:space="preserve"> </w:t>
      </w:r>
      <w:r>
        <w:rPr>
          <w:rFonts w:ascii="Times New Roman" w:hAnsi="Times New Roman"/>
          <w:b/>
          <w:color w:val="000000"/>
          <w:sz w:val="20"/>
        </w:rPr>
        <w:t>Sales of Equity Securities and Use of Proceeds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i/>
          <w:color w:val="212529"/>
          <w:sz w:val="20"/>
        </w:rPr>
      </w:pPr>
      <w:r>
        <w:rPr>
          <w:rFonts w:ascii="Times New Roman" w:hAnsi="Times New Roman"/>
          <w:b/>
          <w:i/>
          <w:color w:val="212529"/>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6, 2024, our board of directors authorized the 2024 Share Repurchase Program pursuant to which we may repurchase up to $50.0 million of shares of our common stock in the open market, in one or more Rule 10b5-1 trading plans, or in negotiated transactions through March 1, 2026. The repurchases are contingent upon favorable market and business conditions and are funded by cash on hand. The program does not obligate us to acquire any specific number of shares. As of March 31, 2025, we have repurchased 15,448,533 shares of our common stock for an aggregate of $40.5 million under the 2024 Share Repurchase Program. We did not purchase any shares of common stock during the three months ended March 31, 2025.</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7" w:name="item_3_defaults_upon_senior_securities"/>
      <w:bookmarkEnd w:id="27"/>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28" w:name="item_4_mine_safety_disclosures"/>
      <w:bookmarkEnd w:id="28"/>
      <w:r>
        <w:rPr>
          <w:rFonts w:ascii="Times New Roman" w:hAnsi="Times New Roman"/>
          <w:b/>
          <w:color w:val="000000"/>
          <w:sz w:val="20"/>
        </w:rPr>
        <w:t>Item 4. Mine</w:t>
      </w:r>
      <w:r>
        <w:rPr>
          <w:rFonts w:ascii="Times New Roman" w:hAnsi="Times New Roman"/>
          <w:color w:val="000000"/>
          <w:sz w:val="20"/>
        </w:rPr>
        <w:t xml:space="preserve"> </w:t>
      </w:r>
      <w:r>
        <w:rPr>
          <w:rFonts w:ascii="Times New Roman" w:hAnsi="Times New Roman"/>
          <w:b/>
          <w:color w:val="000000"/>
          <w:sz w:val="20"/>
        </w:rPr>
        <w:t>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29" w:name="item_5_other_information"/>
      <w:bookmarkEnd w:id="29"/>
      <w:r>
        <w:rPr>
          <w:rFonts w:ascii="Times New Roman" w:hAnsi="Times New Roman"/>
          <w:b/>
          <w:color w:val="000000"/>
          <w:sz w:val="20"/>
        </w:rPr>
        <w:t>Item 5.</w:t>
      </w:r>
      <w:r>
        <w:rPr>
          <w:rFonts w:ascii="Times New Roman" w:hAnsi="Times New Roman"/>
          <w:color w:val="000000"/>
          <w:sz w:val="20"/>
        </w:rPr>
        <w:t xml:space="preserve"> </w:t>
      </w:r>
      <w:r>
        <w:rPr>
          <w:rFonts w:ascii="Times New Roman" w:hAnsi="Times New Roman"/>
          <w:b/>
          <w:color w:val="000000"/>
          <w:sz w:val="20"/>
        </w:rPr>
        <w:t>Other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10b5-1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our officers (as defined in Rule 16a-1(f) of the Exchange Act) and directors may enter into Rule 10b5-1 or non-Rule 10b5-1 trading arrangements (as each such term is defined in Item 408 of Regulation S-K). During the three months ended March 31, 2025, none of our officers or directors adopted, modified or terminated any such trading arrangements.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rFonts w:ascii="Times New Roman" w:hAnsi="Times New Roman"/>
          <w:b/>
          <w:color w:val="000000"/>
          <w:sz w:val="20"/>
        </w:rPr>
      </w:pPr>
      <w:bookmarkStart w:id="30" w:name="item_6_exhibits"/>
      <w:bookmarkEnd w:id="30"/>
      <w:r>
        <w:rPr>
          <w:rFonts w:ascii="Times New Roman" w:hAnsi="Times New Roman"/>
          <w:b/>
          <w:color w:val="000000"/>
          <w:sz w:val="20"/>
        </w:rPr>
        <w:t>Item 6. Exhibits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documents listed in the Exhibit List, which follows below, are incorporated by reference or are filed with this Quarterly Report on Form 10-Q, in each case as indicated therein (numbered in accordance with Item 601 of Regulation S-K).</w:t>
      </w:r>
    </w:p>
    <w:p>
      <w:pPr>
        <w:pStyle w:val="TextBody"/>
        <w:bidi w:val="0"/>
        <w:spacing w:before="240" w:after="283"/>
        <w:jc w:val="center"/>
        <w:rPr>
          <w:rFonts w:ascii="Times New Roman" w:hAnsi="Times New Roman"/>
          <w:b/>
          <w:color w:val="000000"/>
          <w:sz w:val="20"/>
        </w:rPr>
      </w:pPr>
      <w:bookmarkStart w:id="31" w:name="exhibit_list"/>
      <w:bookmarkEnd w:id="31"/>
      <w:r>
        <w:rPr>
          <w:rFonts w:ascii="Times New Roman" w:hAnsi="Times New Roman"/>
          <w:b/>
          <w:color w:val="000000"/>
          <w:sz w:val="20"/>
        </w:rPr>
        <w:t>EXHIBIT LIST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8"/>
        <w:gridCol w:w="146"/>
        <w:gridCol w:w="5984"/>
        <w:gridCol w:w="146"/>
        <w:gridCol w:w="1124"/>
        <w:gridCol w:w="146"/>
        <w:gridCol w:w="1070"/>
        <w:gridCol w:w="146"/>
        <w:gridCol w:w="695"/>
      </w:tblGrid>
      <w:tr>
        <w:trPr/>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98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2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7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5" w:type="dxa"/>
            <w:tcBorders/>
            <w:shd w:fill="FFFFFF" w:val="clear"/>
            <w:vAlign w:val="center"/>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w:t>
            </w:r>
          </w:p>
          <w:p>
            <w:pPr>
              <w:pStyle w:val="TableContents"/>
              <w:bidi w:val="0"/>
              <w:jc w:val="center"/>
              <w:rPr>
                <w:rFonts w:ascii="Times New Roman" w:hAnsi="Times New Roman"/>
                <w:b/>
                <w:color w:val="000000"/>
                <w:sz w:val="16"/>
              </w:rPr>
            </w:pPr>
            <w:r>
              <w:rPr>
                <w:rFonts w:ascii="Times New Roman" w:hAnsi="Times New Roman"/>
                <w:b/>
                <w:color w:val="000000"/>
                <w:sz w:val="16"/>
              </w:rPr>
              <w:t>by Reference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From Form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w:t>
            </w:r>
          </w:p>
          <w:p>
            <w:pPr>
              <w:pStyle w:val="TableContents"/>
              <w:bidi w:val="0"/>
              <w:jc w:val="center"/>
              <w:rPr>
                <w:rFonts w:ascii="Times New Roman" w:hAnsi="Times New Roman"/>
                <w:b/>
                <w:color w:val="000000"/>
                <w:sz w:val="16"/>
              </w:rPr>
            </w:pPr>
            <w:r>
              <w:rPr>
                <w:rFonts w:ascii="Times New Roman" w:hAnsi="Times New Roman"/>
                <w:b/>
                <w:color w:val="000000"/>
                <w:sz w:val="16"/>
              </w:rPr>
              <w:t>by Reference</w:t>
            </w:r>
          </w:p>
          <w:p>
            <w:pPr>
              <w:pStyle w:val="TableContents"/>
              <w:bidi w:val="0"/>
              <w:jc w:val="center"/>
              <w:rPr>
                <w:rFonts w:ascii="Times New Roman" w:hAnsi="Times New Roman"/>
                <w:b/>
                <w:color w:val="000000"/>
                <w:sz w:val="16"/>
              </w:rPr>
            </w:pPr>
            <w:r>
              <w:rPr>
                <w:rFonts w:ascii="Times New Roman" w:hAnsi="Times New Roman"/>
                <w:b/>
                <w:color w:val="000000"/>
                <w:sz w:val="16"/>
              </w:rPr>
              <w:t>From 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Filed</w:t>
            </w:r>
          </w:p>
        </w:tc>
      </w:tr>
      <w:tr>
        <w:trPr/>
        <w:tc>
          <w:tcPr>
            <w:tcW w:w="748" w:type="dxa"/>
            <w:tcBorders>
              <w:top w:val="single" w:sz="8"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5984" w:type="dxa"/>
            <w:tcBorders>
              <w:top w:val="single" w:sz="8" w:space="0" w:color="000000"/>
            </w:tcBorders>
            <w:tcMar>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Eighth Amended and Restated Certificate of Incorporation filed on February 15, 2011.</w:t>
              </w:r>
            </w:hyperlink>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24" w:type="dxa"/>
            <w:tcBorders>
              <w:top w:val="single" w:sz="8"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070" w:type="dxa"/>
            <w:tcBorders>
              <w:top w:val="single" w:sz="8"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695" w:type="dxa"/>
            <w:tcBorders>
              <w:top w:val="single" w:sz="8"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3/28/2011</w:t>
            </w:r>
          </w:p>
        </w:tc>
      </w:tr>
      <w:tr>
        <w:trPr/>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4"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of Standard BioTools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4/1/2022</w:t>
            </w:r>
          </w:p>
        </w:tc>
      </w:tr>
      <w:tr>
        <w:trPr/>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4"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Amendment to the Eighth Amended and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4/1/2022</w:t>
            </w:r>
          </w:p>
        </w:tc>
      </w:tr>
      <w:tr>
        <w:trPr/>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4"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Second Certificate of Amendment to the Eighth Amended and Restated Certificate of Incorporation, as amended, of Standard BioTools Inc., as filed with the Secretary of State of the State of Delaware on January 4,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1/5/2024</w:t>
            </w:r>
          </w:p>
        </w:tc>
      </w:tr>
      <w:tr>
        <w:trPr/>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4" w:type="dxa"/>
            <w:tcBorders/>
            <w:tcMar>
              <w:top w:w="0" w:type="dxa"/>
              <w:left w:w="0" w:type="dxa"/>
              <w:bottom w:w="0" w:type="dxa"/>
              <w:right w:w="0" w:type="dxa"/>
            </w:tcMar>
            <w:vAlign w:val="center"/>
          </w:tcPr>
          <w:p>
            <w:pPr>
              <w:pStyle w:val="TableContents"/>
              <w:bidi w:val="0"/>
              <w:spacing w:before="0" w:after="283"/>
              <w:jc w:val="left"/>
              <w:rPr/>
            </w:pPr>
            <w:hyperlink w:anchor="lab-ex31_1.htm">
              <w:r>
                <w:rPr>
                  <w:rStyle w:val="InternetLink"/>
                  <w:rFonts w:ascii="Times New Roman" w:hAnsi="Times New Roman"/>
                  <w:color w:val="0000FF"/>
                  <w:sz w:val="20"/>
                  <w:u w:val="single"/>
                </w:rPr>
                <w:t>Certification Pursuant to Rule 13a-14(a)/15d-14(a), as Adopted Pursuant to Section 302 of the Sarbanes-Oxley Act of 2002 of Chief Executive Officer.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4" w:type="dxa"/>
            <w:tcBorders/>
            <w:tcMar>
              <w:top w:w="0" w:type="dxa"/>
              <w:left w:w="0" w:type="dxa"/>
              <w:bottom w:w="0" w:type="dxa"/>
              <w:right w:w="0" w:type="dxa"/>
            </w:tcMar>
            <w:vAlign w:val="center"/>
          </w:tcPr>
          <w:p>
            <w:pPr>
              <w:pStyle w:val="TableContents"/>
              <w:bidi w:val="0"/>
              <w:spacing w:before="0" w:after="283"/>
              <w:jc w:val="left"/>
              <w:rPr/>
            </w:pPr>
            <w:hyperlink w:anchor="lab-ex31_2.htm">
              <w:r>
                <w:rPr>
                  <w:rStyle w:val="InternetLink"/>
                  <w:rFonts w:ascii="Times New Roman" w:hAnsi="Times New Roman"/>
                  <w:color w:val="0000FF"/>
                  <w:sz w:val="20"/>
                  <w:u w:val="single"/>
                </w:rPr>
                <w:t>Certification Pursuant to Rule 13a-14(a)/15d-14(a), as Adopted Pursuant to Section 302 of the Sarbanes-Oxley Act of 2002 of Chief Financial Officer.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4" w:type="dxa"/>
            <w:tcBorders/>
            <w:tcMar>
              <w:top w:w="0" w:type="dxa"/>
              <w:left w:w="0" w:type="dxa"/>
              <w:bottom w:w="0" w:type="dxa"/>
              <w:right w:w="0" w:type="dxa"/>
            </w:tcMar>
            <w:vAlign w:val="center"/>
          </w:tcPr>
          <w:p>
            <w:pPr>
              <w:pStyle w:val="TableContents"/>
              <w:bidi w:val="0"/>
              <w:spacing w:before="0" w:after="283"/>
              <w:jc w:val="left"/>
              <w:rPr/>
            </w:pPr>
            <w:hyperlink w:anchor="lab-ex32_1.htm">
              <w:r>
                <w:rPr>
                  <w:rStyle w:val="InternetLink"/>
                  <w:rFonts w:ascii="Times New Roman" w:hAnsi="Times New Roman"/>
                  <w:color w:val="0000FF"/>
                  <w:sz w:val="20"/>
                  <w:u w:val="single"/>
                </w:rPr>
                <w:t>Certification Pursuant to 18 U.S.C. Section 1350, as Adopted Pursuant to Section 906 of the Sarbanes-Oxley Act of 2002 of Chief Executive Officer.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4" w:type="dxa"/>
            <w:tcBorders/>
            <w:tcMar>
              <w:top w:w="0" w:type="dxa"/>
              <w:left w:w="0" w:type="dxa"/>
              <w:bottom w:w="0" w:type="dxa"/>
              <w:right w:w="0" w:type="dxa"/>
            </w:tcMar>
            <w:vAlign w:val="center"/>
          </w:tcPr>
          <w:p>
            <w:pPr>
              <w:pStyle w:val="TableContents"/>
              <w:bidi w:val="0"/>
              <w:spacing w:before="0" w:after="283"/>
              <w:jc w:val="left"/>
              <w:rPr/>
            </w:pPr>
            <w:hyperlink w:anchor="lab-ex32_2.htm">
              <w:r>
                <w:rPr>
                  <w:rStyle w:val="InternetLink"/>
                  <w:rFonts w:ascii="Times New Roman" w:hAnsi="Times New Roman"/>
                  <w:color w:val="0000FF"/>
                  <w:sz w:val="20"/>
                  <w:u w:val="single"/>
                </w:rPr>
                <w:t>Certification Pursuant to 18 U.S.C. Section 1350, as Adopted Pursuant to Section 906 of the Sarbanes-Oxley Act of 2002 of Chief Financial Officer.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Document–the instance document does not appear in the Interactive Data File as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 Management contracts or compensation plans or arrangements in which directors or executive officers are eligible to participate.</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 In accordance with Item 601(b)(32)(ii) of Regulation S-K and SEC Release No. 33-8238 and 34-47986, Final Rule: Management’s Report on Internal Control Over Financial Reporting and Certification of Disclosure in Exchange Act Periodic Reports, the certifications furnished in Exhibits 32.1 and 32.2 hereto are deemed to accompany this Quarterly Report on Form 10-Q and will not be deemed “filed” for purposes of Section 18 of the Exchange Act. Such certifications will not be deemed to be incorporated by reference into any filing under the Securities Act or the Exchange Act, except to the extent that the registrant specifically incorporates them by reference.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bookmarkStart w:id="32" w:name="signatures"/>
      <w:bookmarkEnd w:id="32"/>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059" w:type="dxa"/>
        <w:jc w:val="left"/>
        <w:tblInd w:w="0" w:type="dxa"/>
        <w:tblLayout w:type="fixed"/>
        <w:tblCellMar>
          <w:top w:w="28" w:type="dxa"/>
          <w:left w:w="28" w:type="dxa"/>
          <w:bottom w:w="28" w:type="dxa"/>
          <w:right w:w="28" w:type="dxa"/>
        </w:tblCellMar>
      </w:tblPr>
      <w:tblGrid>
        <w:gridCol w:w="1741"/>
        <w:gridCol w:w="406"/>
        <w:gridCol w:w="146"/>
        <w:gridCol w:w="3766"/>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31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STANDARD BIOTOOLS INC.</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Dated: May 6, 2025</w:t>
            </w:r>
          </w:p>
        </w:tc>
        <w:tc>
          <w:tcPr>
            <w:tcW w:w="40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4" w:space="0" w:color="000000"/>
            </w:tcBorders>
            <w:tcMar>
              <w:top w:w="0" w:type="dxa"/>
              <w:left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/s/ Michael Egholm, Ph.D.</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Egholm, Ph.D.</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Dated: May 6, 2025</w:t>
            </w:r>
          </w:p>
        </w:tc>
        <w:tc>
          <w:tcPr>
            <w:tcW w:w="40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4" w:space="0" w:color="000000"/>
            </w:tcBorders>
            <w:tcMar>
              <w:top w:w="0" w:type="dxa"/>
              <w:left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/s/ Alex Kim</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 Kim</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bookmarkStart w:id="33" w:name="lab-ex31_1.htm"/>
      <w:bookmarkStart w:id="34" w:name="kslabex31_1"/>
      <w:bookmarkEnd w:id="33"/>
      <w:bookmarkEnd w:id="34"/>
      <w:r>
        <w:rPr/>
        <w:t> </w:t>
      </w:r>
      <w:r>
        <w:br w:type="page"/>
      </w:r>
    </w:p>
    <w:p>
      <w:pPr>
        <w:pStyle w:val="TextBody"/>
        <w:bidi w:val="0"/>
        <w:jc w:val="right"/>
        <w:rPr>
          <w:rFonts w:ascii="Times New Roman" w:hAnsi="Times New Roman"/>
          <w:b/>
          <w:color w:val="000000"/>
          <w:sz w:val="20"/>
        </w:rPr>
      </w:pPr>
      <w:bookmarkStart w:id="35" w:name="section1"/>
      <w:bookmarkEnd w:id="35"/>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PRESIDENT AND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SECURITIES 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Michael Egholm, Ph.D.,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Standard BioTools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362" w:type="dxa"/>
        <w:jc w:val="left"/>
        <w:tblInd w:w="0" w:type="dxa"/>
        <w:tblLayout w:type="fixed"/>
        <w:tblCellMar>
          <w:top w:w="28" w:type="dxa"/>
          <w:left w:w="28" w:type="dxa"/>
          <w:bottom w:w="28" w:type="dxa"/>
          <w:right w:w="28" w:type="dxa"/>
        </w:tblCellMar>
      </w:tblPr>
      <w:tblGrid>
        <w:gridCol w:w="1636"/>
        <w:gridCol w:w="109"/>
        <w:gridCol w:w="406"/>
        <w:gridCol w:w="321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Egholm, Ph.D.</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Egholm, Ph.D.</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6" w:name="lab-ex31_2.htm"/>
      <w:bookmarkStart w:id="37" w:name="kslabex31_2"/>
      <w:bookmarkEnd w:id="36"/>
      <w:bookmarkEnd w:id="3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SECURITIES 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Alex Kim,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Standard BioTools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5954" w:type="dxa"/>
        <w:jc w:val="left"/>
        <w:tblInd w:w="0" w:type="dxa"/>
        <w:tblLayout w:type="fixed"/>
        <w:tblCellMar>
          <w:top w:w="28" w:type="dxa"/>
          <w:left w:w="28" w:type="dxa"/>
          <w:bottom w:w="28" w:type="dxa"/>
          <w:right w:w="28" w:type="dxa"/>
        </w:tblCellMar>
      </w:tblPr>
      <w:tblGrid>
        <w:gridCol w:w="1636"/>
        <w:gridCol w:w="146"/>
        <w:gridCol w:w="406"/>
        <w:gridCol w:w="376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Alex Kim</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 Kim</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8" w:name="lab-ex32_1.htm"/>
      <w:bookmarkStart w:id="39" w:name="kslabex32_1"/>
      <w:bookmarkEnd w:id="38"/>
      <w:bookmarkEnd w:id="39"/>
      <w:r>
        <w:rPr/>
        <w:t> </w:t>
      </w:r>
      <w:r>
        <w:br w:type="page"/>
      </w:r>
    </w:p>
    <w:p>
      <w:pPr>
        <w:pStyle w:val="TextBody"/>
        <w:bidi w:val="0"/>
        <w:jc w:val="right"/>
        <w:rPr>
          <w:rFonts w:ascii="Times New Roman" w:hAnsi="Times New Roman"/>
          <w:b/>
          <w:color w:val="000000"/>
          <w:sz w:val="20"/>
        </w:rPr>
      </w:pPr>
      <w:bookmarkStart w:id="40" w:name="section11"/>
      <w:bookmarkEnd w:id="40"/>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sz w:val="20"/>
        </w:rPr>
      </w:pPr>
      <w:r>
        <w:rPr>
          <w:rFonts w:ascii="Times New Roman" w:hAnsi="Times New Roman"/>
          <w:b/>
          <w:color w:val="000000"/>
          <w:sz w:val="20"/>
        </w:rPr>
        <w:t>PURSUANT TO 18 U.S.C. SECTION 1350,</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Michael Egholm, Ph.D., the Chief Executive Officer of Standard BioTools Inc. (the “Company”), certify for the purposes of 18 U.S.C. Section 1350, as adopted pursuant to Section 906 of the Sarbanes-Oxley Act of 2002, that, to the best of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Quarterly Report on Form 10-Q for the quarter ended March 31, 2025 (the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253" w:type="dxa"/>
        <w:jc w:val="left"/>
        <w:tblInd w:w="0" w:type="dxa"/>
        <w:tblLayout w:type="fixed"/>
        <w:tblCellMar>
          <w:top w:w="28" w:type="dxa"/>
          <w:left w:w="28" w:type="dxa"/>
          <w:bottom w:w="28" w:type="dxa"/>
          <w:right w:w="28" w:type="dxa"/>
        </w:tblCellMar>
      </w:tblPr>
      <w:tblGrid>
        <w:gridCol w:w="1636"/>
        <w:gridCol w:w="406"/>
        <w:gridCol w:w="3211"/>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Egholm, Ph.D.</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Egholm, Ph.D.</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1" w:name="lab-ex32_2.htm"/>
      <w:bookmarkStart w:id="42" w:name="kslabex32_2"/>
      <w:bookmarkEnd w:id="41"/>
      <w:bookmarkEnd w:id="42"/>
      <w:r>
        <w:rPr/>
        <w:t> </w:t>
      </w:r>
      <w:r>
        <w:br w:type="page"/>
      </w:r>
    </w:p>
    <w:p>
      <w:pPr>
        <w:pStyle w:val="TextBody"/>
        <w:bidi w:val="0"/>
        <w:jc w:val="right"/>
        <w:rPr>
          <w:rFonts w:ascii="Times New Roman" w:hAnsi="Times New Roman"/>
          <w:b/>
          <w:color w:val="000000"/>
          <w:sz w:val="20"/>
        </w:rPr>
      </w:pPr>
      <w:bookmarkStart w:id="43" w:name="section12"/>
      <w:bookmarkEnd w:id="43"/>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sz w:val="20"/>
        </w:rPr>
      </w:pPr>
      <w:r>
        <w:rPr>
          <w:rFonts w:ascii="Times New Roman" w:hAnsi="Times New Roman"/>
          <w:b/>
          <w:color w:val="000000"/>
          <w:sz w:val="20"/>
        </w:rPr>
        <w:t>PURSUANT TO 18 U.S.C. SECTION 1350,</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Alex Kim, the Chief Financial Officer of Standard BioTools Inc. (the “Company”), certify for the purposes of 18 U.S.C. Section 1350, as adopted pursuant to Section 906 of the Sarbanes-Oxley Act of 2002, that, to the best of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Quarterly Report on Form 10-Q for the quarter ended March 31, 2025 (the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808" w:type="dxa"/>
        <w:jc w:val="left"/>
        <w:tblInd w:w="0" w:type="dxa"/>
        <w:tblLayout w:type="fixed"/>
        <w:tblCellMar>
          <w:top w:w="28" w:type="dxa"/>
          <w:left w:w="28" w:type="dxa"/>
          <w:bottom w:w="28" w:type="dxa"/>
          <w:right w:w="28" w:type="dxa"/>
        </w:tblCellMar>
      </w:tblPr>
      <w:tblGrid>
        <w:gridCol w:w="1636"/>
        <w:gridCol w:w="406"/>
        <w:gridCol w:w="3766"/>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Alex Kim</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 Kim</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162194/000119312511078412/dex31.htm" TargetMode="External"/><Relationship Id="rId4" Type="http://schemas.openxmlformats.org/officeDocument/2006/relationships/hyperlink" Target="https://www.sec.gov/Archives/edgar/data/1162194/000119312522093794/d300506dex48.htm" TargetMode="External"/><Relationship Id="rId5" Type="http://schemas.openxmlformats.org/officeDocument/2006/relationships/hyperlink" Target="https://www.sec.gov/Archives/edgar/data/1162194/000119312522093794/d300506dex43.htm" TargetMode="External"/><Relationship Id="rId6" Type="http://schemas.openxmlformats.org/officeDocument/2006/relationships/hyperlink" Target="https://www.sec.gov/Archives/edgar/data/1162194/000110465924001640/tm2333984d3_ex3-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17311</Words>
  <Characters>96273</Characters>
  <CharactersWithSpaces>114384</CharactersWithSpaces>
  <Paragraphs>5460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