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McPhail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11/05/2018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rPr>
              <w:t>16,344</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6.29</w:t>
            </w:r>
            <w:r>
              <w:rPr>
                <w:rFonts w:ascii="Arial" w:cs="Arial" w:eastAsia="Arial" w:hAnsi="Arial"/>
                <w:sz w:val="22"/>
                <w:szCs w:val="22"/>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53,229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11/05/2018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4,894</w:t>
            </w:r>
          </w:p>
        </w:tc>
        <w:tc>
          <w:tcPr>
            <w:tcW w:w="3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7.4</w:t>
            </w:r>
            <w:r>
              <w:rPr>
                <w:rFonts w:ascii="Arial" w:cs="Arial" w:eastAsia="Arial" w:hAnsi="Arial"/>
                <w:sz w:val="22"/>
                <w:szCs w:val="22"/>
                <w:color w:val="008000"/>
                <w:w w:val="98"/>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48,335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grant of Restricted Stock Units issued pursuant to the Issuer's 2011 Equity Incentive Plan in connection with the Issuer's cash retention bonus exchange program. Each Restricted Stock Unit represents the contingent right to receive one share of FLDM common stock upon vesting of the unit. 100% of the Restricted Stock Units vested on November 5, 2018.</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Equal to 85% of the closing price of one share of Issuer's common stock on November 5,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Equal to the closing price of one share of Issuer's common stock on November 5,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Steven McPhail by Nicholas </w:t>
      </w:r>
      <w:r>
        <w:rPr>
          <w:rFonts w:ascii="Arial" w:cs="Arial" w:eastAsia="Arial" w:hAnsi="Arial"/>
          <w:sz w:val="35"/>
          <w:szCs w:val="35"/>
          <w:color w:val="0000FF"/>
          <w:vertAlign w:val="subscript"/>
        </w:rPr>
        <w:t>11/07/2018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2019-12-23T22:13:55Z</dcterms:created>
  <dcterms:modified xsi:type="dcterms:W3CDTF">2019-12-23T22:13:55Z</dcterms:modified>
</cp:coreProperties>
</file>