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1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-1723390</wp:posOffset>
            </wp:positionH>
            <wp:positionV relativeFrom="paragraph">
              <wp:posOffset>18415</wp:posOffset>
            </wp:positionV>
            <wp:extent cx="7324725" cy="762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7626985"/>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320" w:space="38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McPhail Steven</w:t>
        </w:r>
      </w:hyperlink>
    </w:p>
    <w:p>
      <w:pPr>
        <w:spacing w:after="0" w:line="315"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7" w:lineRule="exact"/>
        <w:rPr>
          <w:sz w:val="24"/>
          <w:szCs w:val="24"/>
          <w:color w:val="auto"/>
        </w:rPr>
      </w:pPr>
    </w:p>
    <w:p>
      <w:pPr>
        <w:ind w:left="120" w:right="400"/>
        <w:spacing w:after="0" w:line="386" w:lineRule="auto"/>
        <w:rPr>
          <w:sz w:val="20"/>
          <w:szCs w:val="20"/>
          <w:color w:val="auto"/>
        </w:rPr>
      </w:pPr>
      <w:r>
        <w:rPr>
          <w:rFonts w:ascii="Arial" w:cs="Arial" w:eastAsia="Arial" w:hAnsi="Arial"/>
          <w:sz w:val="16"/>
          <w:szCs w:val="16"/>
          <w:color w:val="0000FF"/>
        </w:rPr>
        <w:t>C/O FLUIDIGM CORPORATION 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FLUIDIGM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09/20/2017</w:t>
      </w:r>
    </w:p>
    <w:p>
      <w:pPr>
        <w:spacing w:after="0" w:line="20" w:lineRule="exact"/>
        <w:rPr>
          <w:sz w:val="24"/>
          <w:szCs w:val="24"/>
          <w:color w:val="auto"/>
        </w:rPr>
      </w:pPr>
      <w:r>
        <w:rPr>
          <w:sz w:val="24"/>
          <w:szCs w:val="24"/>
          <w:color w:val="auto"/>
        </w:rPr>
        <w:br w:type="column"/>
      </w:r>
    </w:p>
    <w:p>
      <w:pPr>
        <w:ind w:left="-8" w:right="700" w:firstLine="8"/>
        <w:spacing w:after="0" w:line="24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192"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52"/>
        <w:spacing w:after="0"/>
        <w:rPr>
          <w:sz w:val="20"/>
          <w:szCs w:val="20"/>
          <w:color w:val="auto"/>
        </w:rPr>
      </w:pPr>
      <w:r>
        <w:rPr>
          <w:rFonts w:ascii="Arial" w:cs="Arial" w:eastAsia="Arial" w:hAnsi="Arial"/>
          <w:sz w:val="17"/>
          <w:szCs w:val="17"/>
          <w:color w:val="0000FF"/>
        </w:rPr>
        <w:t>Chief Commercial Officer</w:t>
      </w:r>
    </w:p>
    <w:p>
      <w:pPr>
        <w:spacing w:after="0" w:line="559" w:lineRule="exact"/>
        <w:rPr>
          <w:sz w:val="24"/>
          <w:szCs w:val="24"/>
          <w:color w:val="auto"/>
        </w:rPr>
      </w:pPr>
    </w:p>
    <w:p>
      <w:pPr>
        <w:sectPr>
          <w:pgSz w:w="11900" w:h="16838" w:orient="portrait"/>
          <w:cols w:equalWidth="0" w:num="3">
            <w:col w:w="3340" w:space="720"/>
            <w:col w:w="3268" w:space="720"/>
            <w:col w:w="3472"/>
          </w:cols>
          <w:pgMar w:left="240" w:top="224" w:right="139" w:bottom="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7"/>
                <w:szCs w:val="17"/>
                <w:color w:val="0000FF"/>
              </w:rPr>
              <w:t>CA</w:t>
            </w:r>
          </w:p>
        </w:tc>
        <w:tc>
          <w:tcPr>
            <w:tcW w:w="1680" w:type="dxa"/>
            <w:vAlign w:val="bottom"/>
            <w:vMerge w:val="restart"/>
          </w:tcPr>
          <w:p>
            <w:pPr>
              <w:ind w:left="440"/>
              <w:spacing w:after="0"/>
              <w:rPr>
                <w:sz w:val="20"/>
                <w:szCs w:val="20"/>
                <w:color w:val="auto"/>
              </w:rPr>
            </w:pPr>
            <w:r>
              <w:rPr>
                <w:rFonts w:ascii="Arial" w:cs="Arial" w:eastAsia="Arial" w:hAnsi="Arial"/>
                <w:sz w:val="17"/>
                <w:szCs w:val="17"/>
                <w:color w:val="0000FF"/>
              </w:rPr>
              <w:t>94080</w:t>
            </w:r>
          </w:p>
        </w:tc>
        <w:tc>
          <w:tcPr>
            <w:tcW w:w="0" w:type="dxa"/>
            <w:vAlign w:val="bottom"/>
          </w:tcPr>
          <w:p>
            <w:pPr>
              <w:spacing w:after="0"/>
              <w:rPr>
                <w:sz w:val="1"/>
                <w:szCs w:val="1"/>
                <w:color w:val="auto"/>
              </w:rPr>
            </w:pPr>
          </w:p>
        </w:tc>
      </w:tr>
      <w:tr>
        <w:trPr>
          <w:trHeight w:val="111"/>
        </w:trPr>
        <w:tc>
          <w:tcPr>
            <w:tcW w:w="40" w:type="dxa"/>
            <w:vAlign w:val="bottom"/>
          </w:tcPr>
          <w:p>
            <w:pPr>
              <w:spacing w:after="0"/>
              <w:rPr>
                <w:sz w:val="9"/>
                <w:szCs w:val="9"/>
                <w:color w:val="auto"/>
              </w:rPr>
            </w:pPr>
          </w:p>
        </w:tc>
        <w:tc>
          <w:tcPr>
            <w:tcW w:w="112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6"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493" w:lineRule="exact"/>
        <w:rPr>
          <w:sz w:val="24"/>
          <w:szCs w:val="24"/>
          <w:color w:val="auto"/>
        </w:rPr>
      </w:pPr>
    </w:p>
    <w:p>
      <w:pPr>
        <w:sectPr>
          <w:pgSz w:w="11900" w:h="16838" w:orient="portrait"/>
          <w:cols w:equalWidth="0" w:num="2">
            <w:col w:w="3900" w:space="160"/>
            <w:col w:w="7460"/>
          </w:cols>
          <w:pgMar w:left="240" w:top="224"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0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100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1000" w:type="dxa"/>
            <w:vAlign w:val="bottom"/>
          </w:tcPr>
          <w:p>
            <w:pPr>
              <w:spacing w:after="0"/>
              <w:rPr>
                <w:sz w:val="6"/>
                <w:szCs w:val="6"/>
                <w:color w:val="auto"/>
              </w:rPr>
            </w:pPr>
          </w:p>
        </w:tc>
        <w:tc>
          <w:tcPr>
            <w:tcW w:w="840" w:type="dxa"/>
            <w:vAlign w:val="bottom"/>
            <w:vMerge w:val="restart"/>
          </w:tcPr>
          <w:p>
            <w:pPr>
              <w:ind w:left="100"/>
              <w:spacing w:after="0" w:line="132"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2"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10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00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0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10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10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Acquired (A)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Disposed of</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 (Instr.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vMerge w:val="restart"/>
          </w:tcPr>
          <w:p>
            <w:pPr>
              <w:jc w:val="right"/>
              <w:ind w:right="263"/>
              <w:spacing w:after="0"/>
              <w:rPr>
                <w:sz w:val="20"/>
                <w:szCs w:val="20"/>
                <w:color w:val="auto"/>
              </w:rPr>
            </w:pPr>
            <w:r>
              <w:rPr>
                <w:rFonts w:ascii="Arial" w:cs="Arial" w:eastAsia="Arial" w:hAnsi="Arial"/>
                <w:sz w:val="11"/>
                <w:szCs w:val="11"/>
                <w:color w:val="008000"/>
              </w:rPr>
              <w:t>(1)</w:t>
            </w:r>
          </w:p>
        </w:tc>
        <w:tc>
          <w:tcPr>
            <w:tcW w:w="76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8"/>
              </w:rPr>
              <w:t>31,000</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700" w:type="dxa"/>
            <w:vAlign w:val="bottom"/>
          </w:tcPr>
          <w:p>
            <w:pPr>
              <w:ind w:left="60"/>
              <w:spacing w:after="0" w:line="128" w:lineRule="exact"/>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line="128"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25.23</w:t>
            </w:r>
          </w:p>
        </w:tc>
        <w:tc>
          <w:tcPr>
            <w:tcW w:w="1100" w:type="dxa"/>
            <w:vAlign w:val="bottom"/>
          </w:tcPr>
          <w:p>
            <w:pPr>
              <w:jc w:val="center"/>
              <w:spacing w:after="0" w:line="128" w:lineRule="exact"/>
              <w:rPr>
                <w:sz w:val="20"/>
                <w:szCs w:val="20"/>
                <w:color w:val="auto"/>
              </w:rPr>
            </w:pPr>
            <w:r>
              <w:rPr>
                <w:rFonts w:ascii="Arial" w:cs="Arial" w:eastAsia="Arial" w:hAnsi="Arial"/>
                <w:sz w:val="13"/>
                <w:szCs w:val="13"/>
                <w:color w:val="0000FF"/>
                <w:w w:val="92"/>
              </w:rPr>
              <w:t>09/20/2017</w:t>
            </w:r>
          </w:p>
        </w:tc>
        <w:tc>
          <w:tcPr>
            <w:tcW w:w="1120" w:type="dxa"/>
            <w:vAlign w:val="bottom"/>
          </w:tcPr>
          <w:p>
            <w:pPr>
              <w:spacing w:after="0"/>
              <w:rPr>
                <w:sz w:val="11"/>
                <w:szCs w:val="11"/>
                <w:color w:val="auto"/>
              </w:rPr>
            </w:pPr>
          </w:p>
        </w:tc>
        <w:tc>
          <w:tcPr>
            <w:tcW w:w="820" w:type="dxa"/>
            <w:vAlign w:val="bottom"/>
          </w:tcPr>
          <w:p>
            <w:pPr>
              <w:ind w:left="160"/>
              <w:spacing w:after="0" w:line="128" w:lineRule="exact"/>
              <w:rPr>
                <w:sz w:val="20"/>
                <w:szCs w:val="20"/>
                <w:color w:val="auto"/>
              </w:rPr>
            </w:pPr>
            <w:r>
              <w:rPr>
                <w:rFonts w:ascii="Arial" w:cs="Arial" w:eastAsia="Arial" w:hAnsi="Arial"/>
                <w:sz w:val="13"/>
                <w:szCs w:val="13"/>
                <w:color w:val="0000FF"/>
              </w:rPr>
              <w:t>D</w:t>
            </w:r>
          </w:p>
        </w:tc>
        <w:tc>
          <w:tcPr>
            <w:tcW w:w="50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3"/>
                <w:szCs w:val="13"/>
                <w:color w:val="0000FF"/>
              </w:rPr>
              <w:t>31,000</w:t>
            </w:r>
          </w:p>
        </w:tc>
        <w:tc>
          <w:tcPr>
            <w:tcW w:w="800" w:type="dxa"/>
            <w:vAlign w:val="bottom"/>
            <w:vMerge w:val="continue"/>
          </w:tcPr>
          <w:p>
            <w:pPr>
              <w:spacing w:after="0"/>
              <w:rPr>
                <w:sz w:val="11"/>
                <w:szCs w:val="11"/>
                <w:color w:val="auto"/>
              </w:rPr>
            </w:pPr>
          </w:p>
        </w:tc>
        <w:tc>
          <w:tcPr>
            <w:tcW w:w="760" w:type="dxa"/>
            <w:vAlign w:val="bottom"/>
          </w:tcPr>
          <w:p>
            <w:pPr>
              <w:jc w:val="center"/>
              <w:spacing w:after="0" w:line="128" w:lineRule="exact"/>
              <w:rPr>
                <w:sz w:val="20"/>
                <w:szCs w:val="20"/>
                <w:color w:val="auto"/>
              </w:rPr>
            </w:pPr>
            <w:r>
              <w:rPr>
                <w:rFonts w:ascii="Arial" w:cs="Arial" w:eastAsia="Arial" w:hAnsi="Arial"/>
                <w:sz w:val="13"/>
                <w:szCs w:val="13"/>
                <w:color w:val="0000FF"/>
                <w:w w:val="92"/>
              </w:rPr>
              <w:t>05/21/2025</w:t>
            </w:r>
          </w:p>
        </w:tc>
        <w:tc>
          <w:tcPr>
            <w:tcW w:w="6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40" w:type="dxa"/>
            <w:vAlign w:val="bottom"/>
          </w:tcPr>
          <w:p>
            <w:pPr>
              <w:jc w:val="center"/>
              <w:spacing w:after="0" w:line="128" w:lineRule="exact"/>
              <w:rPr>
                <w:sz w:val="20"/>
                <w:szCs w:val="20"/>
                <w:color w:val="auto"/>
              </w:rPr>
            </w:pPr>
            <w:r>
              <w:rPr>
                <w:rFonts w:ascii="Arial" w:cs="Arial" w:eastAsia="Arial" w:hAnsi="Arial"/>
                <w:sz w:val="13"/>
                <w:szCs w:val="13"/>
                <w:color w:val="0000FF"/>
              </w:rPr>
              <w:t>0</w:t>
            </w:r>
          </w:p>
        </w:tc>
        <w:tc>
          <w:tcPr>
            <w:tcW w:w="76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0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ind w:left="160"/>
              <w:spacing w:after="0" w:line="145"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vMerge w:val="restart"/>
          </w:tcPr>
          <w:p>
            <w:pPr>
              <w:jc w:val="right"/>
              <w:ind w:right="263"/>
              <w:spacing w:after="0"/>
              <w:rPr>
                <w:sz w:val="20"/>
                <w:szCs w:val="20"/>
                <w:color w:val="auto"/>
              </w:rPr>
            </w:pPr>
            <w:r>
              <w:rPr>
                <w:rFonts w:ascii="Arial" w:cs="Arial" w:eastAsia="Arial" w:hAnsi="Arial"/>
                <w:sz w:val="11"/>
                <w:szCs w:val="11"/>
                <w:color w:val="008000"/>
              </w:rPr>
              <w:t>(3)</w:t>
            </w:r>
          </w:p>
        </w:tc>
        <w:tc>
          <w:tcPr>
            <w:tcW w:w="76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7,127</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line="145"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5.13</w:t>
            </w:r>
          </w:p>
        </w:tc>
        <w:tc>
          <w:tcPr>
            <w:tcW w:w="110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09/20/2017</w:t>
            </w:r>
          </w:p>
        </w:tc>
        <w:tc>
          <w:tcPr>
            <w:tcW w:w="1120" w:type="dxa"/>
            <w:vAlign w:val="bottom"/>
          </w:tcPr>
          <w:p>
            <w:pPr>
              <w:spacing w:after="0"/>
              <w:rPr>
                <w:sz w:val="5"/>
                <w:szCs w:val="5"/>
                <w:color w:val="auto"/>
              </w:rPr>
            </w:pPr>
          </w:p>
        </w:tc>
        <w:tc>
          <w:tcPr>
            <w:tcW w:w="820" w:type="dxa"/>
            <w:vAlign w:val="bottom"/>
            <w:vMerge w:val="restart"/>
          </w:tcPr>
          <w:p>
            <w:pPr>
              <w:ind w:left="160"/>
              <w:spacing w:after="0" w:line="145" w:lineRule="exact"/>
              <w:rPr>
                <w:sz w:val="20"/>
                <w:szCs w:val="20"/>
                <w:color w:val="auto"/>
              </w:rPr>
            </w:pPr>
            <w:r>
              <w:rPr>
                <w:rFonts w:ascii="Arial" w:cs="Arial" w:eastAsia="Arial" w:hAnsi="Arial"/>
                <w:sz w:val="13"/>
                <w:szCs w:val="13"/>
                <w:color w:val="0000FF"/>
              </w:rPr>
              <w:t>A</w:t>
            </w:r>
          </w:p>
        </w:tc>
        <w:tc>
          <w:tcPr>
            <w:tcW w:w="50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7,127</w:t>
            </w:r>
          </w:p>
        </w:tc>
        <w:tc>
          <w:tcPr>
            <w:tcW w:w="5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09/20/2027</w:t>
            </w:r>
          </w:p>
        </w:tc>
        <w:tc>
          <w:tcPr>
            <w:tcW w:w="6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7,127</w:t>
            </w:r>
          </w:p>
        </w:tc>
        <w:tc>
          <w:tcPr>
            <w:tcW w:w="76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7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7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vMerge w:val="restart"/>
          </w:tcPr>
          <w:p>
            <w:pPr>
              <w:jc w:val="right"/>
              <w:ind w:right="263"/>
              <w:spacing w:after="0"/>
              <w:rPr>
                <w:sz w:val="20"/>
                <w:szCs w:val="20"/>
                <w:color w:val="auto"/>
              </w:rPr>
            </w:pPr>
            <w:r>
              <w:rPr>
                <w:rFonts w:ascii="Arial" w:cs="Arial" w:eastAsia="Arial" w:hAnsi="Arial"/>
                <w:sz w:val="11"/>
                <w:szCs w:val="11"/>
                <w:color w:val="008000"/>
              </w:rPr>
              <w:t>(4)</w:t>
            </w:r>
          </w:p>
        </w:tc>
        <w:tc>
          <w:tcPr>
            <w:tcW w:w="76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8"/>
              </w:rPr>
              <w:t>13,500</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700" w:type="dxa"/>
            <w:vAlign w:val="bottom"/>
          </w:tcPr>
          <w:p>
            <w:pPr>
              <w:ind w:left="60"/>
              <w:spacing w:after="0" w:line="128" w:lineRule="exact"/>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line="128" w:lineRule="exact"/>
              <w:rPr>
                <w:sz w:val="20"/>
                <w:szCs w:val="20"/>
                <w:color w:val="auto"/>
              </w:rPr>
            </w:pPr>
            <w:r>
              <w:rPr>
                <w:rFonts w:ascii="Arial" w:cs="Arial" w:eastAsia="Arial" w:hAnsi="Arial"/>
                <w:sz w:val="12"/>
                <w:szCs w:val="12"/>
                <w:color w:val="auto"/>
                <w:w w:val="88"/>
              </w:rPr>
              <w:t>$</w:t>
            </w:r>
            <w:r>
              <w:rPr>
                <w:rFonts w:ascii="Arial" w:cs="Arial" w:eastAsia="Arial" w:hAnsi="Arial"/>
                <w:sz w:val="13"/>
                <w:szCs w:val="13"/>
                <w:color w:val="0000FF"/>
                <w:w w:val="88"/>
              </w:rPr>
              <w:t>7.1</w:t>
            </w:r>
          </w:p>
        </w:tc>
        <w:tc>
          <w:tcPr>
            <w:tcW w:w="1100" w:type="dxa"/>
            <w:vAlign w:val="bottom"/>
          </w:tcPr>
          <w:p>
            <w:pPr>
              <w:jc w:val="center"/>
              <w:spacing w:after="0" w:line="128" w:lineRule="exact"/>
              <w:rPr>
                <w:sz w:val="20"/>
                <w:szCs w:val="20"/>
                <w:color w:val="auto"/>
              </w:rPr>
            </w:pPr>
            <w:r>
              <w:rPr>
                <w:rFonts w:ascii="Arial" w:cs="Arial" w:eastAsia="Arial" w:hAnsi="Arial"/>
                <w:sz w:val="13"/>
                <w:szCs w:val="13"/>
                <w:color w:val="0000FF"/>
                <w:w w:val="92"/>
              </w:rPr>
              <w:t>09/20/2017</w:t>
            </w:r>
          </w:p>
        </w:tc>
        <w:tc>
          <w:tcPr>
            <w:tcW w:w="1120" w:type="dxa"/>
            <w:vAlign w:val="bottom"/>
          </w:tcPr>
          <w:p>
            <w:pPr>
              <w:spacing w:after="0"/>
              <w:rPr>
                <w:sz w:val="11"/>
                <w:szCs w:val="11"/>
                <w:color w:val="auto"/>
              </w:rPr>
            </w:pPr>
          </w:p>
        </w:tc>
        <w:tc>
          <w:tcPr>
            <w:tcW w:w="820" w:type="dxa"/>
            <w:vAlign w:val="bottom"/>
          </w:tcPr>
          <w:p>
            <w:pPr>
              <w:ind w:left="160"/>
              <w:spacing w:after="0" w:line="128" w:lineRule="exact"/>
              <w:rPr>
                <w:sz w:val="20"/>
                <w:szCs w:val="20"/>
                <w:color w:val="auto"/>
              </w:rPr>
            </w:pPr>
            <w:r>
              <w:rPr>
                <w:rFonts w:ascii="Arial" w:cs="Arial" w:eastAsia="Arial" w:hAnsi="Arial"/>
                <w:sz w:val="13"/>
                <w:szCs w:val="13"/>
                <w:color w:val="0000FF"/>
              </w:rPr>
              <w:t>D</w:t>
            </w:r>
          </w:p>
        </w:tc>
        <w:tc>
          <w:tcPr>
            <w:tcW w:w="50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3"/>
                <w:szCs w:val="13"/>
                <w:color w:val="0000FF"/>
              </w:rPr>
              <w:t>13,500</w:t>
            </w:r>
          </w:p>
        </w:tc>
        <w:tc>
          <w:tcPr>
            <w:tcW w:w="800" w:type="dxa"/>
            <w:vAlign w:val="bottom"/>
            <w:vMerge w:val="continue"/>
          </w:tcPr>
          <w:p>
            <w:pPr>
              <w:spacing w:after="0"/>
              <w:rPr>
                <w:sz w:val="11"/>
                <w:szCs w:val="11"/>
                <w:color w:val="auto"/>
              </w:rPr>
            </w:pPr>
          </w:p>
        </w:tc>
        <w:tc>
          <w:tcPr>
            <w:tcW w:w="760" w:type="dxa"/>
            <w:vAlign w:val="bottom"/>
          </w:tcPr>
          <w:p>
            <w:pPr>
              <w:jc w:val="center"/>
              <w:spacing w:after="0" w:line="128" w:lineRule="exact"/>
              <w:rPr>
                <w:sz w:val="20"/>
                <w:szCs w:val="20"/>
                <w:color w:val="auto"/>
              </w:rPr>
            </w:pPr>
            <w:r>
              <w:rPr>
                <w:rFonts w:ascii="Arial" w:cs="Arial" w:eastAsia="Arial" w:hAnsi="Arial"/>
                <w:sz w:val="13"/>
                <w:szCs w:val="13"/>
                <w:color w:val="0000FF"/>
                <w:w w:val="92"/>
              </w:rPr>
              <w:t>03/04/2026</w:t>
            </w:r>
          </w:p>
        </w:tc>
        <w:tc>
          <w:tcPr>
            <w:tcW w:w="6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40" w:type="dxa"/>
            <w:vAlign w:val="bottom"/>
          </w:tcPr>
          <w:p>
            <w:pPr>
              <w:jc w:val="center"/>
              <w:spacing w:after="0" w:line="128" w:lineRule="exact"/>
              <w:rPr>
                <w:sz w:val="20"/>
                <w:szCs w:val="20"/>
                <w:color w:val="auto"/>
              </w:rPr>
            </w:pPr>
            <w:r>
              <w:rPr>
                <w:rFonts w:ascii="Arial" w:cs="Arial" w:eastAsia="Arial" w:hAnsi="Arial"/>
                <w:sz w:val="13"/>
                <w:szCs w:val="13"/>
                <w:color w:val="0000FF"/>
              </w:rPr>
              <w:t>0</w:t>
            </w:r>
          </w:p>
        </w:tc>
        <w:tc>
          <w:tcPr>
            <w:tcW w:w="76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0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ind w:left="160"/>
              <w:spacing w:after="0" w:line="145"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vMerge w:val="restart"/>
          </w:tcPr>
          <w:p>
            <w:pPr>
              <w:jc w:val="right"/>
              <w:ind w:right="263"/>
              <w:spacing w:after="0"/>
              <w:rPr>
                <w:sz w:val="20"/>
                <w:szCs w:val="20"/>
                <w:color w:val="auto"/>
              </w:rPr>
            </w:pPr>
            <w:r>
              <w:rPr>
                <w:rFonts w:ascii="Arial" w:cs="Arial" w:eastAsia="Arial" w:hAnsi="Arial"/>
                <w:sz w:val="11"/>
                <w:szCs w:val="11"/>
                <w:color w:val="008000"/>
              </w:rPr>
              <w:t>(3)</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8,941</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line="145"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5.13</w:t>
            </w:r>
          </w:p>
        </w:tc>
        <w:tc>
          <w:tcPr>
            <w:tcW w:w="110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09/20/2017</w:t>
            </w:r>
          </w:p>
        </w:tc>
        <w:tc>
          <w:tcPr>
            <w:tcW w:w="1120" w:type="dxa"/>
            <w:vAlign w:val="bottom"/>
          </w:tcPr>
          <w:p>
            <w:pPr>
              <w:spacing w:after="0"/>
              <w:rPr>
                <w:sz w:val="5"/>
                <w:szCs w:val="5"/>
                <w:color w:val="auto"/>
              </w:rPr>
            </w:pPr>
          </w:p>
        </w:tc>
        <w:tc>
          <w:tcPr>
            <w:tcW w:w="820" w:type="dxa"/>
            <w:vAlign w:val="bottom"/>
            <w:vMerge w:val="restart"/>
          </w:tcPr>
          <w:p>
            <w:pPr>
              <w:ind w:left="160"/>
              <w:spacing w:after="0" w:line="145" w:lineRule="exact"/>
              <w:rPr>
                <w:sz w:val="20"/>
                <w:szCs w:val="20"/>
                <w:color w:val="auto"/>
              </w:rPr>
            </w:pPr>
            <w:r>
              <w:rPr>
                <w:rFonts w:ascii="Arial" w:cs="Arial" w:eastAsia="Arial" w:hAnsi="Arial"/>
                <w:sz w:val="13"/>
                <w:szCs w:val="13"/>
                <w:color w:val="0000FF"/>
              </w:rPr>
              <w:t>A</w:t>
            </w:r>
          </w:p>
        </w:tc>
        <w:tc>
          <w:tcPr>
            <w:tcW w:w="50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8,941</w:t>
            </w:r>
          </w:p>
        </w:tc>
        <w:tc>
          <w:tcPr>
            <w:tcW w:w="5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8,941</w:t>
            </w:r>
          </w:p>
        </w:tc>
        <w:tc>
          <w:tcPr>
            <w:tcW w:w="76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7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7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vMerge w:val="restart"/>
          </w:tcPr>
          <w:p>
            <w:pPr>
              <w:jc w:val="right"/>
              <w:ind w:right="263"/>
              <w:spacing w:after="0"/>
              <w:rPr>
                <w:sz w:val="20"/>
                <w:szCs w:val="20"/>
                <w:color w:val="auto"/>
              </w:rPr>
            </w:pPr>
            <w:r>
              <w:rPr>
                <w:rFonts w:ascii="Arial" w:cs="Arial" w:eastAsia="Arial" w:hAnsi="Arial"/>
                <w:sz w:val="11"/>
                <w:szCs w:val="11"/>
                <w:color w:val="008000"/>
              </w:rPr>
              <w:t>(7)</w:t>
            </w:r>
          </w:p>
        </w:tc>
        <w:tc>
          <w:tcPr>
            <w:tcW w:w="76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8"/>
              </w:rPr>
              <w:t>51,375</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rPr>
              <w:t>(8)</w:t>
            </w: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700" w:type="dxa"/>
            <w:vAlign w:val="bottom"/>
          </w:tcPr>
          <w:p>
            <w:pPr>
              <w:ind w:left="60"/>
              <w:spacing w:after="0" w:line="128" w:lineRule="exact"/>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line="128"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6.16</w:t>
            </w:r>
          </w:p>
        </w:tc>
        <w:tc>
          <w:tcPr>
            <w:tcW w:w="1100" w:type="dxa"/>
            <w:vAlign w:val="bottom"/>
          </w:tcPr>
          <w:p>
            <w:pPr>
              <w:jc w:val="center"/>
              <w:spacing w:after="0" w:line="128" w:lineRule="exact"/>
              <w:rPr>
                <w:sz w:val="20"/>
                <w:szCs w:val="20"/>
                <w:color w:val="auto"/>
              </w:rPr>
            </w:pPr>
            <w:r>
              <w:rPr>
                <w:rFonts w:ascii="Arial" w:cs="Arial" w:eastAsia="Arial" w:hAnsi="Arial"/>
                <w:sz w:val="13"/>
                <w:szCs w:val="13"/>
                <w:color w:val="0000FF"/>
                <w:w w:val="92"/>
              </w:rPr>
              <w:t>09/20/2017</w:t>
            </w:r>
          </w:p>
        </w:tc>
        <w:tc>
          <w:tcPr>
            <w:tcW w:w="1120" w:type="dxa"/>
            <w:vAlign w:val="bottom"/>
          </w:tcPr>
          <w:p>
            <w:pPr>
              <w:spacing w:after="0"/>
              <w:rPr>
                <w:sz w:val="11"/>
                <w:szCs w:val="11"/>
                <w:color w:val="auto"/>
              </w:rPr>
            </w:pPr>
          </w:p>
        </w:tc>
        <w:tc>
          <w:tcPr>
            <w:tcW w:w="820" w:type="dxa"/>
            <w:vAlign w:val="bottom"/>
          </w:tcPr>
          <w:p>
            <w:pPr>
              <w:ind w:left="160"/>
              <w:spacing w:after="0" w:line="128" w:lineRule="exact"/>
              <w:rPr>
                <w:sz w:val="20"/>
                <w:szCs w:val="20"/>
                <w:color w:val="auto"/>
              </w:rPr>
            </w:pPr>
            <w:r>
              <w:rPr>
                <w:rFonts w:ascii="Arial" w:cs="Arial" w:eastAsia="Arial" w:hAnsi="Arial"/>
                <w:sz w:val="13"/>
                <w:szCs w:val="13"/>
                <w:color w:val="0000FF"/>
              </w:rPr>
              <w:t>D</w:t>
            </w:r>
          </w:p>
        </w:tc>
        <w:tc>
          <w:tcPr>
            <w:tcW w:w="50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3"/>
                <w:szCs w:val="13"/>
                <w:color w:val="0000FF"/>
              </w:rPr>
              <w:t>51,375</w:t>
            </w:r>
          </w:p>
        </w:tc>
        <w:tc>
          <w:tcPr>
            <w:tcW w:w="800" w:type="dxa"/>
            <w:vAlign w:val="bottom"/>
            <w:vMerge w:val="continue"/>
          </w:tcPr>
          <w:p>
            <w:pPr>
              <w:spacing w:after="0"/>
              <w:rPr>
                <w:sz w:val="11"/>
                <w:szCs w:val="11"/>
                <w:color w:val="auto"/>
              </w:rPr>
            </w:pPr>
          </w:p>
        </w:tc>
        <w:tc>
          <w:tcPr>
            <w:tcW w:w="760" w:type="dxa"/>
            <w:vAlign w:val="bottom"/>
          </w:tcPr>
          <w:p>
            <w:pPr>
              <w:jc w:val="center"/>
              <w:spacing w:after="0" w:line="128" w:lineRule="exact"/>
              <w:rPr>
                <w:sz w:val="20"/>
                <w:szCs w:val="20"/>
                <w:color w:val="auto"/>
              </w:rPr>
            </w:pPr>
            <w:r>
              <w:rPr>
                <w:rFonts w:ascii="Arial" w:cs="Arial" w:eastAsia="Arial" w:hAnsi="Arial"/>
                <w:sz w:val="13"/>
                <w:szCs w:val="13"/>
                <w:color w:val="0000FF"/>
                <w:w w:val="92"/>
              </w:rPr>
              <w:t>02/13/2027</w:t>
            </w:r>
          </w:p>
        </w:tc>
        <w:tc>
          <w:tcPr>
            <w:tcW w:w="6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40" w:type="dxa"/>
            <w:vAlign w:val="bottom"/>
          </w:tcPr>
          <w:p>
            <w:pPr>
              <w:jc w:val="center"/>
              <w:spacing w:after="0" w:line="128" w:lineRule="exact"/>
              <w:rPr>
                <w:sz w:val="20"/>
                <w:szCs w:val="20"/>
                <w:color w:val="auto"/>
              </w:rPr>
            </w:pPr>
            <w:r>
              <w:rPr>
                <w:rFonts w:ascii="Arial" w:cs="Arial" w:eastAsia="Arial" w:hAnsi="Arial"/>
                <w:sz w:val="13"/>
                <w:szCs w:val="13"/>
                <w:color w:val="0000FF"/>
              </w:rPr>
              <w:t>0</w:t>
            </w:r>
          </w:p>
        </w:tc>
        <w:tc>
          <w:tcPr>
            <w:tcW w:w="76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0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ind w:left="160"/>
              <w:spacing w:after="0" w:line="145"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vMerge w:val="restart"/>
          </w:tcPr>
          <w:p>
            <w:pPr>
              <w:jc w:val="right"/>
              <w:ind w:right="263"/>
              <w:spacing w:after="0"/>
              <w:rPr>
                <w:sz w:val="20"/>
                <w:szCs w:val="20"/>
                <w:color w:val="auto"/>
              </w:rPr>
            </w:pPr>
            <w:r>
              <w:rPr>
                <w:rFonts w:ascii="Arial" w:cs="Arial" w:eastAsia="Arial" w:hAnsi="Arial"/>
                <w:sz w:val="11"/>
                <w:szCs w:val="11"/>
                <w:color w:val="008000"/>
              </w:rPr>
              <w:t>(3)</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8"/>
              </w:rPr>
              <w:t>36,697</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rPr>
              <w:t>(8)</w:t>
            </w: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700" w:type="dxa"/>
            <w:vAlign w:val="bottom"/>
          </w:tcPr>
          <w:p>
            <w:pPr>
              <w:ind w:left="60"/>
              <w:spacing w:after="0" w:line="128" w:lineRule="exact"/>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line="128"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5.13</w:t>
            </w:r>
          </w:p>
        </w:tc>
        <w:tc>
          <w:tcPr>
            <w:tcW w:w="1100" w:type="dxa"/>
            <w:vAlign w:val="bottom"/>
          </w:tcPr>
          <w:p>
            <w:pPr>
              <w:jc w:val="center"/>
              <w:spacing w:after="0" w:line="128" w:lineRule="exact"/>
              <w:rPr>
                <w:sz w:val="20"/>
                <w:szCs w:val="20"/>
                <w:color w:val="auto"/>
              </w:rPr>
            </w:pPr>
            <w:r>
              <w:rPr>
                <w:rFonts w:ascii="Arial" w:cs="Arial" w:eastAsia="Arial" w:hAnsi="Arial"/>
                <w:sz w:val="13"/>
                <w:szCs w:val="13"/>
                <w:color w:val="0000FF"/>
                <w:w w:val="92"/>
              </w:rPr>
              <w:t>09/20/2017</w:t>
            </w:r>
          </w:p>
        </w:tc>
        <w:tc>
          <w:tcPr>
            <w:tcW w:w="1120" w:type="dxa"/>
            <w:vAlign w:val="bottom"/>
          </w:tcPr>
          <w:p>
            <w:pPr>
              <w:spacing w:after="0"/>
              <w:rPr>
                <w:sz w:val="11"/>
                <w:szCs w:val="11"/>
                <w:color w:val="auto"/>
              </w:rPr>
            </w:pPr>
          </w:p>
        </w:tc>
        <w:tc>
          <w:tcPr>
            <w:tcW w:w="820" w:type="dxa"/>
            <w:vAlign w:val="bottom"/>
          </w:tcPr>
          <w:p>
            <w:pPr>
              <w:ind w:left="160"/>
              <w:spacing w:after="0" w:line="128" w:lineRule="exact"/>
              <w:rPr>
                <w:sz w:val="20"/>
                <w:szCs w:val="20"/>
                <w:color w:val="auto"/>
              </w:rPr>
            </w:pPr>
            <w:r>
              <w:rPr>
                <w:rFonts w:ascii="Arial" w:cs="Arial" w:eastAsia="Arial" w:hAnsi="Arial"/>
                <w:sz w:val="13"/>
                <w:szCs w:val="13"/>
                <w:color w:val="0000FF"/>
              </w:rPr>
              <w:t>A</w:t>
            </w:r>
          </w:p>
        </w:tc>
        <w:tc>
          <w:tcPr>
            <w:tcW w:w="500" w:type="dxa"/>
            <w:vAlign w:val="bottom"/>
          </w:tcPr>
          <w:p>
            <w:pPr>
              <w:jc w:val="center"/>
              <w:spacing w:after="0" w:line="128" w:lineRule="exact"/>
              <w:rPr>
                <w:sz w:val="20"/>
                <w:szCs w:val="20"/>
                <w:color w:val="auto"/>
              </w:rPr>
            </w:pPr>
            <w:r>
              <w:rPr>
                <w:rFonts w:ascii="Arial" w:cs="Arial" w:eastAsia="Arial" w:hAnsi="Arial"/>
                <w:sz w:val="13"/>
                <w:szCs w:val="13"/>
                <w:color w:val="0000FF"/>
                <w:w w:val="90"/>
              </w:rPr>
              <w:t>36,697</w:t>
            </w:r>
          </w:p>
        </w:tc>
        <w:tc>
          <w:tcPr>
            <w:tcW w:w="5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40" w:type="dxa"/>
            <w:vAlign w:val="bottom"/>
          </w:tcPr>
          <w:p>
            <w:pPr>
              <w:jc w:val="center"/>
              <w:spacing w:after="0" w:line="128" w:lineRule="exact"/>
              <w:rPr>
                <w:sz w:val="20"/>
                <w:szCs w:val="20"/>
                <w:color w:val="auto"/>
              </w:rPr>
            </w:pPr>
            <w:r>
              <w:rPr>
                <w:rFonts w:ascii="Arial" w:cs="Arial" w:eastAsia="Arial" w:hAnsi="Arial"/>
                <w:sz w:val="13"/>
                <w:szCs w:val="13"/>
                <w:color w:val="0000FF"/>
                <w:w w:val="90"/>
              </w:rPr>
              <w:t>36,697</w:t>
            </w:r>
          </w:p>
        </w:tc>
        <w:tc>
          <w:tcPr>
            <w:tcW w:w="76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ind w:left="160"/>
              <w:spacing w:after="0" w:line="145"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70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provided for vesting of 12/48th of the total number of shares subject to the Option on May 7, 2016 and thirty-six equal monthly installments beginning on June 7, 2017.</w:t>
      </w:r>
    </w:p>
    <w:p>
      <w:pPr>
        <w:spacing w:after="0" w:line="48" w:lineRule="exact"/>
        <w:rPr>
          <w:rFonts w:ascii="Arial" w:cs="Arial" w:eastAsia="Arial" w:hAnsi="Arial"/>
          <w:sz w:val="13"/>
          <w:szCs w:val="13"/>
          <w:color w:val="008000"/>
        </w:rPr>
      </w:pPr>
    </w:p>
    <w:p>
      <w:pPr>
        <w:ind w:left="40" w:right="640" w:firstLine="5"/>
        <w:spacing w:after="0" w:line="25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20, 2017, the Issuer cancelled, pursuant to the Issuer's option exchange program, an Option for 31,000 shares of FLDM common stock granted to the Reporting Person on May 21, 2015. In exchange, the Reporting Person received a replacement Option, for 7,127 shares, having an exercise price of $5.13 per share.</w:t>
      </w:r>
    </w:p>
    <w:p>
      <w:pPr>
        <w:spacing w:after="0" w:line="21" w:lineRule="exact"/>
        <w:rPr>
          <w:rFonts w:ascii="Arial" w:cs="Arial" w:eastAsia="Arial" w:hAnsi="Arial"/>
          <w:sz w:val="13"/>
          <w:szCs w:val="13"/>
          <w:color w:val="008000"/>
        </w:rPr>
      </w:pPr>
    </w:p>
    <w:p>
      <w:pPr>
        <w:ind w:left="40" w:right="200" w:firstLine="5"/>
        <w:spacing w:after="0" w:line="25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1/12th of the total number of shares underlying the Option will vest on February 20, 2018, and 1/12th of the total number of shares underlying the Option granted will vest every three months thereafter until fully vested, subject to the Reporting Person's continued status as a Service Provider as defined in the Company's 2011 Equity Incentive Plan through the applicable vest date.</w:t>
      </w:r>
    </w:p>
    <w:p>
      <w:pPr>
        <w:spacing w:after="0" w:line="21"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provided for vesting in forty-eight equal monthly installments beginning on February 1, 2016.</w:t>
      </w:r>
    </w:p>
    <w:p>
      <w:pPr>
        <w:spacing w:after="0" w:line="48" w:lineRule="exact"/>
        <w:rPr>
          <w:rFonts w:ascii="Arial" w:cs="Arial" w:eastAsia="Arial" w:hAnsi="Arial"/>
          <w:sz w:val="13"/>
          <w:szCs w:val="13"/>
          <w:color w:val="008000"/>
        </w:rPr>
      </w:pPr>
    </w:p>
    <w:p>
      <w:pPr>
        <w:ind w:left="40" w:right="600" w:firstLine="5"/>
        <w:spacing w:after="0" w:line="25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20, 2017, the Issuer cancelled, pursuant to the Issuer's option exchange program, an Option for 13,500 shares of FLDM common stock granted to the Reporting Person on March 4, 2016. In exchange, the Reporting Person received a replacement Option, for 8,941 shares, having an exercise price of $5.13 per share.</w:t>
      </w:r>
    </w:p>
    <w:p>
      <w:pPr>
        <w:spacing w:after="0" w:line="21"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expiration date is September 20, 2027.</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provided for vesting in forty-eight equal monthly installments beginning on February 1, 2017.</w:t>
      </w:r>
    </w:p>
    <w:p>
      <w:pPr>
        <w:spacing w:after="0" w:line="48" w:lineRule="exact"/>
        <w:rPr>
          <w:rFonts w:ascii="Arial" w:cs="Arial" w:eastAsia="Arial" w:hAnsi="Arial"/>
          <w:sz w:val="13"/>
          <w:szCs w:val="13"/>
          <w:color w:val="008000"/>
        </w:rPr>
      </w:pPr>
    </w:p>
    <w:p>
      <w:pPr>
        <w:ind w:left="40" w:right="400" w:firstLine="5"/>
        <w:spacing w:after="0" w:line="25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20, 2017, the Issuer cancelled, pursuant to the Issuer's option exchange program, an Option for 51,375 shares of FLDM common stock granted to the Reporting Person on February 13, 2017. In exchange, the Reporting Person received a replacement Option, for 36,697 shares, having an exercise price of $5.13 per share.</w:t>
      </w:r>
    </w:p>
    <w:p>
      <w:pPr>
        <w:sectPr>
          <w:pgSz w:w="11900" w:h="16838" w:orient="portrait"/>
          <w:cols w:equalWidth="0" w:num="1">
            <w:col w:w="11520"/>
          </w:cols>
          <w:pgMar w:left="240" w:top="224" w:right="139" w:bottom="0" w:gutter="0" w:footer="0" w:header="0"/>
          <w:type w:val="continuous"/>
        </w:sectPr>
      </w:pPr>
    </w:p>
    <w:p>
      <w:pPr>
        <w:spacing w:after="0" w:line="1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520"/>
          </w:cols>
          <w:pgMar w:left="240" w:top="224" w:right="1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6"/>
          <w:szCs w:val="16"/>
          <w:color w:val="0000FF"/>
        </w:rPr>
        <w:t>/s/ Nicholas Khadder, Attorney- 09/22/2017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-1905</wp:posOffset>
            </wp:positionV>
            <wp:extent cx="19526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2625" cy="8255"/>
                    </a:xfrm>
                    <a:prstGeom prst="rect">
                      <a:avLst/>
                    </a:prstGeom>
                    <a:noFill/>
                  </pic:spPr>
                </pic:pic>
              </a:graphicData>
            </a:graphic>
          </wp:anchor>
        </w:drawing>
      </w:r>
    </w:p>
    <w:p>
      <w:pPr>
        <w:spacing w:after="0" w:line="13"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-12700</wp:posOffset>
            </wp:positionV>
            <wp:extent cx="2838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3845" cy="8255"/>
                    </a:xfrm>
                    <a:prstGeom prst="rect">
                      <a:avLst/>
                    </a:prstGeom>
                    <a:noFill/>
                  </pic:spPr>
                </pic:pic>
              </a:graphicData>
            </a:graphic>
          </wp:anchor>
        </w:drawing>
      </w:r>
    </w:p>
    <w:p>
      <w:pPr>
        <w:spacing w:after="0" w:line="50"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right="2559" w:firstLine="5"/>
        <w:spacing w:after="0" w:line="315" w:lineRule="auto"/>
        <w:tabs>
          <w:tab w:leader="none" w:pos="13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641858"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2019-12-04T00:45:41Z</dcterms:created>
  <dcterms:modified xsi:type="dcterms:W3CDTF">2019-12-04T00:45:41Z</dcterms:modified>
</cp:coreProperties>
</file>