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19, 2024</w:t>
      </w:r>
    </w:p>
    <w:p>
      <w:pPr>
        <w:spacing w:after="0" w:line="225" w:lineRule="exact"/>
        <w:rPr>
          <w:sz w:val="24"/>
          <w:szCs w:val="24"/>
          <w:color w:val="auto"/>
        </w:rPr>
      </w:pPr>
    </w:p>
    <w:p>
      <w:pPr>
        <w:ind w:left="93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STANDARD BIOTOOLS INC.</w:t>
      </w:r>
    </w:p>
    <w:p>
      <w:pPr>
        <w:spacing w:after="0" w:line="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1740" w:type="dxa"/>
        <w:tblCellMar>
          <w:top w:w="0" w:type="dxa"/>
          <w:left w:w="0" w:type="dxa"/>
          <w:bottom w:w="0" w:type="dxa"/>
          <w:right w:w="0" w:type="dxa"/>
        </w:tblCellMar>
      </w:tblPr>
      <w:tr>
        <w:trPr>
          <w:trHeight w:val="216"/>
        </w:trPr>
        <w:tc>
          <w:tcPr>
            <w:tcW w:w="402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8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77-0513190</w:t>
            </w:r>
          </w:p>
        </w:tc>
      </w:tr>
      <w:tr>
        <w:trPr>
          <w:trHeight w:val="216"/>
        </w:trPr>
        <w:tc>
          <w:tcPr>
            <w:tcW w:w="402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48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02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48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 Tower Place, Suite 2000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Standard BioTools Inc. Amended and Restated 2011 Equity Incentive Plan</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(Full Title of Plan)</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Michael Egholm, Ph.D.</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 Tower Place, Suite 2000</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(Name, Address and Telephone Number, including area code, of Agent for Service)</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William C. Hicks, Esq.</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John T. Rudy, Esq.</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Mintz, Levin, Cohn, Ferris, Glovsky and Popeo, P.C.</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One Financial Center</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Boston, MA 02111</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(617) 542-6000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080"/>
          </w:cols>
          <w:pgMar w:left="320" w:top="441" w:right="499" w:bottom="1440" w:gutter="0" w:footer="0" w:header="0"/>
        </w:sectPr>
      </w:pPr>
    </w:p>
    <w:p>
      <w:pPr>
        <w:spacing w:after="0" w:line="1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020" w:space="720"/>
            <w:col w:w="5340"/>
          </w:cols>
          <w:pgMar w:left="320" w:top="441" w:right="49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441" w:right="49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being filed by Standard BioTools Inc. (f/k/a Fluidigm Corporation) (the “Registrant”) for the purpose of registering an additional 15,000,000 shares of common stock, par value $0.001 per share, of the Registrant (the “Common Stock”) reserved for issuance under the Standard BioTools Inc. Amended and Restated 2011 Equity Incentive Plan (the “2011 Plan”) effective as of January 4, 2024. This registration statement registers additional securities of the same class as other securities for which a registration statement filed on Form S-8 (File No. 333-172206) relating to an employee benefit plan is effective. The information contained in the Registrant’s registration statements</w:t>
      </w:r>
    </w:p>
    <w:p>
      <w:pPr>
        <w:spacing w:after="0" w:line="3" w:lineRule="exact"/>
        <w:rPr>
          <w:sz w:val="20"/>
          <w:szCs w:val="20"/>
          <w:color w:val="auto"/>
        </w:rPr>
      </w:pPr>
    </w:p>
    <w:p>
      <w:pPr>
        <w:jc w:val="both"/>
        <w:ind w:right="80"/>
        <w:spacing w:after="0" w:line="253" w:lineRule="auto"/>
        <w:rPr>
          <w:rFonts w:ascii="Times New Roman" w:cs="Times New Roman" w:eastAsia="Times New Roman" w:hAnsi="Times New Roman"/>
          <w:sz w:val="18"/>
          <w:szCs w:val="18"/>
          <w:color w:val="000000"/>
        </w:rPr>
      </w:pPr>
      <w:hyperlink r:id="rId16">
        <w:r>
          <w:rPr>
            <w:rFonts w:ascii="Times New Roman" w:cs="Times New Roman" w:eastAsia="Times New Roman" w:hAnsi="Times New Roman"/>
            <w:sz w:val="18"/>
            <w:szCs w:val="18"/>
            <w:color w:val="auto"/>
          </w:rPr>
          <w:t xml:space="preserve">on Form S-8 filed with the Securities and Exchange Commission on </w:t>
        </w:r>
        <w:r>
          <w:rPr>
            <w:rFonts w:ascii="Times New Roman" w:cs="Times New Roman" w:eastAsia="Times New Roman" w:hAnsi="Times New Roman"/>
            <w:sz w:val="18"/>
            <w:szCs w:val="18"/>
            <w:u w:val="single" w:color="auto"/>
            <w:color w:val="0000EE"/>
          </w:rPr>
          <w:t>February 11, 2011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26, 2012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12, 2013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21, 2014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26,</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u w:val="single" w:color="auto"/>
            <w:color w:val="0000EE"/>
          </w:rPr>
          <w:t>2015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7">
        <w:r>
          <w:rPr>
            <w:rFonts w:ascii="Times New Roman" w:cs="Times New Roman" w:eastAsia="Times New Roman" w:hAnsi="Times New Roman"/>
            <w:sz w:val="18"/>
            <w:szCs w:val="18"/>
            <w:u w:val="single" w:color="auto"/>
            <w:color w:val="0000EE"/>
          </w:rPr>
          <w:t xml:space="preserve">March 3, 2016 </w:t>
        </w:r>
      </w:hyperlink>
      <w:hyperlink r:id="rId16">
        <w:r>
          <w:rPr>
            <w:rFonts w:ascii="Times New Roman" w:cs="Times New Roman" w:eastAsia="Times New Roman" w:hAnsi="Times New Roman"/>
            <w:sz w:val="18"/>
            <w:szCs w:val="18"/>
            <w:color w:val="000000"/>
          </w:rPr>
          <w:t>(</w:t>
        </w:r>
      </w:hyperlink>
      <w:hyperlink r:id="rId18">
        <w:r>
          <w:rPr>
            <w:rFonts w:ascii="Times New Roman" w:cs="Times New Roman" w:eastAsia="Times New Roman" w:hAnsi="Times New Roman"/>
            <w:sz w:val="18"/>
            <w:szCs w:val="18"/>
            <w:u w:val="single" w:color="auto"/>
            <w:color w:val="0000EE"/>
          </w:rPr>
          <w:t>as amended on March 15, 2016</w:t>
        </w:r>
      </w:hyperlink>
      <w:hyperlink r:id="rId1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9">
        <w:r>
          <w:rPr>
            <w:rFonts w:ascii="Times New Roman" w:cs="Times New Roman" w:eastAsia="Times New Roman" w:hAnsi="Times New Roman"/>
            <w:sz w:val="18"/>
            <w:szCs w:val="18"/>
            <w:u w:val="single" w:color="auto"/>
            <w:color w:val="0000EE"/>
          </w:rPr>
          <w:t>January 13, 2017</w:t>
        </w:r>
      </w:hyperlink>
      <w:hyperlink r:id="rId1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0">
        <w:r>
          <w:rPr>
            <w:rFonts w:ascii="Times New Roman" w:cs="Times New Roman" w:eastAsia="Times New Roman" w:hAnsi="Times New Roman"/>
            <w:sz w:val="18"/>
            <w:szCs w:val="18"/>
            <w:u w:val="single" w:color="auto"/>
            <w:color w:val="0000EE"/>
          </w:rPr>
          <w:t>January 16, 2018</w:t>
        </w:r>
      </w:hyperlink>
      <w:hyperlink r:id="rId1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1">
        <w:r>
          <w:rPr>
            <w:rFonts w:ascii="Times New Roman" w:cs="Times New Roman" w:eastAsia="Times New Roman" w:hAnsi="Times New Roman"/>
            <w:sz w:val="18"/>
            <w:szCs w:val="18"/>
            <w:u w:val="single" w:color="auto"/>
            <w:color w:val="0000EE"/>
          </w:rPr>
          <w:t>January 11, 2019</w:t>
        </w:r>
      </w:hyperlink>
      <w:hyperlink r:id="rId1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2">
        <w:r>
          <w:rPr>
            <w:rFonts w:ascii="Times New Roman" w:cs="Times New Roman" w:eastAsia="Times New Roman" w:hAnsi="Times New Roman"/>
            <w:sz w:val="18"/>
            <w:szCs w:val="18"/>
            <w:u w:val="single" w:color="auto"/>
            <w:color w:val="0000EE"/>
          </w:rPr>
          <w:t>June 28, 2019</w:t>
        </w:r>
      </w:hyperlink>
      <w:hyperlink r:id="rId1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3">
        <w:r>
          <w:rPr>
            <w:rFonts w:ascii="Times New Roman" w:cs="Times New Roman" w:eastAsia="Times New Roman" w:hAnsi="Times New Roman"/>
            <w:sz w:val="18"/>
            <w:szCs w:val="18"/>
            <w:u w:val="single" w:color="auto"/>
            <w:color w:val="0000EE"/>
          </w:rPr>
          <w:t>July 10, 2020</w:t>
        </w:r>
      </w:hyperlink>
      <w:hyperlink r:id="rId1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4">
        <w:r>
          <w:rPr>
            <w:rFonts w:ascii="Times New Roman" w:cs="Times New Roman" w:eastAsia="Times New Roman" w:hAnsi="Times New Roman"/>
            <w:sz w:val="18"/>
            <w:szCs w:val="18"/>
            <w:u w:val="single" w:color="auto"/>
            <w:color w:val="0000EE"/>
          </w:rPr>
          <w:t>May 28, 2021</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and </w:t>
      </w:r>
      <w:hyperlink r:id="rId25">
        <w:r>
          <w:rPr>
            <w:rFonts w:ascii="Times New Roman" w:cs="Times New Roman" w:eastAsia="Times New Roman" w:hAnsi="Times New Roman"/>
            <w:sz w:val="18"/>
            <w:szCs w:val="18"/>
            <w:u w:val="single" w:color="auto"/>
            <w:color w:val="0000EE"/>
          </w:rPr>
          <w:t>June 16, 2023</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(File Nos. 333-172206, 333-180363, 333-187204, 333-194084, 333-202325, 333-209904, 333-215555, 333-222561, 333-229214, 333-232441, 333-239810, 333-256617 and 333-272753) is hereby incorporated by reference pursuant to General Instruction E of Form S-8.</w:t>
      </w:r>
    </w:p>
    <w:p>
      <w:pPr>
        <w:spacing w:after="0" w:line="396" w:lineRule="exact"/>
        <w:rPr>
          <w:rFonts w:ascii="Times New Roman" w:cs="Times New Roman" w:eastAsia="Times New Roman" w:hAnsi="Times New Roman"/>
          <w:sz w:val="18"/>
          <w:szCs w:val="18"/>
          <w:color w:val="0000EE"/>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86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16"/>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9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Incorporated</w:t>
            </w:r>
          </w:p>
        </w:tc>
        <w:tc>
          <w:tcPr>
            <w:tcW w:w="12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w w:val="98"/>
              </w:rPr>
              <w:t>Date Filed</w:t>
            </w: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No.</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by Reference</w:t>
            </w:r>
          </w:p>
        </w:tc>
        <w:tc>
          <w:tcPr>
            <w:tcW w:w="124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From Exhibit</w:t>
            </w:r>
          </w:p>
        </w:tc>
        <w:tc>
          <w:tcPr>
            <w:tcW w:w="1240" w:type="dxa"/>
            <w:vAlign w:val="bottom"/>
          </w:tcPr>
          <w:p>
            <w:pPr>
              <w:spacing w:after="0"/>
              <w:rPr>
                <w:sz w:val="18"/>
                <w:szCs w:val="18"/>
                <w:color w:val="auto"/>
              </w:rPr>
            </w:pPr>
          </w:p>
        </w:tc>
      </w:tr>
      <w:tr>
        <w:trPr>
          <w:trHeight w:val="238"/>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40" w:type="dxa"/>
            <w:vAlign w:val="bottom"/>
          </w:tcPr>
          <w:p>
            <w:pPr>
              <w:spacing w:after="0"/>
              <w:rPr>
                <w:sz w:val="20"/>
                <w:szCs w:val="20"/>
                <w:color w:val="auto"/>
              </w:rPr>
            </w:pPr>
          </w:p>
        </w:tc>
      </w:tr>
      <w:tr>
        <w:trPr>
          <w:trHeight w:val="203"/>
        </w:trPr>
        <w:tc>
          <w:tcPr>
            <w:tcW w:w="440" w:type="dxa"/>
            <w:vAlign w:val="bottom"/>
            <w:gridSpan w:val="4"/>
          </w:tcPr>
          <w:p>
            <w:pPr>
              <w:jc w:val="center"/>
              <w:ind w:left="30"/>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0" w:type="dxa"/>
            <w:vAlign w:val="bottom"/>
            <w:gridSpan w:val="22"/>
          </w:tcPr>
          <w:p>
            <w:pPr>
              <w:spacing w:after="0" w:line="202"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Specimen Common Stock Certificate of the Registrant.</w:t>
              </w:r>
            </w:hyperlink>
          </w:p>
        </w:tc>
        <w:tc>
          <w:tcPr>
            <w:tcW w:w="134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color w:val="auto"/>
              </w:rPr>
              <w:t>S-8</w:t>
            </w:r>
          </w:p>
        </w:tc>
        <w:tc>
          <w:tcPr>
            <w:tcW w:w="1980" w:type="dxa"/>
            <w:vAlign w:val="bottom"/>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1240" w:type="dxa"/>
            <w:vAlign w:val="bottom"/>
          </w:tcPr>
          <w:p>
            <w:pPr>
              <w:jc w:val="center"/>
              <w:ind w:left="350"/>
              <w:spacing w:after="0" w:line="202" w:lineRule="exact"/>
              <w:rPr>
                <w:sz w:val="20"/>
                <w:szCs w:val="20"/>
                <w:color w:val="auto"/>
              </w:rPr>
            </w:pPr>
            <w:r>
              <w:rPr>
                <w:rFonts w:ascii="Times New Roman" w:cs="Times New Roman" w:eastAsia="Times New Roman" w:hAnsi="Times New Roman"/>
                <w:sz w:val="18"/>
                <w:szCs w:val="18"/>
                <w:color w:val="auto"/>
                <w:w w:val="99"/>
              </w:rPr>
              <w:t>4/1/2022</w:t>
            </w: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440" w:type="dxa"/>
            <w:vAlign w:val="bottom"/>
            <w:gridSpan w:val="4"/>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Eighth Amended and Restated Certificate of Incorporation of the</w:t>
              </w:r>
            </w:hyperlink>
          </w:p>
        </w:tc>
        <w:tc>
          <w:tcPr>
            <w:tcW w:w="520" w:type="dxa"/>
            <w:vAlign w:val="bottom"/>
            <w:gridSpan w:val="4"/>
          </w:tcPr>
          <w:p>
            <w:pPr>
              <w:spacing w:after="0"/>
              <w:rPr>
                <w:sz w:val="17"/>
                <w:szCs w:val="17"/>
                <w:color w:val="auto"/>
              </w:rPr>
            </w:pPr>
          </w:p>
        </w:tc>
        <w:tc>
          <w:tcPr>
            <w:tcW w:w="134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98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40" w:type="dxa"/>
            <w:vAlign w:val="bottom"/>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8"/>
              </w:rPr>
              <w:t>3/28/2011</w:t>
            </w:r>
          </w:p>
        </w:tc>
      </w:tr>
      <w:tr>
        <w:trPr>
          <w:trHeight w:val="196"/>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0" w:type="dxa"/>
            <w:vAlign w:val="bottom"/>
            <w:gridSpan w:val="22"/>
          </w:tcPr>
          <w:p>
            <w:pPr>
              <w:spacing w:after="0" w:line="196"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Registrant filed on February 15, 2011.</w:t>
              </w:r>
            </w:hyperlink>
          </w:p>
        </w:tc>
        <w:tc>
          <w:tcPr>
            <w:tcW w:w="1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440" w:type="dxa"/>
            <w:vAlign w:val="bottom"/>
            <w:gridSpan w:val="4"/>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5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Certificate of Amendment to the Eighth Amended and Restated</w:t>
              </w:r>
            </w:hyperlink>
          </w:p>
        </w:tc>
        <w:tc>
          <w:tcPr>
            <w:tcW w:w="620" w:type="dxa"/>
            <w:vAlign w:val="bottom"/>
            <w:gridSpan w:val="6"/>
          </w:tcPr>
          <w:p>
            <w:pPr>
              <w:spacing w:after="0"/>
              <w:rPr>
                <w:sz w:val="17"/>
                <w:szCs w:val="17"/>
                <w:color w:val="auto"/>
              </w:rPr>
            </w:pPr>
          </w:p>
        </w:tc>
        <w:tc>
          <w:tcPr>
            <w:tcW w:w="134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198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40" w:type="dxa"/>
            <w:vAlign w:val="bottom"/>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4/1/2022</w:t>
            </w:r>
          </w:p>
        </w:tc>
      </w:tr>
      <w:tr>
        <w:trPr>
          <w:trHeight w:val="196"/>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0" w:type="dxa"/>
            <w:vAlign w:val="bottom"/>
            <w:gridSpan w:val="22"/>
          </w:tcPr>
          <w:p>
            <w:pPr>
              <w:spacing w:after="0" w:line="19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Certificate of Incorporation, filed on April 1, 2022</w:t>
              </w:r>
              <w:r>
                <w:rPr>
                  <w:rFonts w:ascii="Times New Roman" w:cs="Times New Roman" w:eastAsia="Times New Roman" w:hAnsi="Times New Roman"/>
                  <w:sz w:val="18"/>
                  <w:szCs w:val="18"/>
                  <w:color w:val="000000"/>
                </w:rPr>
                <w:t>.</w:t>
              </w:r>
            </w:hyperlink>
          </w:p>
        </w:tc>
        <w:tc>
          <w:tcPr>
            <w:tcW w:w="1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440" w:type="dxa"/>
            <w:vAlign w:val="bottom"/>
            <w:gridSpan w:val="4"/>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5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Second Certificate of Amendment to the Eighth Amended and</w:t>
              </w:r>
            </w:hyperlink>
          </w:p>
        </w:tc>
        <w:tc>
          <w:tcPr>
            <w:tcW w:w="700" w:type="dxa"/>
            <w:vAlign w:val="bottom"/>
            <w:gridSpan w:val="8"/>
          </w:tcPr>
          <w:p>
            <w:pPr>
              <w:spacing w:after="0"/>
              <w:rPr>
                <w:sz w:val="17"/>
                <w:szCs w:val="17"/>
                <w:color w:val="auto"/>
              </w:rPr>
            </w:pPr>
          </w:p>
        </w:tc>
        <w:tc>
          <w:tcPr>
            <w:tcW w:w="134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98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40" w:type="dxa"/>
            <w:vAlign w:val="bottom"/>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1/5/2024</w:t>
            </w:r>
          </w:p>
        </w:tc>
      </w:tr>
      <w:tr>
        <w:trPr>
          <w:trHeight w:val="196"/>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Restated Certificate of Incorporation filed on January 4, 2024.</w:t>
              </w:r>
            </w:hyperlink>
          </w:p>
        </w:tc>
        <w:tc>
          <w:tcPr>
            <w:tcW w:w="720" w:type="dxa"/>
            <w:vAlign w:val="bottom"/>
            <w:gridSpan w:val="9"/>
          </w:tcPr>
          <w:p>
            <w:pPr>
              <w:spacing w:after="0"/>
              <w:rPr>
                <w:sz w:val="17"/>
                <w:szCs w:val="17"/>
                <w:color w:val="auto"/>
              </w:rPr>
            </w:pPr>
          </w:p>
        </w:tc>
        <w:tc>
          <w:tcPr>
            <w:tcW w:w="1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440" w:type="dxa"/>
            <w:vAlign w:val="bottom"/>
            <w:gridSpan w:val="4"/>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7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31">
              <w:r>
                <w:rPr>
                  <w:rFonts w:ascii="Times New Roman" w:cs="Times New Roman" w:eastAsia="Times New Roman" w:hAnsi="Times New Roman"/>
                  <w:sz w:val="18"/>
                  <w:szCs w:val="18"/>
                  <w:color w:val="0000FF"/>
                  <w:w w:val="99"/>
                </w:rPr>
                <w:t>Certificate of Designation of Rights, Preferences and Privileges of</w:t>
              </w:r>
            </w:hyperlink>
          </w:p>
        </w:tc>
        <w:tc>
          <w:tcPr>
            <w:tcW w:w="420" w:type="dxa"/>
            <w:vAlign w:val="bottom"/>
            <w:gridSpan w:val="2"/>
          </w:tcPr>
          <w:p>
            <w:pPr>
              <w:spacing w:after="0"/>
              <w:rPr>
                <w:sz w:val="17"/>
                <w:szCs w:val="17"/>
                <w:color w:val="auto"/>
              </w:rPr>
            </w:pPr>
          </w:p>
        </w:tc>
        <w:tc>
          <w:tcPr>
            <w:tcW w:w="134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98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40" w:type="dxa"/>
            <w:vAlign w:val="bottom"/>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7"/>
              </w:rPr>
              <w:t>11/22/2016</w:t>
            </w:r>
          </w:p>
        </w:tc>
      </w:tr>
      <w:tr>
        <w:trPr>
          <w:trHeight w:val="196"/>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8"/>
              </w:rPr>
            </w:pPr>
            <w:hyperlink r:id="rId31">
              <w:r>
                <w:rPr>
                  <w:rFonts w:ascii="Times New Roman" w:cs="Times New Roman" w:eastAsia="Times New Roman" w:hAnsi="Times New Roman"/>
                  <w:sz w:val="18"/>
                  <w:szCs w:val="18"/>
                  <w:color w:val="0000FF"/>
                  <w:w w:val="98"/>
                </w:rPr>
                <w:t>Series A Participating Preferred Stock.</w:t>
              </w:r>
            </w:hyperlink>
          </w:p>
        </w:tc>
        <w:tc>
          <w:tcPr>
            <w:tcW w:w="2420" w:type="dxa"/>
            <w:vAlign w:val="bottom"/>
            <w:gridSpan w:val="14"/>
          </w:tcPr>
          <w:p>
            <w:pPr>
              <w:spacing w:after="0"/>
              <w:rPr>
                <w:sz w:val="17"/>
                <w:szCs w:val="17"/>
                <w:color w:val="auto"/>
              </w:rPr>
            </w:pPr>
          </w:p>
        </w:tc>
        <w:tc>
          <w:tcPr>
            <w:tcW w:w="1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440" w:type="dxa"/>
            <w:vAlign w:val="bottom"/>
            <w:gridSpan w:val="4"/>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0" w:type="dxa"/>
            <w:vAlign w:val="bottom"/>
            <w:gridSpan w:val="22"/>
          </w:tcPr>
          <w:p>
            <w:pPr>
              <w:spacing w:after="0" w:line="196"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Certificate of Elimination of Series A Participating Preferred Stock</w:t>
              </w:r>
            </w:hyperlink>
          </w:p>
        </w:tc>
        <w:tc>
          <w:tcPr>
            <w:tcW w:w="134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98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40" w:type="dxa"/>
            <w:vAlign w:val="bottom"/>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8/2/2017</w:t>
            </w:r>
          </w:p>
        </w:tc>
      </w:tr>
      <w:tr>
        <w:trPr>
          <w:trHeight w:val="196"/>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20" w:type="dxa"/>
            <w:vAlign w:val="bottom"/>
            <w:tcBorders>
              <w:top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of the Registrant</w:t>
              </w:r>
              <w:r>
                <w:rPr>
                  <w:rFonts w:ascii="Times New Roman" w:cs="Times New Roman" w:eastAsia="Times New Roman" w:hAnsi="Times New Roman"/>
                  <w:sz w:val="18"/>
                  <w:szCs w:val="18"/>
                  <w:color w:val="000000"/>
                </w:rPr>
                <w:t>.</w:t>
              </w:r>
            </w:hyperlink>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440" w:type="dxa"/>
            <w:vAlign w:val="bottom"/>
            <w:gridSpan w:val="4"/>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0" w:type="dxa"/>
            <w:vAlign w:val="bottom"/>
            <w:gridSpan w:val="22"/>
          </w:tcPr>
          <w:p>
            <w:pPr>
              <w:spacing w:after="0" w:line="196"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Amended and Restated Bylaws of Standard BioTools Inc.</w:t>
              </w:r>
            </w:hyperlink>
          </w:p>
        </w:tc>
        <w:tc>
          <w:tcPr>
            <w:tcW w:w="134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198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240" w:type="dxa"/>
            <w:vAlign w:val="bottom"/>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4/1/2022</w:t>
            </w: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6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440" w:type="dxa"/>
            <w:vAlign w:val="bottom"/>
            <w:gridSpan w:val="4"/>
          </w:tcPr>
          <w:p>
            <w:pPr>
              <w:jc w:val="center"/>
              <w:ind w:left="30"/>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Opinion of Mintz, Levin, Cohn, Ferris, Glovsky and Popeo, P.C.</w:t>
            </w:r>
          </w:p>
        </w:tc>
        <w:tc>
          <w:tcPr>
            <w:tcW w:w="560" w:type="dxa"/>
            <w:vAlign w:val="bottom"/>
            <w:gridSpan w:val="5"/>
          </w:tcPr>
          <w:p>
            <w:pPr>
              <w:spacing w:after="0"/>
              <w:rPr>
                <w:sz w:val="17"/>
                <w:szCs w:val="17"/>
                <w:color w:val="auto"/>
              </w:rPr>
            </w:pPr>
          </w:p>
        </w:tc>
        <w:tc>
          <w:tcPr>
            <w:tcW w:w="1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860" w:type="dxa"/>
            <w:vAlign w:val="bottom"/>
            <w:gridSpan w:val="7"/>
          </w:tcPr>
          <w:p>
            <w:pPr>
              <w:jc w:val="center"/>
              <w:ind w:right="300"/>
              <w:spacing w:after="0" w:line="196" w:lineRule="exact"/>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1*</w:t>
            </w:r>
          </w:p>
        </w:tc>
        <w:tc>
          <w:tcPr>
            <w:tcW w:w="52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Consent of PricewaterhouseCoopers LLP, Independent Registered</w:t>
            </w:r>
          </w:p>
        </w:tc>
        <w:tc>
          <w:tcPr>
            <w:tcW w:w="1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Public Accounting Firm.</w:t>
            </w:r>
          </w:p>
        </w:tc>
        <w:tc>
          <w:tcPr>
            <w:tcW w:w="2980" w:type="dxa"/>
            <w:vAlign w:val="bottom"/>
            <w:tcBorders>
              <w:top w:val="single" w:sz="8" w:color="0000EE"/>
            </w:tcBorders>
            <w:gridSpan w:val="13"/>
          </w:tcPr>
          <w:p>
            <w:pPr>
              <w:spacing w:after="0"/>
              <w:rPr>
                <w:sz w:val="17"/>
                <w:szCs w:val="17"/>
                <w:color w:val="auto"/>
              </w:rPr>
            </w:pPr>
          </w:p>
        </w:tc>
        <w:tc>
          <w:tcPr>
            <w:tcW w:w="440" w:type="dxa"/>
            <w:vAlign w:val="bottom"/>
            <w:gridSpan w:val="3"/>
          </w:tcPr>
          <w:p>
            <w:pPr>
              <w:spacing w:after="0"/>
              <w:rPr>
                <w:sz w:val="17"/>
                <w:szCs w:val="17"/>
                <w:color w:val="auto"/>
              </w:rPr>
            </w:pPr>
          </w:p>
        </w:tc>
        <w:tc>
          <w:tcPr>
            <w:tcW w:w="1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860" w:type="dxa"/>
            <w:vAlign w:val="bottom"/>
            <w:gridSpan w:val="7"/>
          </w:tcPr>
          <w:p>
            <w:pPr>
              <w:jc w:val="center"/>
              <w:ind w:right="300"/>
              <w:spacing w:after="0" w:line="196" w:lineRule="exact"/>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2*</w:t>
            </w:r>
          </w:p>
        </w:tc>
        <w:tc>
          <w:tcPr>
            <w:tcW w:w="52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Consent of Ernst &amp; Young LLP, Independent Registered Public</w:t>
            </w:r>
          </w:p>
        </w:tc>
        <w:tc>
          <w:tcPr>
            <w:tcW w:w="1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Accounting Firm.</w:t>
            </w:r>
          </w:p>
        </w:tc>
        <w:tc>
          <w:tcPr>
            <w:tcW w:w="3260" w:type="dxa"/>
            <w:vAlign w:val="bottom"/>
            <w:tcBorders>
              <w:top w:val="single" w:sz="8" w:color="0000EE"/>
            </w:tcBorders>
            <w:gridSpan w:val="11"/>
          </w:tcPr>
          <w:p>
            <w:pPr>
              <w:spacing w:after="0"/>
              <w:rPr>
                <w:sz w:val="17"/>
                <w:szCs w:val="17"/>
                <w:color w:val="auto"/>
              </w:rPr>
            </w:pPr>
          </w:p>
        </w:tc>
        <w:tc>
          <w:tcPr>
            <w:tcW w:w="660" w:type="dxa"/>
            <w:vAlign w:val="bottom"/>
            <w:gridSpan w:val="7"/>
          </w:tcPr>
          <w:p>
            <w:pPr>
              <w:spacing w:after="0"/>
              <w:rPr>
                <w:sz w:val="17"/>
                <w:szCs w:val="17"/>
                <w:color w:val="auto"/>
              </w:rPr>
            </w:pPr>
          </w:p>
        </w:tc>
        <w:tc>
          <w:tcPr>
            <w:tcW w:w="1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860" w:type="dxa"/>
            <w:vAlign w:val="bottom"/>
            <w:gridSpan w:val="7"/>
          </w:tcPr>
          <w:p>
            <w:pPr>
              <w:jc w:val="center"/>
              <w:ind w:right="300"/>
              <w:spacing w:after="0" w:line="196" w:lineRule="exact"/>
              <w:rPr>
                <w:sz w:val="20"/>
                <w:szCs w:val="20"/>
                <w:color w:val="auto"/>
              </w:rPr>
            </w:pPr>
            <w:r>
              <w:rPr>
                <w:rFonts w:ascii="Times New Roman" w:cs="Times New Roman" w:eastAsia="Times New Roman" w:hAnsi="Times New Roman"/>
                <w:sz w:val="18"/>
                <w:szCs w:val="18"/>
                <w:color w:val="auto"/>
                <w:w w:val="98"/>
              </w:rPr>
              <w:t>24.1*</w:t>
            </w:r>
          </w:p>
        </w:tc>
        <w:tc>
          <w:tcPr>
            <w:tcW w:w="52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(included on the signature page to this</w:t>
            </w:r>
          </w:p>
        </w:tc>
        <w:tc>
          <w:tcPr>
            <w:tcW w:w="1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registration statement).</w:t>
            </w:r>
          </w:p>
        </w:tc>
        <w:tc>
          <w:tcPr>
            <w:tcW w:w="2480" w:type="dxa"/>
            <w:vAlign w:val="bottom"/>
            <w:tcBorders>
              <w:top w:val="single" w:sz="8" w:color="0000EE"/>
            </w:tcBorders>
            <w:gridSpan w:val="6"/>
          </w:tcPr>
          <w:p>
            <w:pPr>
              <w:spacing w:after="0"/>
              <w:rPr>
                <w:sz w:val="17"/>
                <w:szCs w:val="17"/>
                <w:color w:val="auto"/>
              </w:rPr>
            </w:pPr>
          </w:p>
        </w:tc>
        <w:tc>
          <w:tcPr>
            <w:tcW w:w="1060" w:type="dxa"/>
            <w:vAlign w:val="bottom"/>
            <w:gridSpan w:val="11"/>
          </w:tcPr>
          <w:p>
            <w:pPr>
              <w:spacing w:after="0"/>
              <w:rPr>
                <w:sz w:val="17"/>
                <w:szCs w:val="17"/>
                <w:color w:val="auto"/>
              </w:rPr>
            </w:pPr>
          </w:p>
        </w:tc>
        <w:tc>
          <w:tcPr>
            <w:tcW w:w="1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860" w:type="dxa"/>
            <w:vAlign w:val="bottom"/>
            <w:gridSpan w:val="7"/>
          </w:tcPr>
          <w:p>
            <w:pPr>
              <w:jc w:val="center"/>
              <w:ind w:right="300"/>
              <w:spacing w:after="0" w:line="196" w:lineRule="exact"/>
              <w:rPr>
                <w:sz w:val="20"/>
                <w:szCs w:val="20"/>
                <w:color w:val="auto"/>
              </w:rPr>
            </w:pPr>
            <w:r>
              <w:rPr>
                <w:rFonts w:ascii="Times New Roman" w:cs="Times New Roman" w:eastAsia="Times New Roman" w:hAnsi="Times New Roman"/>
                <w:sz w:val="18"/>
                <w:szCs w:val="18"/>
                <w:color w:val="auto"/>
                <w:w w:val="98"/>
              </w:rPr>
              <w:t>99.1#</w:t>
            </w:r>
          </w:p>
        </w:tc>
        <w:tc>
          <w:tcPr>
            <w:tcW w:w="43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4">
              <w:r>
                <w:rPr>
                  <w:rFonts w:ascii="Times New Roman" w:cs="Times New Roman" w:eastAsia="Times New Roman" w:hAnsi="Times New Roman"/>
                  <w:sz w:val="18"/>
                  <w:szCs w:val="18"/>
                  <w:color w:val="0000FF"/>
                  <w:w w:val="99"/>
                </w:rPr>
                <w:t>Standard BioTools Inc. Amended and Restated 2011 Equity</w:t>
              </w:r>
            </w:hyperlink>
          </w:p>
        </w:tc>
        <w:tc>
          <w:tcPr>
            <w:tcW w:w="900" w:type="dxa"/>
            <w:vAlign w:val="bottom"/>
            <w:gridSpan w:val="10"/>
          </w:tcPr>
          <w:p>
            <w:pPr>
              <w:spacing w:after="0"/>
              <w:rPr>
                <w:sz w:val="17"/>
                <w:szCs w:val="17"/>
                <w:color w:val="auto"/>
              </w:rPr>
            </w:pPr>
          </w:p>
        </w:tc>
        <w:tc>
          <w:tcPr>
            <w:tcW w:w="134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98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40" w:type="dxa"/>
            <w:vAlign w:val="bottom"/>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1/5/2024</w:t>
            </w:r>
          </w:p>
        </w:tc>
      </w:tr>
      <w:tr>
        <w:trPr>
          <w:trHeight w:val="196"/>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34">
              <w:r>
                <w:rPr>
                  <w:rFonts w:ascii="Times New Roman" w:cs="Times New Roman" w:eastAsia="Times New Roman" w:hAnsi="Times New Roman"/>
                  <w:sz w:val="18"/>
                  <w:szCs w:val="18"/>
                  <w:color w:val="0000FF"/>
                  <w:w w:val="98"/>
                </w:rPr>
                <w:t>Incentive Plan.</w:t>
              </w:r>
            </w:hyperlink>
          </w:p>
        </w:tc>
        <w:tc>
          <w:tcPr>
            <w:tcW w:w="4120" w:type="dxa"/>
            <w:vAlign w:val="bottom"/>
            <w:gridSpan w:val="21"/>
          </w:tcPr>
          <w:p>
            <w:pPr>
              <w:spacing w:after="0"/>
              <w:rPr>
                <w:sz w:val="17"/>
                <w:szCs w:val="17"/>
                <w:color w:val="auto"/>
              </w:rPr>
            </w:pPr>
          </w:p>
        </w:tc>
        <w:tc>
          <w:tcPr>
            <w:tcW w:w="1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00" w:type="dxa"/>
            <w:vAlign w:val="bottom"/>
            <w:gridSpan w:val="2"/>
          </w:tcPr>
          <w:p>
            <w:pPr>
              <w:spacing w:after="0"/>
              <w:rPr>
                <w:sz w:val="17"/>
                <w:szCs w:val="17"/>
                <w:color w:val="auto"/>
              </w:rPr>
            </w:pPr>
          </w:p>
        </w:tc>
        <w:tc>
          <w:tcPr>
            <w:tcW w:w="360" w:type="dxa"/>
            <w:vAlign w:val="bottom"/>
            <w:tcBorders>
              <w:bottom w:val="single" w:sz="8" w:color="0000EE"/>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107*</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Filing Fee Table.</w:t>
            </w:r>
          </w:p>
        </w:tc>
        <w:tc>
          <w:tcPr>
            <w:tcW w:w="3980" w:type="dxa"/>
            <w:vAlign w:val="bottom"/>
            <w:gridSpan w:val="19"/>
          </w:tcPr>
          <w:p>
            <w:pPr>
              <w:spacing w:after="0"/>
              <w:rPr>
                <w:sz w:val="17"/>
                <w:szCs w:val="17"/>
                <w:color w:val="auto"/>
              </w:rPr>
            </w:pPr>
          </w:p>
        </w:tc>
        <w:tc>
          <w:tcPr>
            <w:tcW w:w="1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 contract, or arrangement.</w:t>
      </w:r>
    </w:p>
    <w:p>
      <w:pPr>
        <w:spacing w:after="0" w:line="200" w:lineRule="exact"/>
        <w:rPr>
          <w:sz w:val="20"/>
          <w:szCs w:val="20"/>
          <w:color w:val="auto"/>
        </w:rPr>
      </w:pPr>
    </w:p>
    <w:p>
      <w:pPr>
        <w:spacing w:after="0" w:line="22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00"/>
          </w:cols>
          <w:pgMar w:left="320" w:top="900" w:right="7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January 19, 2024.</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Egholm,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Michael Egholm, Ph.D.</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Michael Egholm, Ph.D. and Jeffrey G. Black,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Pursuant to the requirements of the Securities Act of 1933, this registration statement has been signed by the following persons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780" w:type="dxa"/>
            <w:vAlign w:val="bottom"/>
          </w:tcPr>
          <w:p>
            <w:pPr>
              <w:spacing w:after="0"/>
              <w:rPr>
                <w:sz w:val="17"/>
                <w:szCs w:val="17"/>
                <w:color w:val="auto"/>
              </w:rPr>
            </w:pPr>
          </w:p>
        </w:tc>
        <w:tc>
          <w:tcPr>
            <w:tcW w:w="13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53"/>
        </w:trPr>
        <w:tc>
          <w:tcPr>
            <w:tcW w:w="3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Michael Egholm, Ph.D.</w:t>
            </w:r>
          </w:p>
        </w:tc>
        <w:tc>
          <w:tcPr>
            <w:tcW w:w="5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30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January 19, 2024</w:t>
            </w:r>
          </w:p>
        </w:tc>
      </w:tr>
      <w:tr>
        <w:trPr>
          <w:trHeight w:val="22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Egholm, Ph.D.</w:t>
            </w:r>
          </w:p>
        </w:tc>
        <w:tc>
          <w:tcPr>
            <w:tcW w:w="5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4"/>
        </w:trPr>
        <w:tc>
          <w:tcPr>
            <w:tcW w:w="3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Jeffrey G. Black</w:t>
            </w:r>
          </w:p>
        </w:tc>
        <w:tc>
          <w:tcPr>
            <w:tcW w:w="5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0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January 19, 2024</w:t>
            </w:r>
          </w:p>
        </w:tc>
      </w:tr>
      <w:tr>
        <w:trPr>
          <w:trHeight w:val="22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Jeffrey G. Black</w:t>
            </w:r>
          </w:p>
        </w:tc>
        <w:tc>
          <w:tcPr>
            <w:tcW w:w="5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4"/>
        </w:trPr>
        <w:tc>
          <w:tcPr>
            <w:tcW w:w="3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Tom Carey</w:t>
            </w:r>
          </w:p>
        </w:tc>
        <w:tc>
          <w:tcPr>
            <w:tcW w:w="5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30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January 19, 2024</w:t>
            </w:r>
          </w:p>
        </w:tc>
      </w:tr>
      <w:tr>
        <w:trPr>
          <w:trHeight w:val="22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Tom Carey</w:t>
            </w:r>
          </w:p>
        </w:tc>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4"/>
        </w:trPr>
        <w:tc>
          <w:tcPr>
            <w:tcW w:w="3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Frank R. Witney, Ph.D.</w:t>
            </w:r>
          </w:p>
        </w:tc>
        <w:tc>
          <w:tcPr>
            <w:tcW w:w="5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0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January 19, 2024</w:t>
            </w:r>
          </w:p>
        </w:tc>
      </w:tr>
      <w:tr>
        <w:trPr>
          <w:trHeight w:val="22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Frank R. Witney, Ph.D.</w:t>
            </w:r>
          </w:p>
        </w:tc>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4"/>
        </w:trPr>
        <w:tc>
          <w:tcPr>
            <w:tcW w:w="3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Fenel M. Eloi</w:t>
            </w:r>
          </w:p>
        </w:tc>
        <w:tc>
          <w:tcPr>
            <w:tcW w:w="5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0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January 19, 2024</w:t>
            </w:r>
          </w:p>
        </w:tc>
      </w:tr>
      <w:tr>
        <w:trPr>
          <w:trHeight w:val="22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Fenel M. Eloi</w:t>
            </w:r>
          </w:p>
        </w:tc>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4"/>
        </w:trPr>
        <w:tc>
          <w:tcPr>
            <w:tcW w:w="3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Troy Cox</w:t>
            </w:r>
          </w:p>
        </w:tc>
        <w:tc>
          <w:tcPr>
            <w:tcW w:w="5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0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January 19, 2024</w:t>
            </w:r>
          </w:p>
        </w:tc>
      </w:tr>
      <w:tr>
        <w:trPr>
          <w:trHeight w:val="22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Troy Cox</w:t>
            </w:r>
          </w:p>
        </w:tc>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4"/>
        </w:trPr>
        <w:tc>
          <w:tcPr>
            <w:tcW w:w="3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Eli Casdin</w:t>
            </w:r>
          </w:p>
        </w:tc>
        <w:tc>
          <w:tcPr>
            <w:tcW w:w="5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0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January 19, 2024</w:t>
            </w:r>
          </w:p>
        </w:tc>
      </w:tr>
      <w:tr>
        <w:trPr>
          <w:trHeight w:val="22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 Casdin</w:t>
            </w:r>
          </w:p>
        </w:tc>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4"/>
        </w:trPr>
        <w:tc>
          <w:tcPr>
            <w:tcW w:w="3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Kathy Hibbs</w:t>
            </w:r>
          </w:p>
        </w:tc>
        <w:tc>
          <w:tcPr>
            <w:tcW w:w="5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0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January 19, 2024</w:t>
            </w:r>
          </w:p>
        </w:tc>
      </w:tr>
      <w:tr>
        <w:trPr>
          <w:trHeight w:val="22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Kathy Hibbs</w:t>
            </w:r>
          </w:p>
        </w:tc>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657"/>
        </w:trPr>
        <w:tc>
          <w:tcPr>
            <w:tcW w:w="1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-119380</wp:posOffset>
            </wp:positionV>
            <wp:extent cx="582930" cy="754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extLst>
                    </a:blip>
                    <a:srcRect/>
                    <a:stretch>
                      <a:fillRect/>
                    </a:stretch>
                  </pic:blipFill>
                  <pic:spPr bwMode="auto">
                    <a:xfrm>
                      <a:off x="0" y="0"/>
                      <a:ext cx="582930" cy="754380"/>
                    </a:xfrm>
                    <a:prstGeom prst="rect">
                      <a:avLst/>
                    </a:prstGeom>
                    <a:noFill/>
                  </pic:spPr>
                </pic:pic>
              </a:graphicData>
            </a:graphic>
          </wp:anchor>
        </w:drawing>
      </w:r>
    </w:p>
    <w:p>
      <w:pPr>
        <w:spacing w:after="0" w:line="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Boston, MA 02111</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617 542 6000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mintz.com</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January 19, 2024</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BioTools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Tower Place, Suite 2000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7"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acted as legal counsel to Standard BioTools Inc., a Delaware corporation (the “Company”), in connection with the preparation and filing with the Securities and Exchange Commission (the “Commission”) of a Registration Statement on Form S-8 (the “Registration Statement”), pursuant to which the Company is registering the issuance under the Securities Act of 1933, as amended (the “Securities Act”), of an aggregate of 15,000,000 additional shares (the “Shares”) of the Company’s common stock, par value $0.001 per share, that may be issued pursuant to the Company’s Amended and Restated 2011 Equity Incentive Plan (the “2011 Plan”). This opinion is being rendered in connection with the filing of the Registration Statement with the Commission. All capitalized terms used herein and not otherwise defined shall have the respective meanings given to them in the Registration Statement.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this opinion, we have examined the Company’s Eighth Amended and Restated Certificate of Incorporation, as amended, and Amended and Restated Bylaws, each as currently in effect; such other records of the corporate proceedings of the Company and certificates of the Company’s officers as we have deemed relevant; and the Registration Statement and the exhibits thereto.</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copies, the authenticity of the originals of such copies, and the truth and correctness of any representations and warranties contained therein. In addition, we have assumed that the Company will receive any required consideration in accordance with the terms of the 2011 Plan.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opinion expressed herein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Based upon the foregoing, we are of the opinion that the Shares, when issued and delivered in accordance with the terms of the 2011 Plan,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jc w:val="center"/>
        <w:spacing w:after="0"/>
        <w:tabs>
          <w:tab w:leader="none" w:pos="160" w:val="left"/>
          <w:tab w:leader="none" w:pos="160" w:val="left"/>
          <w:tab w:leader="none" w:pos="160" w:val="left"/>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BOSTON</w:t>
        <w:tab/>
        <w:t>LOS ANGELES</w:t>
        <w:tab/>
        <w:t>MIAMI</w:t>
        <w:tab/>
        <w:t>NEW YORK</w:t>
        <w:tab/>
        <w:t>SAN DIEGO</w:t>
        <w:tab/>
        <w:t>SAN FRANCISCO</w:t>
        <w:tab/>
        <w:t>TORONTO</w:t>
      </w:r>
      <w:r>
        <w:rPr>
          <w:sz w:val="20"/>
          <w:szCs w:val="20"/>
          <w:color w:val="auto"/>
        </w:rPr>
        <w:tab/>
      </w:r>
      <w:r>
        <w:rPr>
          <w:rFonts w:ascii="Times New Roman" w:cs="Times New Roman" w:eastAsia="Times New Roman" w:hAnsi="Times New Roman"/>
          <w:sz w:val="17"/>
          <w:szCs w:val="17"/>
          <w:color w:val="auto"/>
        </w:rPr>
        <w:t>WASHINGTON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-116840</wp:posOffset>
            </wp:positionV>
            <wp:extent cx="360045" cy="480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extLst>
                    </a:blip>
                    <a:srcRect/>
                    <a:stretch>
                      <a:fillRect/>
                    </a:stretch>
                  </pic:blipFill>
                  <pic:spPr bwMode="auto">
                    <a:xfrm>
                      <a:off x="0" y="0"/>
                      <a:ext cx="360045" cy="4800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2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We understand that you wish to file this opinion with the Commission as an exhibit to the Registration Statement in accordance with the requirements of Item 601(b)(5) of Regulation S-K promulgated under the Securities Act,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Mintz, Levin, Cohn, Ferris, Glovsky and Popeo, P.C.</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Standard BioTools Inc. of our report dated March 14, 2023 relating to the financial statements and the effectiveness of internal control over financial reporting, which appears in Standard BioTools Inc.’s Annual Report on Form 10-K for the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of Standard BioTools Inc. pertaining to the Standard BioTools Inc. Amended and Restated 2011 Equity Incentive Plan of our report dated March 28, 2023, with respect to the consolidated financial statements of SomaLogic, Inc. as of and for the years ended December 31, 2022 and 2021 included in the Amendment No. 1 to the Current Report on Form 8-K of Standard BioTools Inc., filed with the Securities and Exchange Commission on January 19,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ind w:left="1032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1: Newly Registered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427"/>
        </w:trPr>
        <w:tc>
          <w:tcPr>
            <w:tcW w:w="1520" w:type="dxa"/>
            <w:vAlign w:val="bottom"/>
            <w:tcBorders>
              <w:top w:val="single" w:sz="8" w:color="auto"/>
              <w:left w:val="single" w:sz="8" w:color="auto"/>
              <w:right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20" w:type="dxa"/>
            <w:vAlign w:val="bottom"/>
            <w:tcBorders>
              <w:top w:val="single" w:sz="8" w:color="auto"/>
              <w:right w:val="single" w:sz="8" w:color="auto"/>
            </w:tcBorders>
          </w:tcPr>
          <w:p>
            <w:pPr>
              <w:spacing w:after="0"/>
              <w:rPr>
                <w:sz w:val="24"/>
                <w:szCs w:val="24"/>
                <w:color w:val="auto"/>
              </w:rPr>
            </w:pPr>
          </w:p>
        </w:tc>
        <w:tc>
          <w:tcPr>
            <w:tcW w:w="1680" w:type="dxa"/>
            <w:vAlign w:val="bottom"/>
            <w:tcBorders>
              <w:top w:val="single" w:sz="8" w:color="auto"/>
              <w:right w:val="single" w:sz="8" w:color="auto"/>
            </w:tcBorders>
          </w:tcPr>
          <w:p>
            <w:pPr>
              <w:spacing w:after="0"/>
              <w:rPr>
                <w:sz w:val="24"/>
                <w:szCs w:val="24"/>
                <w:color w:val="auto"/>
              </w:rPr>
            </w:pPr>
          </w:p>
        </w:tc>
        <w:tc>
          <w:tcPr>
            <w:tcW w:w="1640" w:type="dxa"/>
            <w:vAlign w:val="bottom"/>
            <w:tcBorders>
              <w:top w:val="single" w:sz="8" w:color="auto"/>
              <w:right w:val="single" w:sz="8" w:color="auto"/>
            </w:tcBorders>
          </w:tcPr>
          <w:p>
            <w:pPr>
              <w:spacing w:after="0"/>
              <w:rPr>
                <w:sz w:val="24"/>
                <w:szCs w:val="24"/>
                <w:color w:val="auto"/>
              </w:rPr>
            </w:pP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Proposed</w:t>
            </w:r>
          </w:p>
        </w:tc>
        <w:tc>
          <w:tcPr>
            <w:tcW w:w="1020" w:type="dxa"/>
            <w:vAlign w:val="bottom"/>
            <w:tcBorders>
              <w:top w:val="single" w:sz="8" w:color="auto"/>
              <w:right w:val="single" w:sz="8" w:color="auto"/>
            </w:tcBorders>
          </w:tcPr>
          <w:p>
            <w:pPr>
              <w:spacing w:after="0"/>
              <w:rPr>
                <w:sz w:val="24"/>
                <w:szCs w:val="24"/>
                <w:color w:val="auto"/>
              </w:rPr>
            </w:pPr>
          </w:p>
        </w:tc>
        <w:tc>
          <w:tcPr>
            <w:tcW w:w="1540" w:type="dxa"/>
            <w:vAlign w:val="bottom"/>
            <w:tcBorders>
              <w:top w:val="single" w:sz="8" w:color="auto"/>
              <w:right w:val="single" w:sz="8" w:color="auto"/>
            </w:tcBorders>
          </w:tcPr>
          <w:p>
            <w:pPr>
              <w:spacing w:after="0"/>
              <w:rPr>
                <w:sz w:val="24"/>
                <w:szCs w:val="24"/>
                <w:color w:val="auto"/>
              </w:rPr>
            </w:pPr>
          </w:p>
        </w:tc>
        <w:tc>
          <w:tcPr>
            <w:tcW w:w="13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15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9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Security</w:t>
            </w:r>
          </w:p>
        </w:tc>
        <w:tc>
          <w:tcPr>
            <w:tcW w:w="3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16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Aggregate</w:t>
            </w:r>
          </w:p>
        </w:tc>
        <w:tc>
          <w:tcPr>
            <w:tcW w:w="15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Amount of</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Security</w:t>
            </w:r>
          </w:p>
        </w:tc>
        <w:tc>
          <w:tcPr>
            <w:tcW w:w="9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Class</w:t>
            </w:r>
          </w:p>
        </w:tc>
        <w:tc>
          <w:tcPr>
            <w:tcW w:w="3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Calculation</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Amount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Per</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Offering</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Registration</w:t>
            </w:r>
          </w:p>
        </w:tc>
        <w:tc>
          <w:tcPr>
            <w:tcW w:w="0" w:type="dxa"/>
            <w:vAlign w:val="bottom"/>
          </w:tcPr>
          <w:p>
            <w:pPr>
              <w:spacing w:after="0"/>
              <w:rPr>
                <w:sz w:val="1"/>
                <w:szCs w:val="1"/>
                <w:color w:val="auto"/>
              </w:rPr>
            </w:pPr>
          </w:p>
        </w:tc>
      </w:tr>
      <w:tr>
        <w:trPr>
          <w:trHeight w:val="241"/>
        </w:trPr>
        <w:tc>
          <w:tcPr>
            <w:tcW w:w="1520" w:type="dxa"/>
            <w:vAlign w:val="bottom"/>
            <w:tcBorders>
              <w:left w:val="single" w:sz="8" w:color="auto"/>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Type</w:t>
            </w:r>
          </w:p>
        </w:tc>
        <w:tc>
          <w:tcPr>
            <w:tcW w:w="98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Title</w:t>
            </w:r>
          </w:p>
        </w:tc>
        <w:tc>
          <w:tcPr>
            <w:tcW w:w="3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Price</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0" w:type="dxa"/>
            <w:vAlign w:val="bottom"/>
          </w:tcPr>
          <w:p>
            <w:pPr>
              <w:spacing w:after="0"/>
              <w:rPr>
                <w:sz w:val="1"/>
                <w:szCs w:val="1"/>
                <w:color w:val="auto"/>
              </w:rPr>
            </w:pPr>
          </w:p>
        </w:tc>
      </w:tr>
      <w:tr>
        <w:trPr>
          <w:trHeight w:val="198"/>
        </w:trPr>
        <w:tc>
          <w:tcPr>
            <w:tcW w:w="1520" w:type="dxa"/>
            <w:vAlign w:val="bottom"/>
            <w:tcBorders>
              <w:left w:val="single" w:sz="8" w:color="auto"/>
              <w:right w:val="single" w:sz="8" w:color="auto"/>
            </w:tcBorders>
          </w:tcPr>
          <w:p>
            <w:pPr>
              <w:spacing w:after="0"/>
              <w:rPr>
                <w:sz w:val="17"/>
                <w:szCs w:val="17"/>
                <w:color w:val="auto"/>
              </w:rPr>
            </w:pPr>
          </w:p>
        </w:tc>
        <w:tc>
          <w:tcPr>
            <w:tcW w:w="98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w w:val="98"/>
              </w:rPr>
              <w:t>Common</w:t>
            </w:r>
          </w:p>
        </w:tc>
        <w:tc>
          <w:tcPr>
            <w:tcW w:w="32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w:t>
            </w:r>
          </w:p>
        </w:tc>
        <w:tc>
          <w:tcPr>
            <w:tcW w:w="3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Equity</w:t>
            </w:r>
          </w:p>
        </w:tc>
        <w:tc>
          <w:tcPr>
            <w:tcW w:w="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$0.001</w:t>
            </w:r>
          </w:p>
        </w:tc>
        <w:tc>
          <w:tcPr>
            <w:tcW w:w="3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457(c) and 457(h)</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15,000,000 (1)</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$2.275 (2)</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$34,125,000</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$0.00014760</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$5,036.85</w:t>
            </w:r>
          </w:p>
        </w:tc>
        <w:tc>
          <w:tcPr>
            <w:tcW w:w="0" w:type="dxa"/>
            <w:vAlign w:val="bottom"/>
          </w:tcPr>
          <w:p>
            <w:pPr>
              <w:spacing w:after="0"/>
              <w:rPr>
                <w:sz w:val="1"/>
                <w:szCs w:val="1"/>
                <w:color w:val="auto"/>
              </w:rPr>
            </w:pPr>
          </w:p>
        </w:tc>
      </w:tr>
      <w:tr>
        <w:trPr>
          <w:trHeight w:val="126"/>
        </w:trPr>
        <w:tc>
          <w:tcPr>
            <w:tcW w:w="1520" w:type="dxa"/>
            <w:vAlign w:val="bottom"/>
            <w:tcBorders>
              <w:left w:val="single" w:sz="8" w:color="auto"/>
              <w:right w:val="single" w:sz="8" w:color="auto"/>
            </w:tcBorders>
            <w:vMerge w:val="continue"/>
          </w:tcPr>
          <w:p>
            <w:pPr>
              <w:spacing w:after="0"/>
              <w:rPr>
                <w:sz w:val="10"/>
                <w:szCs w:val="10"/>
                <w:color w:val="auto"/>
              </w:rPr>
            </w:pPr>
          </w:p>
        </w:tc>
        <w:tc>
          <w:tcPr>
            <w:tcW w:w="9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9"/>
              </w:rPr>
              <w:t>par value</w:t>
            </w:r>
          </w:p>
        </w:tc>
        <w:tc>
          <w:tcPr>
            <w:tcW w:w="32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54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520" w:type="dxa"/>
            <w:vAlign w:val="bottom"/>
            <w:tcBorders>
              <w:left w:val="single" w:sz="8" w:color="auto"/>
              <w:right w:val="single" w:sz="8" w:color="auto"/>
            </w:tcBorders>
          </w:tcPr>
          <w:p>
            <w:pPr>
              <w:spacing w:after="0"/>
              <w:rPr>
                <w:sz w:val="7"/>
                <w:szCs w:val="7"/>
                <w:color w:val="auto"/>
              </w:rPr>
            </w:pPr>
          </w:p>
        </w:tc>
        <w:tc>
          <w:tcPr>
            <w:tcW w:w="980" w:type="dxa"/>
            <w:vAlign w:val="bottom"/>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per</w:t>
            </w:r>
          </w:p>
        </w:tc>
        <w:tc>
          <w:tcPr>
            <w:tcW w:w="3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52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share</w:t>
            </w:r>
          </w:p>
        </w:tc>
        <w:tc>
          <w:tcPr>
            <w:tcW w:w="3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2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520" w:type="dxa"/>
            <w:vAlign w:val="bottom"/>
            <w:tcBorders>
              <w:left w:val="single" w:sz="8" w:color="auto"/>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Offering Amounts</w:t>
            </w:r>
          </w:p>
        </w:tc>
        <w:tc>
          <w:tcPr>
            <w:tcW w:w="16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$34,125,000</w:t>
            </w:r>
          </w:p>
        </w:tc>
        <w:tc>
          <w:tcPr>
            <w:tcW w:w="15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$5,036.85</w:t>
            </w:r>
          </w:p>
        </w:tc>
        <w:tc>
          <w:tcPr>
            <w:tcW w:w="0" w:type="dxa"/>
            <w:vAlign w:val="bottom"/>
          </w:tcPr>
          <w:p>
            <w:pPr>
              <w:spacing w:after="0"/>
              <w:rPr>
                <w:sz w:val="1"/>
                <w:szCs w:val="1"/>
                <w:color w:val="auto"/>
              </w:rPr>
            </w:pPr>
          </w:p>
        </w:tc>
      </w:tr>
      <w:tr>
        <w:trPr>
          <w:trHeight w:val="223"/>
        </w:trPr>
        <w:tc>
          <w:tcPr>
            <w:tcW w:w="1520" w:type="dxa"/>
            <w:vAlign w:val="bottom"/>
            <w:tcBorders>
              <w:left w:val="single" w:sz="8" w:color="auto"/>
              <w:bottom w:val="single" w:sz="8" w:color="auto"/>
            </w:tcBorders>
          </w:tcPr>
          <w:p>
            <w:pPr>
              <w:spacing w:after="0"/>
              <w:rPr>
                <w:sz w:val="19"/>
                <w:szCs w:val="19"/>
                <w:color w:val="auto"/>
              </w:rPr>
            </w:pPr>
          </w:p>
        </w:tc>
        <w:tc>
          <w:tcPr>
            <w:tcW w:w="2980" w:type="dxa"/>
            <w:vAlign w:val="bottom"/>
            <w:tcBorders>
              <w:bottom w:val="single" w:sz="8" w:color="auto"/>
            </w:tcBorders>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164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1520" w:type="dxa"/>
            <w:vAlign w:val="bottom"/>
            <w:tcBorders>
              <w:left w:val="single" w:sz="8" w:color="auto"/>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jc w:val="center"/>
              <w:ind w:right="630"/>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64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1520" w:type="dxa"/>
            <w:vAlign w:val="bottom"/>
            <w:tcBorders>
              <w:left w:val="single" w:sz="8" w:color="auto"/>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jc w:val="center"/>
              <w:ind w:right="630"/>
              <w:spacing w:after="0"/>
              <w:rPr>
                <w:sz w:val="20"/>
                <w:szCs w:val="20"/>
                <w:color w:val="auto"/>
              </w:rPr>
            </w:pPr>
            <w:r>
              <w:rPr>
                <w:rFonts w:ascii="Times New Roman" w:cs="Times New Roman" w:eastAsia="Times New Roman" w:hAnsi="Times New Roman"/>
                <w:sz w:val="18"/>
                <w:szCs w:val="18"/>
                <w:color w:val="auto"/>
              </w:rPr>
              <w:t>Net Fee Due</w:t>
            </w:r>
          </w:p>
        </w:tc>
        <w:tc>
          <w:tcPr>
            <w:tcW w:w="164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$5,036.85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-642620</wp:posOffset>
            </wp:positionV>
            <wp:extent cx="825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-642620</wp:posOffset>
            </wp:positionV>
            <wp:extent cx="825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-642620</wp:posOffset>
            </wp:positionV>
            <wp:extent cx="825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-642620</wp:posOffset>
            </wp:positionV>
            <wp:extent cx="825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-642620</wp:posOffset>
            </wp:positionV>
            <wp:extent cx="889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-642620</wp:posOffset>
            </wp:positionV>
            <wp:extent cx="889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-642620</wp:posOffset>
            </wp:positionV>
            <wp:extent cx="889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889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-642620</wp:posOffset>
            </wp:positionV>
            <wp:extent cx="889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extLst>
                    </a:blip>
                    <a:srcRect/>
                    <a:stretch>
                      <a:fillRect/>
                    </a:stretch>
                  </pic:blipFill>
                  <pic:spPr bwMode="auto">
                    <a:xfrm>
                      <a:off x="0" y="0"/>
                      <a:ext cx="8890" cy="25400"/>
                    </a:xfrm>
                    <a:prstGeom prst="rect">
                      <a:avLst/>
                    </a:prstGeom>
                    <a:noFill/>
                  </pic:spPr>
                </pic:pic>
              </a:graphicData>
            </a:graphic>
          </wp:anchor>
        </w:drawing>
      </w:r>
    </w:p>
    <w:p>
      <w:pPr>
        <w:spacing w:after="0" w:line="178" w:lineRule="exact"/>
        <w:rPr>
          <w:sz w:val="20"/>
          <w:szCs w:val="20"/>
          <w:color w:val="auto"/>
        </w:rPr>
      </w:pPr>
    </w:p>
    <w:p>
      <w:pPr>
        <w:jc w:val="both"/>
        <w:ind w:left="660" w:hanging="652"/>
        <w:spacing w:after="0" w:line="25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Standard BioTools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stated above consists of additional shares of Common Stock available for issuance pursuant to the Standard BioTools Inc. Amended and Restated 2011 Equity Incentive Plan (the “</w:t>
      </w:r>
      <w:r>
        <w:rPr>
          <w:rFonts w:ascii="Times New Roman" w:cs="Times New Roman" w:eastAsia="Times New Roman" w:hAnsi="Times New Roman"/>
          <w:sz w:val="18"/>
          <w:szCs w:val="18"/>
          <w:u w:val="single" w:color="auto"/>
          <w:color w:val="auto"/>
        </w:rPr>
        <w:t>2011 Plan</w:t>
      </w:r>
      <w:r>
        <w:rPr>
          <w:rFonts w:ascii="Times New Roman" w:cs="Times New Roman" w:eastAsia="Times New Roman" w:hAnsi="Times New Roman"/>
          <w:sz w:val="18"/>
          <w:szCs w:val="18"/>
          <w:color w:val="auto"/>
        </w:rPr>
        <w:t>”). In addition, pursuant to Rule 416(a)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this Registration Statement shall also cover any additional shares of the Registrant’s Common Stock that become issuable under the 2011 Plan by reason of an event such as any stock split, stock dividend or similar adjustment effected without the Registrant’s receipt of consideration that increases the number of the outstanding shares of Common Stock.</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457(c) and Rule 457(h) under the Securities Act. The offering price per share and the aggregate offering price for shares reserved for future grant or issuance under the 2011 Plan are based upon a price of $2.275 per share, which is the average of the high and the low price of Registrant’s Common Stock as reported on The Nasdaq Global Select Market as of a date (January 16, 2024) within five business days prior to filing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6" Type="http://schemas.openxmlformats.org/officeDocument/2006/relationships/image" Target="media/image9.png"/><Relationship Id="rId35" Type="http://schemas.openxmlformats.org/officeDocument/2006/relationships/image" Target="media/image10.png"/><Relationship Id="rId36" Type="http://schemas.openxmlformats.org/officeDocument/2006/relationships/image" Target="media/image11.png"/><Relationship Id="rId37" Type="http://schemas.openxmlformats.org/officeDocument/2006/relationships/image" Target="media/image12.png"/><Relationship Id="rId38" Type="http://schemas.openxmlformats.org/officeDocument/2006/relationships/image" Target="media/image13.jpeg"/><Relationship Id="rId39" Type="http://schemas.openxmlformats.org/officeDocument/2006/relationships/image" Target="media/image14.png"/><Relationship Id="rId40" Type="http://schemas.openxmlformats.org/officeDocument/2006/relationships/image" Target="media/image15.png"/><Relationship Id="rId41" Type="http://schemas.openxmlformats.org/officeDocument/2006/relationships/image" Target="media/image16.jpeg"/><Relationship Id="rId42" Type="http://schemas.openxmlformats.org/officeDocument/2006/relationships/image" Target="media/image17.png"/><Relationship Id="rId43" Type="http://schemas.openxmlformats.org/officeDocument/2006/relationships/image" Target="media/image18.png"/><Relationship Id="rId44" Type="http://schemas.openxmlformats.org/officeDocument/2006/relationships/image" Target="media/image19.png"/><Relationship Id="rId45" Type="http://schemas.openxmlformats.org/officeDocument/2006/relationships/image" Target="media/image20.png"/><Relationship Id="rId46" Type="http://schemas.openxmlformats.org/officeDocument/2006/relationships/image" Target="media/image21.png"/><Relationship Id="rId47" Type="http://schemas.openxmlformats.org/officeDocument/2006/relationships/image" Target="media/image22.png"/><Relationship Id="rId48" Type="http://schemas.openxmlformats.org/officeDocument/2006/relationships/image" Target="media/image23.png"/><Relationship Id="rId49" Type="http://schemas.openxmlformats.org/officeDocument/2006/relationships/image" Target="media/image24.png"/><Relationship Id="rId50" Type="http://schemas.openxmlformats.org/officeDocument/2006/relationships/image" Target="media/image25.png"/><Relationship Id="rId51" Type="http://schemas.openxmlformats.org/officeDocument/2006/relationships/image" Target="media/image26.png"/><Relationship Id="rId52" Type="http://schemas.openxmlformats.org/officeDocument/2006/relationships/image" Target="media/image27.png"/><Relationship Id="rId53" Type="http://schemas.openxmlformats.org/officeDocument/2006/relationships/image" Target="media/image28.png"/><Relationship Id="rId54" Type="http://schemas.openxmlformats.org/officeDocument/2006/relationships/image" Target="media/image29.png"/><Relationship Id="rId55" Type="http://schemas.openxmlformats.org/officeDocument/2006/relationships/image" Target="media/image30.png"/><Relationship Id="rId16" Type="http://schemas.openxmlformats.org/officeDocument/2006/relationships/hyperlink" Target="https://www.sec.gov/Archives/edgar/data/1162194/000116219415000041/forms-8x2015.htm" TargetMode="External"/><Relationship Id="rId17" Type="http://schemas.openxmlformats.org/officeDocument/2006/relationships/hyperlink" Target="https://www.sec.gov/Archives/edgar/data/1162194/000116219416000185/fluidigm-formsx8evergreeni.htm" TargetMode="External"/><Relationship Id="rId18" Type="http://schemas.openxmlformats.org/officeDocument/2006/relationships/hyperlink" Target="https://www.sec.gov/Archives/edgar/data/1162194/000116219416000201/fluidigm-formsx8pos.htm" TargetMode="External"/><Relationship Id="rId19" Type="http://schemas.openxmlformats.org/officeDocument/2006/relationships/hyperlink" Target="https://www.sec.gov/Archives/edgar/data/1162194/000119312517009947/d305495ds8.htm" TargetMode="External"/><Relationship Id="rId20" Type="http://schemas.openxmlformats.org/officeDocument/2006/relationships/hyperlink" Target="https://www.sec.gov/Archives/edgar/data/1162194/000114420418002292/tv483317_s8.htm" TargetMode="External"/><Relationship Id="rId21" Type="http://schemas.openxmlformats.org/officeDocument/2006/relationships/hyperlink" Target="https://www.sec.gov/Archives/edgar/data/1162194/000114420419001459/tv510562_s8.htm" TargetMode="External"/><Relationship Id="rId22" Type="http://schemas.openxmlformats.org/officeDocument/2006/relationships/hyperlink" Target="https://www.sec.gov/Archives/edgar/data/1162194/000114420419033092/tv524375_s8.htm" TargetMode="External"/><Relationship Id="rId23" Type="http://schemas.openxmlformats.org/officeDocument/2006/relationships/hyperlink" Target="https://www.sec.gov/Archives/edgar/data/1162194/000116219420000090/fldmforms-8esppeipincrease.htm" TargetMode="External"/><Relationship Id="rId24" Type="http://schemas.openxmlformats.org/officeDocument/2006/relationships/hyperlink" Target="https://www.sec.gov/Archives/edgar/data/1162194/000116219421000066/fldmforms-8eipincreasemay2.htm" TargetMode="External"/><Relationship Id="rId25" Type="http://schemas.openxmlformats.org/officeDocument/2006/relationships/hyperlink" Target="https://www.sec.gov/Archives/edgar/data/1162194/000116219423000037/standardbiotools-formsx8ju.htm" TargetMode="External"/><Relationship Id="rId27" Type="http://schemas.openxmlformats.org/officeDocument/2006/relationships/hyperlink" Target="https://www.sec.gov/Archives/edgar/data/1162194/000119312522093794/d300506dex41.htm" TargetMode="External"/><Relationship Id="rId28" Type="http://schemas.openxmlformats.org/officeDocument/2006/relationships/hyperlink" Target="https://www.sec.gov/Archives/edgar/data/1162194/000119312511078412/dex31.htm" TargetMode="External"/><Relationship Id="rId29" Type="http://schemas.openxmlformats.org/officeDocument/2006/relationships/hyperlink" Target="https://www.sec.gov/Archives/edgar/data/1162194/000119312522093794/d300506dex43.htm" TargetMode="External"/><Relationship Id="rId30" Type="http://schemas.openxmlformats.org/officeDocument/2006/relationships/hyperlink" Target="https://www.sec.gov/Archives/edgar/data/1162194/000110465924001640/tm2333984d3_ex3-1.htm" TargetMode="External"/><Relationship Id="rId31" Type="http://schemas.openxmlformats.org/officeDocument/2006/relationships/hyperlink" Target="https://www.sec.gov/Archives/edgar/data/1162194/000119312516774501/d294669dex31.htm" TargetMode="External"/><Relationship Id="rId32" Type="http://schemas.openxmlformats.org/officeDocument/2006/relationships/hyperlink" Target="https://www.sec.gov/Archives/edgar/data/1162194/000114420417039703/v471897_ex3-1.htm" TargetMode="External"/><Relationship Id="rId33" Type="http://schemas.openxmlformats.org/officeDocument/2006/relationships/hyperlink" Target="https://www.sec.gov/Archives/edgar/data/1162194/000119312522093794/d300506dex48.htm" TargetMode="External"/><Relationship Id="rId34" Type="http://schemas.openxmlformats.org/officeDocument/2006/relationships/hyperlink" Target="https://www.sec.gov/Archives/edgar/data/1162194/000110465924001640/tm2333984d3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2024-01-19T15:52:13Z</dcterms:created>
  <dcterms:modified xsi:type="dcterms:W3CDTF">2024-01-19T15:52:13Z</dcterms:modified>
</cp:coreProperties>
</file>