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Rule 13d-1(b)</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Rule 13d-1(c)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860" w:hanging="556"/>
        <w:spacing w:after="0" w:line="198" w:lineRule="auto"/>
        <w:tabs>
          <w:tab w:leader="none" w:pos="960" w:val="left"/>
        </w:tabs>
        <w:numPr>
          <w:ilvl w:val="0"/>
          <w:numId w:val="1"/>
        </w:numPr>
        <w:rPr>
          <w:rFonts w:ascii="Arial" w:cs="Arial" w:eastAsia="Arial" w:hAnsi="Arial"/>
          <w:sz w:val="50"/>
          <w:szCs w:val="50"/>
          <w:color w:val="auto"/>
          <w:vertAlign w:val="subscript"/>
        </w:rPr>
      </w:pPr>
      <w:r>
        <w:rPr>
          <w:rFonts w:ascii="Arial" w:cs="Arial" w:eastAsia="Arial" w:hAnsi="Arial"/>
          <w:sz w:val="18"/>
          <w:szCs w:val="18"/>
          <w:color w:val="auto"/>
        </w:rPr>
        <w:t>I.R.S. IDENTIFICATION NOS. OF ABOVE PERSONS (ENTITIES ONLY) Mubadala Development Company PJSC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2"/>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jc w:val="center"/>
              <w:ind w:right="5810"/>
              <w:spacing w:after="0"/>
              <w:rPr>
                <w:sz w:val="20"/>
                <w:szCs w:val="20"/>
                <w:color w:val="auto"/>
              </w:rPr>
            </w:pPr>
            <w:r>
              <w:rPr>
                <w:rFonts w:ascii="Arial" w:cs="Arial" w:eastAsia="Arial" w:hAnsi="Arial"/>
                <w:sz w:val="18"/>
                <w:szCs w:val="18"/>
                <w:color w:val="auto"/>
                <w:w w:val="92"/>
              </w:rPr>
              <w:t>The Emirate of Abu Dhabi, United Arab Emirates</w:t>
            </w: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1,599,069</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5.55%</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3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860" w:hanging="556"/>
        <w:spacing w:after="0" w:line="198" w:lineRule="auto"/>
        <w:tabs>
          <w:tab w:leader="none" w:pos="960" w:val="left"/>
        </w:tabs>
        <w:numPr>
          <w:ilvl w:val="0"/>
          <w:numId w:val="3"/>
        </w:numPr>
        <w:rPr>
          <w:rFonts w:ascii="Arial" w:cs="Arial" w:eastAsia="Arial" w:hAnsi="Arial"/>
          <w:sz w:val="50"/>
          <w:szCs w:val="50"/>
          <w:color w:val="auto"/>
          <w:vertAlign w:val="subscript"/>
        </w:rPr>
      </w:pPr>
      <w:r>
        <w:rPr>
          <w:rFonts w:ascii="Arial" w:cs="Arial" w:eastAsia="Arial" w:hAnsi="Arial"/>
          <w:sz w:val="18"/>
          <w:szCs w:val="18"/>
          <w:color w:val="auto"/>
        </w:rPr>
        <w:t>I.R.S. IDENTIFICATION NOS. OF ABOVE PERSONS (ENTITIES ONLY) MDC Capital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4"/>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jc w:val="center"/>
              <w:ind w:right="5810"/>
              <w:spacing w:after="0"/>
              <w:rPr>
                <w:sz w:val="20"/>
                <w:szCs w:val="20"/>
                <w:color w:val="auto"/>
              </w:rPr>
            </w:pPr>
            <w:r>
              <w:rPr>
                <w:rFonts w:ascii="Arial" w:cs="Arial" w:eastAsia="Arial" w:hAnsi="Arial"/>
                <w:sz w:val="18"/>
                <w:szCs w:val="18"/>
                <w:color w:val="auto"/>
                <w:w w:val="92"/>
              </w:rPr>
              <w:t>The Emirate of Abu Dhabi, United Arab Emirates</w:t>
            </w: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1,599,069</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5.55%</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302895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ind w:left="960" w:hanging="556"/>
        <w:spacing w:after="0" w:line="185" w:lineRule="auto"/>
        <w:tabs>
          <w:tab w:leader="none" w:pos="96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960"/>
        <w:spacing w:after="0"/>
        <w:rPr>
          <w:rFonts w:ascii="Arial" w:cs="Arial" w:eastAsia="Arial" w:hAnsi="Arial"/>
          <w:sz w:val="27"/>
          <w:szCs w:val="27"/>
          <w:color w:val="auto"/>
          <w:vertAlign w:val="subscript"/>
        </w:rPr>
      </w:pPr>
      <w:r>
        <w:rPr>
          <w:rFonts w:ascii="Arial" w:cs="Arial" w:eastAsia="Arial" w:hAnsi="Arial"/>
          <w:sz w:val="18"/>
          <w:szCs w:val="18"/>
          <w:color w:val="auto"/>
        </w:rPr>
        <w:t>MDC Capital (Cayman) Limited, as trustee for Fifty First Investment Company LLC</w:t>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6"/>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1,599,069</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1,599,069</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5.55%</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ind w:right="40"/>
        <w:spacing w:after="0" w:line="272" w:lineRule="auto"/>
        <w:rPr>
          <w:sz w:val="20"/>
          <w:szCs w:val="20"/>
          <w:color w:val="auto"/>
        </w:rPr>
      </w:pPr>
      <w:r>
        <w:rPr>
          <w:rFonts w:ascii="Arial" w:cs="Arial" w:eastAsia="Arial" w:hAnsi="Arial"/>
          <w:sz w:val="17"/>
          <w:szCs w:val="17"/>
          <w:color w:val="auto"/>
        </w:rPr>
        <w:t>This Amendment No. 1 amends and restates in its entirety the statement on Schedule 13G filed by the Reporting Persons listed in Item 2 with the Securities and Exchange Commission (the “Commission”) on September 11, 2015, which relates to the Common Stock, par value $0.001 per share, of Fluidigm Corporation (the “Issuer”). The information set forth herein regarding percentages of beneficial ownership is based upon information obtained from the Issuer regarding the number of shares of Common Stock, par value $0.001 per share, disclosed as outstanding as of October 30, 2015 by the Issuer in its quarterly report on Form 10-Q for the quarterly period ended September 30, 2015, and filed with the Commission on November 9,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1300" w:right="7300" w:hanging="1292"/>
        <w:spacing w:after="0" w:line="598"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Address of Issuer’s Principal Executive Offices: 7000 Shoreline Court, Suite 100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Mubadala Development Company PJSC</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MDC Capital LLC</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MDC Capital (Cayman) Limited, as trustee for Fifty First Investment Company LLC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 Box 45005, Abu Dhabi, United Arab Emirates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 Box 45005, Abu Dhabi, United Arab Emirates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Intertrust Corporate Services (Cayman) Limited, 190 Elgin Avenue, George Town, Grand Cayman KY1-9005, Cayman Islands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Emirate of Abu Dhabi, United Arab Emirates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Emirate of Abu Dhabi, United Arab Emirates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1300" w:right="9300" w:hanging="1292"/>
        <w:spacing w:after="0" w:line="624" w:lineRule="auto"/>
        <w:tabs>
          <w:tab w:leader="none" w:pos="6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Arial" w:cs="Arial" w:eastAsia="Arial" w:hAnsi="Arial"/>
          <w:sz w:val="18"/>
          <w:szCs w:val="18"/>
          <w:b w:val="1"/>
          <w:bCs w:val="1"/>
          <w:color w:val="auto"/>
        </w:rPr>
        <w:t>Item 3.</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1,599,069 shares are held of record by MDC Capital (Cayman) Limited (“MDC Capital (Cayman)”), as trustee for Fifty First Investment Company LLC. MDC Capital (Cayman) is a direct wholly-owned subsidiary of MDC Capital LLC. MDC Capital LLC, MDC Capital (Cayman) and Fifty First Investment Company LLC are controlled subsidiaries of Mubadala Development Company PJSC.</w:t>
      </w:r>
    </w:p>
    <w:p>
      <w:pPr>
        <w:spacing w:after="0" w:line="23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responses of the Reporting Persons to Row (11) of the cover pages of this Statement are incorporated herein by reference.</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responses of the Reporting Persons to Rows (5) through (8) of the cover pages of this Statement are incorporated herein by reference.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1631315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8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MUBADALA DEVELOPMENT COMPANY PJSC</w:t>
      </w:r>
    </w:p>
    <w:p>
      <w:pPr>
        <w:spacing w:after="0" w:line="15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Date</w:t>
      </w:r>
    </w:p>
    <w:p>
      <w:pPr>
        <w:spacing w:after="0" w:line="16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Samer Halawa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Samer Halawa /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Name/Title</w:t>
      </w: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MDC CAPITAL LLC</w:t>
      </w:r>
    </w:p>
    <w:p>
      <w:pPr>
        <w:spacing w:after="0" w:line="22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Cannon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Hani Barhoush</w:t>
            </w:r>
          </w:p>
        </w:tc>
      </w:tr>
      <w:tr>
        <w:trPr>
          <w:trHeight w:val="234"/>
        </w:trPr>
        <w:tc>
          <w:tcPr>
            <w:tcW w:w="4560" w:type="dxa"/>
            <w:vAlign w:val="bottom"/>
            <w:gridSpan w:val="2"/>
          </w:tcPr>
          <w:p>
            <w:pPr>
              <w:ind w:left="1900"/>
              <w:spacing w:after="0"/>
              <w:rPr>
                <w:sz w:val="20"/>
                <w:szCs w:val="20"/>
                <w:color w:val="auto"/>
              </w:rPr>
            </w:pPr>
            <w:r>
              <w:rPr>
                <w:rFonts w:ascii="Arial" w:cs="Arial" w:eastAsia="Arial" w:hAnsi="Arial"/>
                <w:sz w:val="18"/>
                <w:szCs w:val="18"/>
                <w:b w:val="1"/>
                <w:bCs w:val="1"/>
                <w:color w:val="auto"/>
              </w:rPr>
              <w:t>Signature</w:t>
            </w:r>
          </w:p>
        </w:tc>
      </w:tr>
      <w:tr>
        <w:trPr>
          <w:trHeight w:val="34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Rodney Cannon /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Hani Barhoush /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8"/>
          <w:szCs w:val="18"/>
          <w:b w:val="1"/>
          <w:bCs w:val="1"/>
          <w:color w:val="auto"/>
        </w:rPr>
        <w:t>Name/Title</w:t>
      </w: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MDC CAPITAL (CAYMAN) LIMITED, AS TRUSTEE FOR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FIFTY FIRST INVESTMENT COMPANY LLC</w:t>
      </w:r>
    </w:p>
    <w:p>
      <w:pPr>
        <w:spacing w:after="0" w:line="14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Date</w:t>
      </w:r>
    </w:p>
    <w:p>
      <w:pPr>
        <w:spacing w:after="0" w:line="162"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Cannon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Hani Barhoush</w:t>
            </w:r>
          </w:p>
        </w:tc>
      </w:tr>
      <w:tr>
        <w:trPr>
          <w:trHeight w:val="234"/>
        </w:trPr>
        <w:tc>
          <w:tcPr>
            <w:tcW w:w="4560" w:type="dxa"/>
            <w:vAlign w:val="bottom"/>
            <w:gridSpan w:val="2"/>
          </w:tcPr>
          <w:p>
            <w:pPr>
              <w:ind w:left="1900"/>
              <w:spacing w:after="0"/>
              <w:rPr>
                <w:sz w:val="20"/>
                <w:szCs w:val="20"/>
                <w:color w:val="auto"/>
              </w:rPr>
            </w:pPr>
            <w:r>
              <w:rPr>
                <w:rFonts w:ascii="Arial" w:cs="Arial" w:eastAsia="Arial" w:hAnsi="Arial"/>
                <w:sz w:val="18"/>
                <w:szCs w:val="18"/>
                <w:b w:val="1"/>
                <w:bCs w:val="1"/>
                <w:color w:val="auto"/>
              </w:rPr>
              <w:t>Signature</w:t>
            </w:r>
          </w:p>
        </w:tc>
      </w:tr>
      <w:tr>
        <w:trPr>
          <w:trHeight w:val="34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Rodney Cannon /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Hani Barhoush /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1936115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1 of 1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JOINT FILING</w:t>
      </w:r>
    </w:p>
    <w:p>
      <w:pPr>
        <w:spacing w:after="0" w:line="229" w:lineRule="exact"/>
        <w:rPr>
          <w:sz w:val="20"/>
          <w:szCs w:val="20"/>
          <w:color w:val="auto"/>
        </w:rPr>
      </w:pPr>
    </w:p>
    <w:p>
      <w:pPr>
        <w:jc w:val="both"/>
        <w:ind w:right="120" w:firstLine="1297"/>
        <w:spacing w:after="0" w:line="308" w:lineRule="auto"/>
        <w:rPr>
          <w:sz w:val="20"/>
          <w:szCs w:val="20"/>
          <w:color w:val="auto"/>
        </w:rPr>
      </w:pPr>
      <w:r>
        <w:rPr>
          <w:rFonts w:ascii="Arial" w:cs="Arial" w:eastAsia="Arial" w:hAnsi="Arial"/>
          <w:sz w:val="17"/>
          <w:szCs w:val="17"/>
          <w:color w:val="auto"/>
        </w:rPr>
        <w:t>Pursuant to Rule 13d-1(k)(1) of the Securities and Exchange Commission under the Securities Exchange Act of 1934, as amended, each of the undersigned agrees that the statement on Schedule 13G filed herewith shall be filed on behalf of each of the undersigned.</w:t>
      </w: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MUBADALA DEVELOPMENT COMPANY PJSC</w:t>
      </w:r>
    </w:p>
    <w:p>
      <w:pPr>
        <w:spacing w:after="0" w:line="15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Date</w:t>
      </w:r>
    </w:p>
    <w:p>
      <w:pPr>
        <w:spacing w:after="0" w:line="16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Samer Halawa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Samer Halawa /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Name/Title</w:t>
      </w: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MDC CAPITAL LLC</w:t>
      </w:r>
    </w:p>
    <w:p>
      <w:pPr>
        <w:spacing w:after="0" w:line="22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Cannon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Hani Barhoush</w:t>
            </w:r>
          </w:p>
        </w:tc>
      </w:tr>
      <w:tr>
        <w:trPr>
          <w:trHeight w:val="234"/>
        </w:trPr>
        <w:tc>
          <w:tcPr>
            <w:tcW w:w="4560" w:type="dxa"/>
            <w:vAlign w:val="bottom"/>
            <w:gridSpan w:val="2"/>
          </w:tcPr>
          <w:p>
            <w:pPr>
              <w:ind w:left="1900"/>
              <w:spacing w:after="0"/>
              <w:rPr>
                <w:sz w:val="20"/>
                <w:szCs w:val="20"/>
                <w:color w:val="auto"/>
              </w:rPr>
            </w:pPr>
            <w:r>
              <w:rPr>
                <w:rFonts w:ascii="Arial" w:cs="Arial" w:eastAsia="Arial" w:hAnsi="Arial"/>
                <w:sz w:val="18"/>
                <w:szCs w:val="18"/>
                <w:b w:val="1"/>
                <w:bCs w:val="1"/>
                <w:color w:val="auto"/>
              </w:rPr>
              <w:t>Signature</w:t>
            </w:r>
          </w:p>
        </w:tc>
      </w:tr>
      <w:tr>
        <w:trPr>
          <w:trHeight w:val="34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Rodney Cannon /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Hani Barhoush /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8"/>
          <w:szCs w:val="18"/>
          <w:b w:val="1"/>
          <w:bCs w:val="1"/>
          <w:color w:val="auto"/>
        </w:rPr>
        <w:t>Name/Title</w:t>
      </w: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MDC CAPITAL (CAYMAN) LIMITED, AS TRUSTEE FOR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FIFTY FIRST INVESTMENT COMPANY LLC</w:t>
      </w:r>
    </w:p>
    <w:p>
      <w:pPr>
        <w:spacing w:after="0" w:line="14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Date</w:t>
      </w:r>
    </w:p>
    <w:p>
      <w:pPr>
        <w:spacing w:after="0" w:line="162"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Cannon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Hani Barhoush</w:t>
            </w:r>
          </w:p>
        </w:tc>
      </w:tr>
      <w:tr>
        <w:trPr>
          <w:trHeight w:val="234"/>
        </w:trPr>
        <w:tc>
          <w:tcPr>
            <w:tcW w:w="4560" w:type="dxa"/>
            <w:vAlign w:val="bottom"/>
            <w:gridSpan w:val="2"/>
          </w:tcPr>
          <w:p>
            <w:pPr>
              <w:ind w:left="1900"/>
              <w:spacing w:after="0"/>
              <w:rPr>
                <w:sz w:val="20"/>
                <w:szCs w:val="20"/>
                <w:color w:val="auto"/>
              </w:rPr>
            </w:pPr>
            <w:r>
              <w:rPr>
                <w:rFonts w:ascii="Arial" w:cs="Arial" w:eastAsia="Arial" w:hAnsi="Arial"/>
                <w:sz w:val="18"/>
                <w:szCs w:val="18"/>
                <w:b w:val="1"/>
                <w:bCs w:val="1"/>
                <w:color w:val="auto"/>
              </w:rPr>
              <w:t>Signature</w:t>
            </w:r>
          </w:p>
        </w:tc>
      </w:tr>
      <w:tr>
        <w:trPr>
          <w:trHeight w:val="34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Rodney Cannon /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Hani Barhoush /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28987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1"/>
    </w:lvl>
    <w:lvl w:ilvl="1">
      <w:lvlJc w:val="left"/>
      <w:lvlText w:val="(%2)"/>
      <w:numFmt w:val="lowerRoman"/>
      <w:start w:val="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2019-12-07T14:36:32Z</dcterms:created>
  <dcterms:modified xsi:type="dcterms:W3CDTF">2019-12-07T14:36:32Z</dcterms:modified>
</cp:coreProperties>
</file>