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08/22/2024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1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w w:val="98"/>
              </w:rPr>
              <w:t>08/22/2024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P</w:t>
            </w:r>
          </w:p>
        </w:tc>
        <w:tc>
          <w:tcPr>
            <w:tcW w:w="520" w:type="dxa"/>
            <w:vAlign w:val="bottom"/>
          </w:tcPr>
          <w:p>
            <w:pPr>
              <w:spacing w:after="0"/>
              <w:rPr>
                <w:sz w:val="21"/>
                <w:szCs w:val="21"/>
                <w:color w:val="auto"/>
              </w:rPr>
            </w:pPr>
          </w:p>
        </w:tc>
        <w:tc>
          <w:tcPr>
            <w:tcW w:w="88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307,900</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1.9578</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53,333,721</w:t>
            </w:r>
          </w:p>
        </w:tc>
        <w:tc>
          <w:tcPr>
            <w:tcW w:w="260" w:type="dxa"/>
            <w:vAlign w:val="bottom"/>
          </w:tcPr>
          <w:p>
            <w:pPr>
              <w:spacing w:after="0"/>
              <w:rPr>
                <w:sz w:val="21"/>
                <w:szCs w:val="21"/>
                <w:color w:val="auto"/>
              </w:rPr>
            </w:pPr>
          </w:p>
        </w:tc>
        <w:tc>
          <w:tcPr>
            <w:tcW w:w="580" w:type="dxa"/>
            <w:vAlign w:val="bottom"/>
            <w:vMerge w:val="restart"/>
          </w:tcPr>
          <w:p>
            <w:pPr>
              <w:jc w:val="center"/>
              <w:ind w:right="26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1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w w:val="98"/>
              </w:rPr>
              <w:t>08/23/2024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P</w:t>
            </w:r>
          </w:p>
        </w:tc>
        <w:tc>
          <w:tcPr>
            <w:tcW w:w="520" w:type="dxa"/>
            <w:vAlign w:val="bottom"/>
          </w:tcPr>
          <w:p>
            <w:pPr>
              <w:spacing w:after="0"/>
              <w:rPr>
                <w:sz w:val="21"/>
                <w:szCs w:val="21"/>
                <w:color w:val="auto"/>
              </w:rPr>
            </w:pPr>
          </w:p>
        </w:tc>
        <w:tc>
          <w:tcPr>
            <w:tcW w:w="88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292,100</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2.1259</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53,625,821</w:t>
            </w:r>
          </w:p>
        </w:tc>
        <w:tc>
          <w:tcPr>
            <w:tcW w:w="260" w:type="dxa"/>
            <w:vAlign w:val="bottom"/>
          </w:tcPr>
          <w:p>
            <w:pPr>
              <w:spacing w:after="0"/>
              <w:rPr>
                <w:sz w:val="21"/>
                <w:szCs w:val="21"/>
                <w:color w:val="auto"/>
              </w:rPr>
            </w:pPr>
          </w:p>
        </w:tc>
        <w:tc>
          <w:tcPr>
            <w:tcW w:w="580" w:type="dxa"/>
            <w:vAlign w:val="bottom"/>
            <w:vMerge w:val="restart"/>
          </w:tcPr>
          <w:p>
            <w:pPr>
              <w:jc w:val="center"/>
              <w:ind w:right="26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1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w w:val="98"/>
              </w:rPr>
              <w:t>08/26/2024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P</w:t>
            </w:r>
          </w:p>
        </w:tc>
        <w:tc>
          <w:tcPr>
            <w:tcW w:w="520" w:type="dxa"/>
            <w:vAlign w:val="bottom"/>
          </w:tcPr>
          <w:p>
            <w:pPr>
              <w:spacing w:after="0"/>
              <w:rPr>
                <w:sz w:val="21"/>
                <w:szCs w:val="21"/>
                <w:color w:val="auto"/>
              </w:rPr>
            </w:pPr>
          </w:p>
        </w:tc>
        <w:tc>
          <w:tcPr>
            <w:tcW w:w="88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150,000</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2.1497</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53,775,821</w:t>
            </w:r>
          </w:p>
        </w:tc>
        <w:tc>
          <w:tcPr>
            <w:tcW w:w="260" w:type="dxa"/>
            <w:vAlign w:val="bottom"/>
          </w:tcPr>
          <w:p>
            <w:pPr>
              <w:spacing w:after="0"/>
              <w:rPr>
                <w:sz w:val="21"/>
                <w:szCs w:val="21"/>
                <w:color w:val="auto"/>
              </w:rPr>
            </w:pPr>
          </w:p>
        </w:tc>
        <w:tc>
          <w:tcPr>
            <w:tcW w:w="580" w:type="dxa"/>
            <w:vAlign w:val="bottom"/>
            <w:vMerge w:val="restart"/>
          </w:tcPr>
          <w:p>
            <w:pPr>
              <w:jc w:val="center"/>
              <w:ind w:right="26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545,000</w:t>
            </w:r>
          </w:p>
        </w:tc>
        <w:tc>
          <w:tcPr>
            <w:tcW w:w="260" w:type="dxa"/>
            <w:vAlign w:val="bottom"/>
          </w:tcPr>
          <w:p>
            <w:pPr>
              <w:spacing w:after="0"/>
              <w:rPr>
                <w:sz w:val="21"/>
                <w:szCs w:val="21"/>
                <w:color w:val="auto"/>
              </w:rPr>
            </w:pPr>
          </w:p>
        </w:tc>
        <w:tc>
          <w:tcPr>
            <w:tcW w:w="580" w:type="dxa"/>
            <w:vAlign w:val="bottom"/>
            <w:vMerge w:val="restart"/>
          </w:tcPr>
          <w:p>
            <w:pPr>
              <w:jc w:val="center"/>
              <w:ind w:right="26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(5)</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13,939,637</w:t>
            </w:r>
          </w:p>
        </w:tc>
        <w:tc>
          <w:tcPr>
            <w:tcW w:w="260" w:type="dxa"/>
            <w:vAlign w:val="bottom"/>
          </w:tcPr>
          <w:p>
            <w:pPr>
              <w:spacing w:after="0"/>
              <w:rPr>
                <w:sz w:val="21"/>
                <w:szCs w:val="21"/>
                <w:color w:val="auto"/>
              </w:rPr>
            </w:pPr>
          </w:p>
        </w:tc>
        <w:tc>
          <w:tcPr>
            <w:tcW w:w="580" w:type="dxa"/>
            <w:vAlign w:val="bottom"/>
            <w:vMerge w:val="restart"/>
          </w:tcPr>
          <w:p>
            <w:pPr>
              <w:jc w:val="center"/>
              <w:ind w:right="26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(6)</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2,781,432</w:t>
            </w:r>
            <w:r>
              <w:rPr>
                <w:rFonts w:ascii="Times New Roman" w:cs="Times New Roman" w:eastAsia="Times New Roman" w:hAnsi="Times New Roman"/>
                <w:sz w:val="22"/>
                <w:szCs w:val="22"/>
                <w:color w:val="008000"/>
                <w:w w:val="96"/>
                <w:vertAlign w:val="superscript"/>
              </w:rPr>
              <w:t>(7)</w:t>
            </w:r>
          </w:p>
        </w:tc>
        <w:tc>
          <w:tcPr>
            <w:tcW w:w="2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26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(8)</w:t>
            </w:r>
          </w:p>
        </w:tc>
        <w:tc>
          <w:tcPr>
            <w:tcW w:w="2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2,744,219</w:t>
            </w:r>
          </w:p>
        </w:tc>
        <w:tc>
          <w:tcPr>
            <w:tcW w:w="260" w:type="dxa"/>
            <w:vAlign w:val="bottom"/>
          </w:tcPr>
          <w:p>
            <w:pPr>
              <w:spacing w:after="0"/>
              <w:rPr>
                <w:sz w:val="21"/>
                <w:szCs w:val="21"/>
                <w:color w:val="auto"/>
              </w:rPr>
            </w:pPr>
          </w:p>
        </w:tc>
        <w:tc>
          <w:tcPr>
            <w:tcW w:w="580" w:type="dxa"/>
            <w:vAlign w:val="bottom"/>
            <w:vMerge w:val="restart"/>
          </w:tcPr>
          <w:p>
            <w:pPr>
              <w:jc w:val="center"/>
              <w:ind w:right="26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(9)</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20" w:type="dxa"/>
            <w:vAlign w:val="bottom"/>
            <w:gridSpan w:val="18"/>
          </w:tcPr>
          <w:p>
            <w:pPr>
              <w:jc w:val="center"/>
              <w:ind w:left="29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Partners Master Fund,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4"/>
          <w:szCs w:val="24"/>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10019</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180" w:type="dxa"/>
            <w:vAlign w:val="bottom"/>
            <w:gridSpan w:val="2"/>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Casdin Eli</w:t>
              </w:r>
            </w:hyperlink>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Casdin Amplify Fund,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Capital,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-7244080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85" w:orient="portrait"/>
          <w:cols w:equalWidth="0" w:num="1">
            <w:col w:w="9979"/>
          </w:cols>
          <w:pgMar w:left="480" w:top="125"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10019</w:t>
      </w:r>
    </w:p>
    <w:p>
      <w:pPr>
        <w:sectPr>
          <w:pgSz w:w="11900" w:h="16885" w:orient="portrait"/>
          <w:cols w:equalWidth="0" w:num="1">
            <w:col w:w="9979"/>
          </w:cols>
          <w:pgMar w:left="480" w:top="125" w:right="1440"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95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240" cy="395605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$1.9464 to $1.9587.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5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("Casdin"), the investment adviser to the Master Fund, (ii) Casdin Partners GP, LLC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$2.115 to $2.1505.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$2.1223 to $2.1719.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Amplify Fund, LP ("Amplify") and are deemed to be indirectly beneficially owned by (i) Casdin, the investment adviser to Amplify, (ii) the GP, the general partner of Amplify,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right="2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United ("RSUs"). Certain RSUs vest in full on the earlier to occur of June 28, 2025 and one day prior to the date of the Company's next annual meeting of stockholders, subject to the Reporting Person's continued service through the applicable vesting date and other RSUs vested as to 25% on July 23, 2024 and thereafter in two equal installments on the 15th day of the last month of each remaining fiscal quarter of 2024, subject to the Reporting Person's continued service through the applicable vesting date.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00"/>
          </w:cols>
          <w:pgMar w:left="500" w:top="447" w:right="499" w:bottom="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Amplify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42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12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99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660" w:space="80"/>
            <w:col w:w="2160"/>
          </w:cols>
          <w:pgMar w:left="500" w:top="447" w:right="499" w:bottom="0" w:gutter="0" w:footer="0" w:header="0"/>
          <w:type w:val="continuous"/>
        </w:sect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 08/26/2024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ectPr>
          <w:pgSz w:w="11900" w:h="16838" w:orient="portrait"/>
          <w:cols w:equalWidth="0" w:num="1">
            <w:col w:w="10900"/>
          </w:cols>
          <w:pgMar w:left="500" w:top="447"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00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GP, LLC, 08/26/2024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0" Type="http://schemas.openxmlformats.org/officeDocument/2006/relationships/image" Target="media/image7.png"/><Relationship Id="rId23"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13" Type="http://schemas.openxmlformats.org/officeDocument/2006/relationships/hyperlink" Target="http://www.sec.gov/cgi-bin/browse-edgar?action=getcompany&amp;CIK=0001534265" TargetMode="External"/><Relationship Id="rId14" Type="http://schemas.openxmlformats.org/officeDocument/2006/relationships/hyperlink" Target="http://www.sec.gov/cgi-bin/browse-edgar?action=getcompany&amp;CIK=0001162194" TargetMode="External"/><Relationship Id="rId16" Type="http://schemas.openxmlformats.org/officeDocument/2006/relationships/hyperlink" Target="http://www.sec.gov/cgi-bin/browse-edgar?action=getcompany&amp;CIK=0001534264" TargetMode="External"/><Relationship Id="rId17" Type="http://schemas.openxmlformats.org/officeDocument/2006/relationships/hyperlink" Target="http://www.sec.gov/cgi-bin/browse-edgar?action=getcompany&amp;CIK=0002028254" TargetMode="External"/><Relationship Id="rId18" Type="http://schemas.openxmlformats.org/officeDocument/2006/relationships/hyperlink" Target="http://www.sec.gov/cgi-bin/browse-edgar?action=getcompany&amp;CIK=0001534261" TargetMode="External"/><Relationship Id="rId19" Type="http://schemas.openxmlformats.org/officeDocument/2006/relationships/hyperlink" Target="http://www.sec.gov/cgi-bin/browse-edgar?action=getcompany&amp;CIK=0001534260" TargetMode="External"/><Relationship Id="rId21" Type="http://schemas.openxmlformats.org/officeDocument/2006/relationships/hyperlink" Target="http://www.sec.gov/cgi-bin/browse-edgar?action=getcompany&amp;CIK=0001864554" TargetMode="External"/><Relationship Id="rId22" Type="http://schemas.openxmlformats.org/officeDocument/2006/relationships/hyperlink" Target="http://www.sec.gov/cgi-bin/browse-edgar?action=getcompany&amp;CIK=0001919480" TargetMode="External"/><Relationship Id="rId24" Type="http://schemas.openxmlformats.org/officeDocument/2006/relationships/hyperlink" Target="http://www.sec.gov/cgi-bin/browse-edgar?action=getcompany&amp;CIK=0001891102" TargetMode="External"/><Relationship Id="rId25" Type="http://schemas.openxmlformats.org/officeDocument/2006/relationships/hyperlink" Target="http://www.sec.gov/cgi-bin/browse-edgar?action=getcompany&amp;CIK=00018230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2024-08-26T19:25:03Z</dcterms:created>
  <dcterms:modified xsi:type="dcterms:W3CDTF">2024-08-26T19:25:03Z</dcterms:modified>
</cp:coreProperties>
</file>