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74377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7437755"/>
                    </a:xfrm>
                    <a:prstGeom prst="rect">
                      <a:avLst/>
                    </a:prstGeom>
                    <a:noFill/>
                  </pic:spPr>
                </pic:pic>
              </a:graphicData>
            </a:graphic>
          </wp:anchor>
        </w:drawing>
      </w:r>
    </w:p>
    <w:p>
      <w:pPr>
        <w:spacing w:after="0" w:line="1222" w:lineRule="exact"/>
        <w:rPr>
          <w:sz w:val="24"/>
          <w:szCs w:val="24"/>
          <w:color w:val="auto"/>
        </w:rPr>
      </w:pPr>
    </w:p>
    <w:p>
      <w:pPr>
        <w:sectPr>
          <w:pgSz w:w="11900" w:h="16843" w:orient="portrait"/>
          <w:cols w:equalWidth="0" w:num="2">
            <w:col w:w="2320" w:space="160"/>
            <w:col w:w="8520"/>
          </w:cols>
          <w:pgMar w:left="460" w:top="219"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Casdin Eli</w:t>
              </w:r>
            </w:hyperlink>
          </w:p>
        </w:tc>
        <w:tc>
          <w:tcPr>
            <w:tcW w:w="1380" w:type="dxa"/>
            <w:vAlign w:val="bottom"/>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STANDARD BIOTOOLS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LAB</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Borders>
              <w:bottom w:val="single" w:sz="8" w:color="0000EE"/>
            </w:tcBorders>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40" w:type="dxa"/>
            <w:vAlign w:val="bottom"/>
          </w:tcPr>
          <w:p>
            <w:pPr>
              <w:spacing w:after="0"/>
              <w:rPr>
                <w:sz w:val="5"/>
                <w:szCs w:val="5"/>
                <w:color w:val="auto"/>
              </w:rPr>
            </w:pPr>
          </w:p>
        </w:tc>
        <w:tc>
          <w:tcPr>
            <w:tcW w:w="1060" w:type="dxa"/>
            <w:vAlign w:val="bottom"/>
            <w:gridSpan w:val="2"/>
            <w:vMerge w:val="continue"/>
          </w:tcPr>
          <w:p>
            <w:pPr>
              <w:spacing w:after="0"/>
              <w:rPr>
                <w:sz w:val="5"/>
                <w:szCs w:val="5"/>
                <w:color w:val="auto"/>
              </w:rPr>
            </w:pPr>
          </w:p>
        </w:tc>
        <w:tc>
          <w:tcPr>
            <w:tcW w:w="1380" w:type="dxa"/>
            <w:vAlign w:val="bottom"/>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900" w:type="dxa"/>
            <w:vAlign w:val="bottom"/>
            <w:tcBorders>
              <w:top w:val="single" w:sz="8" w:color="0000EE"/>
            </w:tcBorders>
          </w:tcPr>
          <w:p>
            <w:pPr>
              <w:spacing w:after="0"/>
              <w:rPr>
                <w:sz w:val="6"/>
                <w:szCs w:val="6"/>
                <w:color w:val="auto"/>
              </w:rPr>
            </w:pPr>
          </w:p>
        </w:tc>
        <w:tc>
          <w:tcPr>
            <w:tcW w:w="16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7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7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900" w:type="dxa"/>
            <w:vAlign w:val="bottom"/>
            <w:tcBorders>
              <w:top w:val="single" w:sz="8" w:color="EEEEEE"/>
            </w:tcBorders>
          </w:tcPr>
          <w:p>
            <w:pPr>
              <w:spacing w:after="0"/>
              <w:rPr>
                <w:sz w:val="2"/>
                <w:szCs w:val="2"/>
                <w:color w:val="auto"/>
              </w:rPr>
            </w:pPr>
          </w:p>
        </w:tc>
        <w:tc>
          <w:tcPr>
            <w:tcW w:w="16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gridSpan w:val="2"/>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gridSpan w:val="2"/>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8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02/26/2026</w:t>
            </w:r>
          </w:p>
        </w:tc>
        <w:tc>
          <w:tcPr>
            <w:tcW w:w="10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3"/>
            <w:vMerge w:val="continue"/>
          </w:tcPr>
          <w:p>
            <w:pPr>
              <w:spacing w:after="0"/>
              <w:rPr>
                <w:sz w:val="11"/>
                <w:szCs w:val="11"/>
                <w:color w:val="auto"/>
              </w:rPr>
            </w:pPr>
          </w:p>
        </w:tc>
        <w:tc>
          <w:tcPr>
            <w:tcW w:w="10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4"/>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7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50 MILK STREET, 10TH FLOOR</w:t>
            </w: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2720" w:type="dxa"/>
            <w:vAlign w:val="bottom"/>
            <w:tcBorders>
              <w:bottom w:val="single" w:sz="8" w:color="2C2C2C"/>
            </w:tcBorders>
          </w:tcPr>
          <w:p>
            <w:pPr>
              <w:spacing w:after="0"/>
              <w:rPr>
                <w:sz w:val="12"/>
                <w:szCs w:val="12"/>
                <w:color w:val="auto"/>
              </w:rPr>
            </w:pPr>
          </w:p>
        </w:tc>
        <w:tc>
          <w:tcPr>
            <w:tcW w:w="10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440" w:type="dxa"/>
            <w:vAlign w:val="bottom"/>
            <w:gridSpan w:val="3"/>
            <w:vMerge w:val="continue"/>
          </w:tcPr>
          <w:p>
            <w:pPr>
              <w:spacing w:after="0"/>
              <w:rPr>
                <w:sz w:val="9"/>
                <w:szCs w:val="9"/>
                <w:color w:val="auto"/>
              </w:rPr>
            </w:pPr>
          </w:p>
        </w:tc>
        <w:tc>
          <w:tcPr>
            <w:tcW w:w="12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9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43" w:orient="portrait"/>
          <w:cols w:equalWidth="0" w:num="1">
            <w:col w:w="11000"/>
          </w:cols>
          <w:pgMar w:left="460" w:top="219" w:right="439" w:bottom="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60" w:type="dxa"/>
            <w:vAlign w:val="bottom"/>
          </w:tcPr>
          <w:p>
            <w:pPr>
              <w:spacing w:after="0"/>
              <w:rPr>
                <w:sz w:val="20"/>
                <w:szCs w:val="20"/>
                <w:color w:val="auto"/>
              </w:rPr>
            </w:pPr>
            <w:r>
              <w:rPr>
                <w:rFonts w:ascii="Times New Roman" w:cs="Times New Roman" w:eastAsia="Times New Roman" w:hAnsi="Times New Roman"/>
                <w:sz w:val="17"/>
                <w:szCs w:val="17"/>
                <w:color w:val="0000FF"/>
              </w:rPr>
              <w:t>BOSTON</w:t>
            </w:r>
          </w:p>
        </w:tc>
        <w:tc>
          <w:tcPr>
            <w:tcW w:w="108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02109</w:t>
            </w:r>
          </w:p>
        </w:tc>
      </w:tr>
      <w:tr>
        <w:trPr>
          <w:trHeight w:val="155"/>
        </w:trPr>
        <w:tc>
          <w:tcPr>
            <w:tcW w:w="40" w:type="dxa"/>
            <w:vAlign w:val="bottom"/>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60" w:type="dxa"/>
            <w:vAlign w:val="bottom"/>
          </w:tcPr>
          <w:p>
            <w:pPr>
              <w:spacing w:after="0"/>
              <w:rPr>
                <w:sz w:val="20"/>
                <w:szCs w:val="20"/>
                <w:color w:val="auto"/>
              </w:rPr>
            </w:pPr>
            <w:r>
              <w:rPr>
                <w:rFonts w:ascii="Arial" w:cs="Arial" w:eastAsia="Arial" w:hAnsi="Arial"/>
                <w:sz w:val="13"/>
                <w:szCs w:val="13"/>
                <w:color w:val="auto"/>
              </w:rPr>
              <w:t>(City)</w:t>
            </w:r>
          </w:p>
        </w:tc>
        <w:tc>
          <w:tcPr>
            <w:tcW w:w="1080" w:type="dxa"/>
            <w:vAlign w:val="bottom"/>
          </w:tcPr>
          <w:p>
            <w:pPr>
              <w:ind w:left="26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43" w:orient="portrait"/>
          <w:cols w:equalWidth="0" w:num="2">
            <w:col w:w="7540" w:space="720"/>
            <w:col w:w="2740"/>
          </w:cols>
          <w:pgMar w:left="460" w:top="219"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8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6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ind w:left="7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 Indirect</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48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76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76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48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jc w:val="right"/>
              <w:ind w:right="207"/>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20" w:type="dxa"/>
            <w:vAlign w:val="bottom"/>
            <w:vMerge w:val="continue"/>
          </w:tcPr>
          <w:p>
            <w:pPr>
              <w:spacing w:after="0"/>
              <w:rPr>
                <w:sz w:val="8"/>
                <w:szCs w:val="8"/>
                <w:color w:val="auto"/>
              </w:rPr>
            </w:pPr>
          </w:p>
        </w:tc>
        <w:tc>
          <w:tcPr>
            <w:tcW w:w="4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48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48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48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Borders>
              <w:bottom w:val="single" w:sz="8" w:color="2C2C2C"/>
            </w:tcBorders>
          </w:tcPr>
          <w:p>
            <w:pPr>
              <w:jc w:val="right"/>
              <w:ind w:right="93"/>
              <w:spacing w:after="0"/>
              <w:rPr>
                <w:sz w:val="20"/>
                <w:szCs w:val="20"/>
                <w:color w:val="auto"/>
              </w:rPr>
            </w:pPr>
            <w:r>
              <w:rPr>
                <w:rFonts w:ascii="Times New Roman" w:cs="Times New Roman" w:eastAsia="Times New Roman" w:hAnsi="Times New Roman"/>
                <w:sz w:val="17"/>
                <w:szCs w:val="17"/>
                <w:color w:val="0000FF"/>
              </w:rPr>
              <w:t>02/26/2026</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2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52,991</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right"/>
              <w:ind w:right="47"/>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1.17</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6"/>
              </w:rPr>
              <w:t>2,954,053</w:t>
            </w:r>
            <w:r>
              <w:rPr>
                <w:rFonts w:ascii="Times New Roman" w:cs="Times New Roman" w:eastAsia="Times New Roman" w:hAnsi="Times New Roman"/>
                <w:sz w:val="22"/>
                <w:szCs w:val="22"/>
                <w:color w:val="008000"/>
                <w:w w:val="96"/>
                <w:vertAlign w:val="superscript"/>
              </w:rPr>
              <w:t>(2)</w:t>
            </w:r>
          </w:p>
        </w:tc>
        <w:tc>
          <w:tcPr>
            <w:tcW w:w="92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Casdin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Private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13,939,637</w:t>
            </w:r>
          </w:p>
        </w:tc>
        <w:tc>
          <w:tcPr>
            <w:tcW w:w="920" w:type="dxa"/>
            <w:vAlign w:val="bottom"/>
            <w:vMerge w:val="restart"/>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Growth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480" w:type="dxa"/>
            <w:vAlign w:val="bottom"/>
            <w:vMerge w:val="continue"/>
          </w:tcPr>
          <w:p>
            <w:pPr>
              <w:spacing w:after="0"/>
              <w:rPr>
                <w:sz w:val="10"/>
                <w:szCs w:val="10"/>
                <w:color w:val="auto"/>
              </w:rPr>
            </w:pPr>
          </w:p>
        </w:tc>
        <w:tc>
          <w:tcPr>
            <w:tcW w:w="17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48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82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2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 II,</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Casdin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Private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2,744,219</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Growth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Equity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(4)</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48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Casdin</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72,100,000</w:t>
            </w:r>
          </w:p>
        </w:tc>
        <w:tc>
          <w:tcPr>
            <w:tcW w:w="920" w:type="dxa"/>
            <w:vAlign w:val="bottom"/>
          </w:tcPr>
          <w:p>
            <w:pPr>
              <w:ind w:left="440"/>
              <w:spacing w:after="0"/>
              <w:rPr>
                <w:sz w:val="20"/>
                <w:szCs w:val="20"/>
                <w:color w:val="auto"/>
              </w:rPr>
            </w:pPr>
            <w:r>
              <w:rPr>
                <w:rFonts w:ascii="Times New Roman" w:cs="Times New Roman" w:eastAsia="Times New Roman" w:hAnsi="Times New Roman"/>
                <w:sz w:val="17"/>
                <w:szCs w:val="17"/>
                <w:color w:val="0000FF"/>
              </w:rPr>
              <w:t>I</w:t>
            </w: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Master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Fund,</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88"/>
        </w:trPr>
        <w:tc>
          <w:tcPr>
            <w:tcW w:w="2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L.P.</w:t>
            </w:r>
            <w:r>
              <w:rPr>
                <w:rFonts w:ascii="Times New Roman" w:cs="Times New Roman" w:eastAsia="Times New Roman" w:hAnsi="Times New Roman"/>
                <w:sz w:val="22"/>
                <w:szCs w:val="22"/>
                <w:color w:val="008000"/>
                <w:vertAlign w:val="superscript"/>
              </w:rPr>
              <w:t>(5)</w:t>
            </w: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8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that vest as to 25% on the last day of the last month of each fiscal quarter of 2026, subject to the Reporting Person's continued service through the applicable vesting date.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were issued to the Reporting Person, who elected to take RSUs in lieu of $62,000 in cash compensation for services as a board member.</w:t>
      </w:r>
    </w:p>
    <w:p>
      <w:pPr>
        <w:spacing w:after="0" w:line="50" w:lineRule="exact"/>
        <w:rPr>
          <w:rFonts w:ascii="Times New Roman" w:cs="Times New Roman" w:eastAsia="Times New Roman" w:hAnsi="Times New Roman"/>
          <w:sz w:val="13"/>
          <w:szCs w:val="13"/>
          <w:color w:val="008000"/>
        </w:rPr>
      </w:pPr>
    </w:p>
    <w:p>
      <w:pPr>
        <w:ind w:left="40" w:right="2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II, L.P. (the "Equity Fund II") and may be deemed to be indirectly beneficially owned by (i) Casdin Capital, LLC ("Casdin"), the investment adviser to the Equity Fund II, and (ii) Eli Casdin, the managing member of Casdin.</w:t>
      </w:r>
    </w:p>
    <w:p>
      <w:pPr>
        <w:spacing w:after="0" w:line="7" w:lineRule="exact"/>
        <w:rPr>
          <w:rFonts w:ascii="Times New Roman" w:cs="Times New Roman" w:eastAsia="Times New Roman" w:hAnsi="Times New Roman"/>
          <w:sz w:val="13"/>
          <w:szCs w:val="13"/>
          <w:color w:val="008000"/>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Private Growth Equity Fund, L.P. (the "Equity Fund") and may be deemed to be indirectly beneficially owned by (i) Casdin, the investment adviser to the Equity Fund, and (ii) Eli Casdin, the managing member of Casdin.</w:t>
      </w:r>
    </w:p>
    <w:p>
      <w:pPr>
        <w:spacing w:after="0" w:line="7" w:lineRule="exact"/>
        <w:rPr>
          <w:rFonts w:ascii="Times New Roman" w:cs="Times New Roman" w:eastAsia="Times New Roman" w:hAnsi="Times New Roman"/>
          <w:sz w:val="13"/>
          <w:szCs w:val="13"/>
          <w:color w:val="008000"/>
        </w:rPr>
      </w:pPr>
    </w:p>
    <w:p>
      <w:pPr>
        <w:ind w:left="40" w:right="2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securities are owned directly by Casdin Partners Master Fund, L.P. (the "Master Fund") and may be deemed to be indirectly beneficially owned by (i) Casdin, the investment adviser to the Master Fund, (ii) Casdin Partners GP, LLC, the general partner of the Master Fund (the "GP"), and (iii) Eli Casdin, the managing member of Casdin and the GP.</w:t>
      </w:r>
    </w:p>
    <w:p>
      <w:pPr>
        <w:sectPr>
          <w:pgSz w:w="11900" w:h="16843"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72" w:lineRule="auto"/>
        <w:rPr>
          <w:sz w:val="20"/>
          <w:szCs w:val="20"/>
          <w:color w:val="auto"/>
        </w:rPr>
      </w:pPr>
      <w:r>
        <w:rPr>
          <w:rFonts w:ascii="Times New Roman" w:cs="Times New Roman" w:eastAsia="Times New Roman" w:hAnsi="Times New Roman"/>
          <w:sz w:val="13"/>
          <w:szCs w:val="13"/>
          <w:color w:val="008000"/>
        </w:rPr>
        <w:t>The Reporting Person disclaims beneficial ownership in the securities reported on this Form 4 except to the extent of his pecuniary interest, if any, therein, and this report shall not be deemed to be an admission that the Reporting Person is the beneficial owner of such securities for purposes of Section 16 or for any other purpose.</w:t>
      </w:r>
    </w:p>
    <w:p>
      <w:pPr>
        <w:spacing w:after="0" w:line="25"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Eli Casdin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03/02/2026</w:t>
            </w:r>
          </w:p>
        </w:tc>
      </w:tr>
      <w:tr>
        <w:trPr>
          <w:trHeight w:val="20"/>
        </w:trPr>
        <w:tc>
          <w:tcPr>
            <w:tcW w:w="940" w:type="dxa"/>
            <w:vAlign w:val="bottom"/>
            <w:shd w:val="clear" w:color="auto" w:fill="000000"/>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90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600"/>
      </w:cols>
      <w:pgMar w:left="500" w:top="125" w:right="7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534264"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2026-03-02T19:03:46Z</dcterms:created>
  <dcterms:modified xsi:type="dcterms:W3CDTF">2026-03-02T19:03:46Z</dcterms:modified>
</cp:coreProperties>
</file>