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2882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Clague Laura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54"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10/30/2018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20" w:type="dxa"/>
            <w:vAlign w:val="bottom"/>
            <w:gridSpan w:val="9"/>
          </w:tcPr>
          <w:p>
            <w:pPr>
              <w:jc w:val="center"/>
              <w:ind w:right="3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10/30/2018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85"/>
              </w:rPr>
              <w:t>10,000</w:t>
            </w:r>
            <w:r>
              <w:rPr>
                <w:rFonts w:ascii="Arial" w:cs="Arial" w:eastAsia="Arial" w:hAnsi="Arial"/>
                <w:sz w:val="22"/>
                <w:szCs w:val="22"/>
                <w:color w:val="008000"/>
                <w:w w:val="85"/>
                <w:vertAlign w:val="superscript"/>
              </w:rPr>
              <w:t>(2)</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10/30/2018</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15,000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10/30/2028</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15,000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underlying the Restricted Stock Units will vest each anniversary after the date of grant on the same day of the month as the date of grant, subject to continued service as a director. The Reporting Person has deferred settlement of the Restricted Stock Units to occur within the thirty (30) day period immediately following the earlier to occur of: (a) the Reporting Person's termination of service with the Issuer; or (b) a Change of Control (as defined in the Company's 2011 Equity Incentive Plan).</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underlying the Option will vest each anniversary after the date of grant on the same day of the month as the date of grant, subject to continued service as a director.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Laura Clague by Nicholas</w:t>
            </w:r>
          </w:p>
        </w:tc>
        <w:tc>
          <w:tcPr>
            <w:tcW w:w="2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11/01/2018</w:t>
            </w:r>
          </w:p>
        </w:tc>
        <w:tc>
          <w:tcPr>
            <w:tcW w:w="0" w:type="dxa"/>
            <w:vAlign w:val="bottom"/>
          </w:tcPr>
          <w:p>
            <w:pPr>
              <w:spacing w:after="0"/>
              <w:rPr>
                <w:sz w:val="1"/>
                <w:szCs w:val="1"/>
                <w:color w:val="auto"/>
              </w:rPr>
            </w:pPr>
          </w:p>
        </w:tc>
      </w:tr>
      <w:tr>
        <w:trPr>
          <w:trHeight w:val="92"/>
        </w:trPr>
        <w:tc>
          <w:tcPr>
            <w:tcW w:w="1860" w:type="dxa"/>
            <w:vAlign w:val="bottom"/>
            <w:vMerge w:val="restart"/>
          </w:tcPr>
          <w:p>
            <w:pPr>
              <w:spacing w:after="0"/>
              <w:rPr>
                <w:sz w:val="20"/>
                <w:szCs w:val="20"/>
                <w:color w:val="auto"/>
              </w:rPr>
            </w:pPr>
            <w:r>
              <w:rPr>
                <w:rFonts w:ascii="Arial" w:cs="Arial" w:eastAsia="Arial" w:hAnsi="Arial"/>
                <w:sz w:val="17"/>
                <w:szCs w:val="17"/>
                <w:color w:val="0000FF"/>
                <w:w w:val="94"/>
              </w:rPr>
              <w:t>Khadder, Attorney-in-Fact</w:t>
            </w:r>
          </w:p>
        </w:tc>
        <w:tc>
          <w:tcPr>
            <w:tcW w:w="4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77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2019-12-23T22:14:06Z</dcterms:created>
  <dcterms:modified xsi:type="dcterms:W3CDTF">2019-12-23T22:14:06Z</dcterms:modified>
</cp:coreProperties>
</file>