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p>
      <w:pPr>
        <w:spacing w:after="0" w:line="200" w:lineRule="exact"/>
        <w:rPr>
          <w:sz w:val="24"/>
          <w:szCs w:val="24"/>
          <w:color w:val="auto"/>
        </w:rPr>
      </w:pPr>
    </w:p>
    <w:p>
      <w:pPr>
        <w:spacing w:after="0" w:line="29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 w:lineRule="exact"/>
        <w:rPr>
          <w:sz w:val="24"/>
          <w:szCs w:val="24"/>
          <w:color w:val="auto"/>
        </w:rPr>
      </w:pPr>
    </w:p>
    <w:p>
      <w:pPr>
        <w:sectPr>
          <w:pgSz w:w="11900" w:h="16838" w:orient="portrait"/>
          <w:cols w:equalWidth="0" w:num="3">
            <w:col w:w="3920" w:space="720"/>
            <w:col w:w="2560" w:space="720"/>
            <w:col w:w="3320"/>
          </w:cols>
          <w:pgMar w:left="320" w:top="1110"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179070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p>
      <w:pPr>
        <w:spacing w:after="0" w:line="200" w:lineRule="exact"/>
        <w:rPr>
          <w:sz w:val="24"/>
          <w:szCs w:val="24"/>
          <w:color w:val="auto"/>
        </w:rPr>
      </w:pPr>
    </w:p>
    <w:p>
      <w:pPr>
        <w:spacing w:after="0" w:line="2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720" w:hanging="45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On February 28, 2024, Standard BioTools Inc. issued a press release which included information with respect to certain financial results for the three months and fiscal year ended December 31, 2023. The press release is attached hereto as Exhibit 99.1.</w:t>
      </w:r>
    </w:p>
    <w:p>
      <w:pPr>
        <w:spacing w:after="0" w:line="162"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press release, except for the information set forth under the heading “Outlook for 2024” and under the heading “About Standard BioTools Inc.,” together with the forward-looking statement disclaimer, is incorporated by reference into this Item 2.02 of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97"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“Outlook for 2024” and under the heading “About Standard BioTools Inc.,” together with the forward-looking statement disclaimer, is incorporated by reference into this Item 7.01 of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2"/>
          </w:tcPr>
          <w:p>
            <w:pPr>
              <w:ind w:left="45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3"/>
        </w:trPr>
        <w:tc>
          <w:tcPr>
            <w:tcW w:w="1140" w:type="dxa"/>
            <w:vAlign w:val="bottom"/>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Standard BioTools Inc., dated February 28, 2024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7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54"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688"/>
        </w:trPr>
        <w:tc>
          <w:tcPr>
            <w:tcW w:w="11240" w:type="dxa"/>
            <w:vAlign w:val="bottom"/>
            <w:gridSpan w:val="2"/>
          </w:tcPr>
          <w:p>
            <w:pPr>
              <w:ind w:left="646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66"/>
        </w:trPr>
        <w:tc>
          <w:tcPr>
            <w:tcW w:w="720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Jeffrey Black</w:t>
            </w:r>
          </w:p>
        </w:tc>
      </w:tr>
      <w:tr>
        <w:trPr>
          <w:trHeight w:val="211"/>
        </w:trPr>
        <w:tc>
          <w:tcPr>
            <w:tcW w:w="720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Jeffrey Black</w:t>
            </w:r>
          </w:p>
        </w:tc>
      </w:tr>
      <w:tr>
        <w:trPr>
          <w:trHeight w:val="234"/>
        </w:trPr>
        <w:tc>
          <w:tcPr>
            <w:tcW w:w="720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94"/>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ind w:left="10100"/>
        <w:spacing w:after="0"/>
        <w:rPr>
          <w:sz w:val="20"/>
          <w:szCs w:val="20"/>
          <w:color w:val="auto"/>
        </w:rPr>
      </w:pPr>
      <w:r>
        <w:rPr>
          <w:rFonts w:ascii="Calibri" w:cs="Calibri" w:eastAsia="Calibri" w:hAnsi="Calibri"/>
          <w:sz w:val="18"/>
          <w:szCs w:val="18"/>
          <w:b w:val="1"/>
          <w:bCs w:val="1"/>
          <w:color w:val="auto"/>
        </w:rPr>
        <w:t>Exhibit 99.1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Reports Fourth Quarter and Full Year 2023 Financial Results</w:t>
      </w:r>
    </w:p>
    <w:p>
      <w:pPr>
        <w:spacing w:after="0" w:line="216" w:lineRule="exact"/>
        <w:rPr>
          <w:sz w:val="20"/>
          <w:szCs w:val="20"/>
          <w:color w:val="auto"/>
        </w:rPr>
      </w:pPr>
    </w:p>
    <w:p>
      <w:pPr>
        <w:ind w:left="1020" w:right="820" w:hanging="503"/>
        <w:spacing w:after="0" w:line="273"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Achieved FY2023 core financial objectives, delivering substantial ongoing reductions in expenses and cash burn while expanding revenue and gross margins</w:t>
      </w:r>
    </w:p>
    <w:p>
      <w:pPr>
        <w:spacing w:after="0" w:line="165"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Completed merger with SomaLogic, activating strategy to build scaled leader in life sciences tools and services</w:t>
      </w:r>
    </w:p>
    <w:p>
      <w:pPr>
        <w:spacing w:after="0" w:line="229" w:lineRule="exact"/>
        <w:rPr>
          <w:rFonts w:ascii="Times New Roman" w:cs="Times New Roman" w:eastAsia="Times New Roman" w:hAnsi="Times New Roman"/>
          <w:sz w:val="20"/>
          <w:szCs w:val="20"/>
          <w:color w:val="auto"/>
        </w:rPr>
      </w:pPr>
    </w:p>
    <w:p>
      <w:pPr>
        <w:ind w:left="1020" w:right="340" w:hanging="503"/>
        <w:spacing w:after="0" w:line="293"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Combined pro forma revenue for FY2023 totaled $192 million and fortified balance sheet with $565 million in combined pro forma cash, cash equivalents, restricted cash and short-term investments at December 31, 2023</w:t>
      </w:r>
      <w:r>
        <w:rPr>
          <w:rFonts w:ascii="Times New Roman" w:cs="Times New Roman" w:eastAsia="Times New Roman" w:hAnsi="Times New Roman"/>
          <w:sz w:val="26"/>
          <w:szCs w:val="26"/>
          <w:i w:val="1"/>
          <w:iCs w:val="1"/>
          <w:color w:val="auto"/>
          <w:vertAlign w:val="superscript"/>
        </w:rPr>
        <w:t>1</w:t>
      </w:r>
    </w:p>
    <w:p>
      <w:pPr>
        <w:spacing w:after="0" w:line="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SOUTH SAN FRANCISCO, Calif., February 28, 2024 — Standard BioTools Inc. (“Standard BioTools” or the “Company”) (Nasdaq: LAB) today announced financial results for the fourth quarter and fiscal year ended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Standard BioTools Stand-Alone 2023 Fourth Quarter and Full Year Selected Financial Results</w:t>
      </w:r>
      <w:r>
        <w:rPr>
          <w:rFonts w:ascii="Times New Roman" w:cs="Times New Roman" w:eastAsia="Times New Roman" w:hAnsi="Times New Roman"/>
          <w:sz w:val="26"/>
          <w:szCs w:val="26"/>
          <w:b w:val="1"/>
          <w:bCs w:val="1"/>
          <w:color w:val="auto"/>
          <w:vertAlign w:val="superscript"/>
        </w:rPr>
        <w:t>2</w:t>
      </w:r>
    </w:p>
    <w:p>
      <w:pPr>
        <w:spacing w:after="0" w:line="162" w:lineRule="exact"/>
        <w:rPr>
          <w:sz w:val="20"/>
          <w:szCs w:val="20"/>
          <w:color w:val="auto"/>
        </w:rPr>
      </w:pPr>
    </w:p>
    <w:tbl>
      <w:tblPr>
        <w:tblLayout w:type="fixed"/>
        <w:tblInd w:w="154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0" w:type="dxa"/>
            <w:vAlign w:val="bottom"/>
          </w:tcPr>
          <w:p>
            <w:pPr>
              <w:spacing w:after="0"/>
              <w:rPr>
                <w:sz w:val="15"/>
                <w:szCs w:val="15"/>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in millions, except percentages)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47.4 %</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59.6 %</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60.1 %</w:t>
            </w:r>
          </w:p>
        </w:tc>
      </w:tr>
      <w:tr>
        <w:trPr>
          <w:trHeight w:val="25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80" w:type="dxa"/>
            <w:vAlign w:val="bottom"/>
          </w:tcPr>
          <w:p>
            <w:pPr>
              <w:spacing w:after="0"/>
              <w:rPr>
                <w:sz w:val="20"/>
                <w:szCs w:val="20"/>
                <w:color w:val="auto"/>
              </w:rPr>
            </w:pPr>
          </w:p>
        </w:tc>
      </w:tr>
      <w:tr>
        <w:trPr>
          <w:trHeight w:val="24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80" w:type="dxa"/>
            <w:vAlign w:val="bottom"/>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80" w:type="dxa"/>
            <w:vAlign w:val="bottom"/>
          </w:tcPr>
          <w:p>
            <w:pPr>
              <w:spacing w:after="0"/>
              <w:rPr>
                <w:sz w:val="20"/>
                <w:szCs w:val="20"/>
                <w:color w:val="auto"/>
              </w:rPr>
            </w:pPr>
          </w:p>
        </w:tc>
      </w:tr>
      <w:tr>
        <w:trPr>
          <w:trHeight w:val="215"/>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restricted cash,</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short-term investments</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191"/>
        </w:trPr>
        <w:tc>
          <w:tcPr>
            <w:tcW w:w="5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Combined pro forma cash, cash equivalents,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17"/>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short-term investments</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-1539240</wp:posOffset>
            </wp:positionV>
            <wp:extent cx="520319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3190" cy="154305"/>
                    </a:xfrm>
                    <a:prstGeom prst="rect">
                      <a:avLst/>
                    </a:prstGeom>
                    <a:noFill/>
                  </pic:spPr>
                </pic:pic>
              </a:graphicData>
            </a:graphic>
          </wp:anchor>
        </w:drawing>
      </w:r>
    </w:p>
    <w:p>
      <w:pPr>
        <w:spacing w:after="0" w:line="3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our first full year of operational execution, the Standard BioTools team hit our major target of standardizing the core business units and instilling SBS business systems throughout the organization. We also did so in one of the more challenging economic environments I’ve seen in life sciences over the last 20 years,” said Michael Egholm, PhD, President and Chief Executive Officer of Standard BioTools. "We have now assembled a team of seasoned operators, executing with a laser-focus on operational discipline, behind a clear strategy to bring together unique technologies under one roof. We believe this team is well positioned to achieve scale and profitability. The team has confirmed its capabilities through the ongoing reduction of expenses and cash consumption, while at the same time returning a declining business back to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4"/>
          <w:szCs w:val="14"/>
          <w:color w:val="auto"/>
        </w:rPr>
        <w:t>Reflects (i) pro forma combined revenue of the Company and SomaLogic, including SomaLogic’s unaudited 2023 revenue of $86.1 million and (ii) pro forma combined cash, cash equivalents,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restricted cash and short-term investments as of December 31, 2023, including SomaLogic’s unaudited cash, cash equivalents and short-term investments of $449.8 million as of December 31, 2023, in each case after giving effect to the merger with SomaLogic, which closed on January 5,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Unless otherwise noted financial results include only the Standard BioTools legacy business in 2023, and exclude the results of SomaLogic, which became part of Standard BioTools on January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2024 and will be included in the Company’s consolidated financial statements beginning with the quarter ended March 31, 2024.</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3 </w:t>
      </w:r>
      <w:r>
        <w:rPr>
          <w:rFonts w:ascii="Times New Roman" w:cs="Times New Roman" w:eastAsia="Times New Roman" w:hAnsi="Times New Roman"/>
          <w:sz w:val="14"/>
          <w:szCs w:val="14"/>
          <w:color w:val="auto"/>
        </w:rPr>
        <w:t>Reflects pro forma combined cash, cash equivalents, restricted cash and short-term investments as of December 31, 2023, including SomaLogic’s unaudited cash, cash equivalents and short-term investments of $449.8 million as of December 31, 2023, after giving effect to the merger with SomaLogic, which closed on January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Standard BioTools Financial Highlights Compared to 2022</w:t>
      </w:r>
    </w:p>
    <w:p>
      <w:pPr>
        <w:spacing w:after="0" w:line="34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increased 9% in fiscal year 2023 and 4% in the fourth quarter;</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 sales grew 46% in fiscal year 2023 and 44% in the fourth quarter;</w:t>
      </w:r>
    </w:p>
    <w:p>
      <w:pPr>
        <w:spacing w:after="0" w:line="10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gross margin expanded 900 basis points to 60.1% in fiscal year 2023 and 630 basis points to 59.6% in the fourth quarter;</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operating expenses declined $20 million, or 17%, in fiscal year 2023 and $1 million, or 5% in the fourth quarter;</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adjusted EBITDA loss improved $34 million in fiscal year 2023 and over $3 million in the fourth quarter;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cash use declined $47 million, or 53%, in fiscal 2023 and $6 million, or 32%, in the fourth quarter.</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 combined pro forma basis, after giving effect to the merger with SomaLogic, Inc. (“SomaLogic”), total revenue for the year ended December 31, 2023 was approximately $192 million, and cash, cash equivalents, restricted cash and short-term investments at December 31, 2023 were approximately $565 million.</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Egholm added, “With the recent closing of the merger with SomaLogic, we have moved into the next phase of the growth strategy. I am delighted to report that the merger integration process is well underway. We are building significant momentum and are excited to capitalize on technological and commercial potential while accelerating the collective path to profitability. We are also continuing to identify new partners with emerging technologies and businesses where together we can scale their operations, diversify our collective revenue, and empower our customers to do amazing research. We believe the best is yet to come for Standard BioTools and SomaLogic – we are better together.”</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reconciliation of non-GAAP gross margin, non-GAAP operating expenses, and non-GAAP adjusted EBITDA is provided in the financial schedules that are part of this press release. An explanation of these non-GAAP financial measures is also included below under the heading “Use of Non-GAAP 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 for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year 2024, the combined Company expects revenue in the range of $200 million to $205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Standard BioTools will host a conference call and webcast today at 1:30 p.m. PT, 4:30 p.m. ET, to discuss fourth quarter and full year 2023 financial results and operational progress as well as to provide additional color on its strategic actions.</w:t>
      </w:r>
    </w:p>
    <w:p>
      <w:pPr>
        <w:spacing w:after="0" w:line="17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today is providing an Investor Relations presentation with additional information on its business and operations, including an appendix with Supplemental Financial Information which is available, concurrent with this news release, on the Investor Relations page of the Company's website at Events &amp; Presentations.</w:t>
      </w:r>
    </w:p>
    <w:p>
      <w:pPr>
        <w:spacing w:after="0" w:line="1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Live audio of the webcast will be available online along with an archived version of the webcast under the Events &amp; Presentations page of the Company’s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conference call by phone, may do so using one of the following dial-in numbers below:</w:t>
      </w:r>
    </w:p>
    <w:p>
      <w:pPr>
        <w:spacing w:after="0" w:line="10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domestic callers: 1-888-346-3970</w:t>
      </w:r>
    </w:p>
    <w:p>
      <w:pPr>
        <w:spacing w:after="0" w:line="2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US callers: 1-412-902-4297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Use of Non-GAAP Financial Information</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Standard BioTools has presented certain financial information in accordance with U.S. GAAP and also on a non-GAAP basis. The non-GAAP financial measures included in this press release are non-GAAP gross margin,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A0A0A"/>
        </w:rPr>
        <w:t>Forward-Looking Statements</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404040"/>
        </w:rPr>
        <w:t>This press release contains forward-looking statements within the meaning of the Private Securities Litigation Reform Act of 1995, including, among others, statements regarding future financial and business performance; expectations, operational and strategic plans; deployment of capital; market and growth opportunity and potential; the potential to realize the expected benefits following the merger of the Company and SomaLogic; and the Company’s revenue outlook for the full year 2024. Forward-looking statements are subject to numerous risks and uncertainties that could cause actual results to differ materially from currently anticipated results, including, but not limited to, the outcome of any legal proceedings related to the merger; risks that the anticipated benefits of the merger or other commercial opportunities may otherwise not be fully realized or may take longer to realize than expected; risks that the Company may not realize expected cost savings from our restructuring, including the anticipated decrease in operational expenses, at the levels it expects; possible restructuring and transition-related disruption, including through the loss of customers, suppliers, and employees and adverse impacts on the Company’s development activities and results of operation; restructuring activities, including the Company’s subleasing plans,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today, and in the Company’s other filings with the SEC. These forward-looking statements speak only as of the date hereof. The Company disclaims any obligation to update these forward-looking statements except as may be required by law.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Standard BioTools Inc.</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Standard BioTools Inc. (Nasdaq: LAB), previously known as Fluidigm Corporation, is driven by a bold purpose –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20"/>
          <w:szCs w:val="20"/>
          <w:color w:val="auto"/>
        </w:rPr>
        <w:t>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Twitter®, Facebook®, LinkedIn, and YouTube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xml:space="preserv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w:t>
      </w:r>
      <w:r>
        <w:rPr>
          <w:rFonts w:ascii="Times New Roman" w:cs="Times New Roman" w:eastAsia="Times New Roman" w:hAnsi="Times New Roman"/>
          <w:sz w:val="20"/>
          <w:szCs w:val="20"/>
          <w:b w:val="1"/>
          <w:bCs w:val="1"/>
          <w:color w:val="auto"/>
        </w:rPr>
        <w:t>Research Use Only</w:t>
      </w:r>
      <w:r>
        <w:rPr>
          <w:rFonts w:ascii="Times New Roman" w:cs="Times New Roman" w:eastAsia="Times New Roman" w:hAnsi="Times New Roman"/>
          <w:sz w:val="20"/>
          <w:szCs w:val="20"/>
          <w:color w:val="auto"/>
        </w:rPr>
        <w:t>. Not for use in diagnostic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Standard BioTools uses its website (standardbio.com), investor site (investors.standardbio.com), corporate Twitter account (@Standard_BioT), Facebook page (facebook.com/StandardBioT), and LinkedIn page (linkedin.com/company/standard-biotools)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Holmes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Gilmartin Group LLC</w:t>
      </w:r>
    </w:p>
    <w:p>
      <w:pPr>
        <w:ind w:right="9620" w:firstLine="8"/>
        <w:spacing w:after="0" w:line="271" w:lineRule="auto"/>
        <w:tabs>
          <w:tab w:leader="none" w:pos="47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330-1031 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(Unaudited)</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21,384</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20,919</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79,198</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28,188</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21,354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and related charges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0"/>
              <w:spacing w:after="0"/>
              <w:rPr>
                <w:sz w:val="20"/>
                <w:szCs w:val="20"/>
                <w:color w:val="auto"/>
              </w:rPr>
            </w:pPr>
            <w:r>
              <w:rPr>
                <w:rFonts w:ascii="Arial" w:cs="Arial" w:eastAsia="Arial" w:hAnsi="Arial"/>
                <w:sz w:val="18"/>
                <w:szCs w:val="18"/>
                <w:color w:val="auto"/>
              </w:rPr>
              <w:t>Transaction-related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34,743</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127,050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(21,386 )</w:t>
            </w: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(21,112 )</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(76,600 )</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(116,205 )</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(1,098 )</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(1,190 )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(4,567 )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(4,331 )</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Loss on forward sale of Series B Preferred Stock</w:t>
            </w:r>
          </w:p>
        </w:tc>
        <w:tc>
          <w:tcPr>
            <w:tcW w:w="2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(60,081 )</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Bridge Loans</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(13,719 )</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(19,938 )</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(20,775 )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(74,204 )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(192,928 )</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(70 )</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(452 )</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(19,776 )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(20,845 )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(74,656 )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(190,098 )</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(0.26 )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(0.94 )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Shares used in computing net loss per share, basic and</w:t>
            </w:r>
          </w:p>
        </w:tc>
        <w:tc>
          <w:tcPr>
            <w:tcW w:w="24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79,729</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79,434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79,160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78,305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162"/>
        </w:trPr>
        <w:tc>
          <w:tcPr>
            <w:tcW w:w="5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-4217035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-4217035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-4217035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-3616960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-3616960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-3616960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-2425065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-2425065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-2425065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-1233805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-1216660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-1233805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-1216660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-1233805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-1216660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-788035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-770890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-788035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-770890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-788035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-770890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63,191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84,475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158,215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208,815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33,883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Developed technology,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106,317</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323,067</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390,310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11,867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grant income, current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current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Convertible notes, current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109,327</w:t>
            </w: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Convertible notes, non-current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54,615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non-current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grant income, non-current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Mezzanine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Redeemable preferred stock</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(148,051 )</w:t>
            </w: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(81,467 )</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mezzanine equity and stockholders’ deficit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323,067</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162"/>
        </w:trPr>
        <w:tc>
          <w:tcPr>
            <w:tcW w:w="7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-5374005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-5374005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-4491355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-788035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-770890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9"/>
              </w:rPr>
              <w:t>Twelve Months Ended December 31,</w:t>
            </w:r>
          </w:p>
        </w:tc>
      </w:tr>
      <w:tr>
        <w:trPr>
          <w:trHeight w:val="223"/>
        </w:trPr>
        <w:tc>
          <w:tcPr>
            <w:tcW w:w="7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(74,656 )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(190,098 )</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forward sale of Series B Preferred Stock</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60,081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Loss on bridge loans</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13,719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Amortization of developed technology</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Provision for excess and obsolete inventory</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of InstruNor developed technology intangible</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Amortization of debt discounts, premiums and issuance costs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non-cash items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(987 )</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Changes in assets and liabilities,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(15,482 )</w:t>
            </w:r>
          </w:p>
        </w:tc>
      </w:tr>
      <w:tr>
        <w:trPr>
          <w:trHeight w:val="20"/>
        </w:trPr>
        <w:tc>
          <w:tcPr>
            <w:tcW w:w="7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(43,287 )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(89,370 )</w:t>
            </w:r>
          </w:p>
        </w:tc>
      </w:tr>
      <w:tr>
        <w:trPr>
          <w:trHeight w:val="453"/>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(94,896 )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(137,302 )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sales and maturities of investments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117,964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(2,831 )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(3,825 )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20,237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(88,127 )</w:t>
            </w:r>
          </w:p>
        </w:tc>
      </w:tr>
      <w:tr>
        <w:trPr>
          <w:trHeight w:val="223"/>
        </w:trPr>
        <w:tc>
          <w:tcPr>
            <w:tcW w:w="7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bridge loans</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Series B Preferred Stock</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Repayment of term loan and advances under revolving credit facility</w:t>
            </w: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(2,083 )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(6,838 )</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debt and equity issuance costs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(12,547 )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(5,414 )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(563 )</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ESPP stock issuance</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Payments for taxes related to net share settlement of equity awards and other</w:t>
            </w: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(139 )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(211 )</w:t>
            </w:r>
          </w:p>
        </w:tc>
      </w:tr>
      <w:tr>
        <w:trPr>
          <w:trHeight w:val="20"/>
        </w:trPr>
        <w:tc>
          <w:tcPr>
            <w:tcW w:w="7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(6,809 )</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230,758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(404 )</w:t>
            </w:r>
          </w:p>
        </w:tc>
      </w:tr>
      <w:tr>
        <w:trPr>
          <w:trHeight w:val="20"/>
        </w:trPr>
        <w:tc>
          <w:tcPr>
            <w:tcW w:w="7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(29,825 )</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29,467</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52,499</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9"/>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consists of:</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52,499</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310"/>
        </w:trPr>
        <w:tc>
          <w:tcPr>
            <w:tcW w:w="7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-4611370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-3874135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GROSS PROFIT AND MARGIN PERCENTAGE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5"/>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Amortization of developed technology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Non-GAAP gross profit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16,802</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14,397</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63,934</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50,096</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5720" w:type="dxa"/>
            <w:vAlign w:val="bottom"/>
          </w:tcPr>
          <w:p>
            <w:pPr>
              <w:ind w:left="20"/>
              <w:spacing w:after="0"/>
              <w:rPr>
                <w:sz w:val="20"/>
                <w:szCs w:val="20"/>
                <w:color w:val="auto"/>
              </w:rPr>
            </w:pPr>
            <w:r>
              <w:rPr>
                <w:rFonts w:ascii="Arial" w:cs="Arial" w:eastAsia="Arial" w:hAnsi="Arial"/>
                <w:sz w:val="18"/>
                <w:szCs w:val="18"/>
                <w:color w:val="auto"/>
              </w:rPr>
              <w:t>GAAP gross margin percentage</w:t>
            </w:r>
          </w:p>
        </w:tc>
        <w:tc>
          <w:tcPr>
            <w:tcW w:w="26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47.4 %</w:t>
            </w:r>
          </w:p>
        </w:tc>
        <w:tc>
          <w:tcPr>
            <w:tcW w:w="2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41.3 %</w:t>
            </w:r>
          </w:p>
        </w:tc>
        <w:tc>
          <w:tcPr>
            <w:tcW w:w="2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47.4 %</w:t>
            </w:r>
          </w:p>
        </w:tc>
        <w:tc>
          <w:tcPr>
            <w:tcW w:w="24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Amortization of developed technology</w:t>
            </w: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9.9 %</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10.4 %</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10.5 %</w:t>
            </w:r>
          </w:p>
        </w:tc>
        <w:tc>
          <w:tcPr>
            <w:tcW w:w="2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0.6 %</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0.5 %</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0.8 %</w:t>
            </w:r>
          </w:p>
        </w:tc>
        <w:tc>
          <w:tcPr>
            <w:tcW w:w="2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20"/>
              <w:spacing w:after="0"/>
              <w:rPr>
                <w:sz w:val="20"/>
                <w:szCs w:val="20"/>
                <w:color w:val="auto"/>
              </w:rPr>
            </w:pPr>
            <w:r>
              <w:rPr>
                <w:rFonts w:ascii="Arial" w:cs="Arial" w:eastAsia="Arial" w:hAnsi="Arial"/>
                <w:sz w:val="18"/>
                <w:szCs w:val="18"/>
                <w:color w:val="auto"/>
              </w:rPr>
              <w:t>Non-GAAP gross margin percentage</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59.6 %</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53.3 %</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60.1 %</w:t>
            </w:r>
          </w:p>
        </w:tc>
        <w:tc>
          <w:tcPr>
            <w:tcW w:w="2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51.1 %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0"/>
        </w:trPr>
        <w:tc>
          <w:tcPr>
            <w:tcW w:w="5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-1790700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-1774190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-1774190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-1774190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30" w:right="2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Twelve Months Ended</w:t>
            </w:r>
          </w:p>
        </w:tc>
      </w:tr>
      <w:tr>
        <w:trPr>
          <w:trHeight w:val="235"/>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operating expenses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127,050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153,256</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(1,661 )</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(4,630 )</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(7,076 )</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(9,732 )</w:t>
            </w:r>
          </w:p>
        </w:tc>
      </w:tr>
      <w:tr>
        <w:trPr>
          <w:trHeight w:val="230"/>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Transaction-related expenses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(4,819 )</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(6,485 )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(3,857 )</w:t>
            </w: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(3,312 )</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(1,548 )</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(12,312 )</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(14,288 )</w:t>
            </w:r>
          </w:p>
        </w:tc>
      </w:tr>
      <w:tr>
        <w:trPr>
          <w:trHeight w:val="230"/>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(624 )</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(523 )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(2,507 )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(2,575 )</w:t>
            </w: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(3,526 )</w:t>
            </w:r>
          </w:p>
        </w:tc>
      </w:tr>
      <w:tr>
        <w:trPr>
          <w:trHeight w:val="229"/>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(312 )</w:t>
            </w:r>
          </w:p>
        </w:tc>
      </w:tr>
      <w:tr>
        <w:trPr>
          <w:trHeight w:val="223"/>
        </w:trPr>
        <w:tc>
          <w:tcPr>
            <w:tcW w:w="5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Non-GAAP operating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24,327</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25,478</w:t>
            </w: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98,597</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118,966</w:t>
            </w:r>
          </w:p>
        </w:tc>
        <w:tc>
          <w:tcPr>
            <w:tcW w:w="100" w:type="dxa"/>
            <w:vAlign w:val="bottom"/>
            <w:tcBorders>
              <w:top w:val="single" w:sz="8" w:color="CFF0FC"/>
            </w:tcBorders>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R&amp;D operating expenses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37,382</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(430 )</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(467 )</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(1,671 )</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(2,481 )</w:t>
            </w:r>
          </w:p>
        </w:tc>
      </w:tr>
      <w:tr>
        <w:trPr>
          <w:trHeight w:val="229"/>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(125 )</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(526 )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(954 )</w:t>
            </w: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(3,526 )</w:t>
            </w: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Non-GAAP R&amp;D operating expenses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6,808</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23,751</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40"/>
        </w:trPr>
        <w:tc>
          <w:tcPr>
            <w:tcW w:w="5720" w:type="dxa"/>
            <w:vAlign w:val="bottom"/>
          </w:tcPr>
          <w:p>
            <w:pPr>
              <w:ind w:left="20"/>
              <w:spacing w:after="0"/>
              <w:rPr>
                <w:sz w:val="20"/>
                <w:szCs w:val="20"/>
                <w:color w:val="auto"/>
              </w:rPr>
            </w:pPr>
            <w:r>
              <w:rPr>
                <w:rFonts w:ascii="Arial" w:cs="Arial" w:eastAsia="Arial" w:hAnsi="Arial"/>
                <w:sz w:val="18"/>
                <w:szCs w:val="18"/>
                <w:color w:val="auto"/>
              </w:rPr>
              <w:t>GAAP SG&amp;A 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21,354</w:t>
            </w:r>
          </w:p>
        </w:tc>
        <w:tc>
          <w:tcPr>
            <w:tcW w:w="26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20,224</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87,541</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102,285</w:t>
            </w:r>
          </w:p>
        </w:tc>
        <w:tc>
          <w:tcPr>
            <w:tcW w:w="100" w:type="dxa"/>
            <w:vAlign w:val="bottom"/>
          </w:tcPr>
          <w:p>
            <w:pPr>
              <w:spacing w:after="0"/>
              <w:rPr>
                <w:sz w:val="24"/>
                <w:szCs w:val="24"/>
                <w:color w:val="auto"/>
              </w:rPr>
            </w:pPr>
          </w:p>
        </w:tc>
      </w:tr>
      <w:tr>
        <w:trPr>
          <w:trHeight w:val="229"/>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(2,882 )</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(1,081 )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(10,641 )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(11,807 )</w:t>
            </w: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(499 )</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(373 )</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(1,981 )</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(1,621 )</w:t>
            </w:r>
          </w:p>
        </w:tc>
      </w:tr>
      <w:tr>
        <w:trPr>
          <w:trHeight w:val="230"/>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(312 )</w:t>
            </w:r>
          </w:p>
        </w:tc>
      </w:tr>
      <w:tr>
        <w:trPr>
          <w:trHeight w:val="223"/>
        </w:trPr>
        <w:tc>
          <w:tcPr>
            <w:tcW w:w="5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Non-GAAP SG&amp;A operating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17,973</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18,670</w:t>
            </w: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74,846</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88,545</w:t>
            </w:r>
          </w:p>
        </w:tc>
        <w:tc>
          <w:tcPr>
            <w:tcW w:w="100" w:type="dxa"/>
            <w:vAlign w:val="bottom"/>
            <w:tcBorders>
              <w:top w:val="single" w:sz="8" w:color="CFF0FC"/>
            </w:tcBorders>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10"/>
        </w:trPr>
        <w:tc>
          <w:tcPr>
            <w:tcW w:w="5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-2853690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-2853690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-2853690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-1790700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-1773555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-1773555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-1773555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-1036320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-1036320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-1036320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NET LOSS TO NON-GAAP ADJUSTED EBITDA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8"/>
              </w:rPr>
              <w:t>Twelve Months Ended</w:t>
            </w:r>
          </w:p>
        </w:tc>
      </w:tr>
      <w:tr>
        <w:trPr>
          <w:trHeight w:val="235"/>
        </w:trPr>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5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net loss</w:t>
            </w: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(19,776 )</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(20,845 )</w:t>
            </w:r>
          </w:p>
        </w:tc>
        <w:tc>
          <w:tcPr>
            <w:tcW w:w="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(74,656 )</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(190,098 )</w:t>
            </w: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(2,830 )</w:t>
            </w:r>
          </w:p>
        </w:tc>
      </w:tr>
      <w:tr>
        <w:trPr>
          <w:trHeight w:val="230"/>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Amortization of developed technology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Pr>
          <w:p>
            <w:pPr>
              <w:spacing w:after="0"/>
              <w:rPr>
                <w:sz w:val="19"/>
                <w:szCs w:val="19"/>
                <w:color w:val="auto"/>
              </w:rPr>
            </w:pPr>
          </w:p>
        </w:tc>
      </w:tr>
      <w:tr>
        <w:trPr>
          <w:trHeight w:val="230"/>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Transaction-related expenses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Impairment of intangible assets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Loss on forward sale of Series B Preferred Stock</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bridge loans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13,719</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Other non-operating expense (income)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(2,546 )</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(1,527 )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(6,963 )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(1,408 )</w:t>
            </w:r>
          </w:p>
        </w:tc>
      </w:tr>
      <w:tr>
        <w:trPr>
          <w:trHeight w:val="230"/>
        </w:trPr>
        <w:tc>
          <w:tcPr>
            <w:tcW w:w="5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Non-GAAP adjusted EBITDA</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(7,525 )</w:t>
            </w:r>
          </w:p>
        </w:tc>
        <w:tc>
          <w:tcPr>
            <w:tcW w:w="1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(11,082 )</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(34,663 )</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(68,871 )</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7500" w:type="dxa"/>
            <w:vAlign w:val="bottom"/>
            <w:gridSpan w:val="8"/>
          </w:tcPr>
          <w:p>
            <w:pPr>
              <w:ind w:left="3760"/>
              <w:spacing w:after="0"/>
              <w:rPr>
                <w:sz w:val="20"/>
                <w:szCs w:val="20"/>
                <w:color w:val="auto"/>
              </w:rPr>
            </w:pPr>
            <w:r>
              <w:rPr>
                <w:rFonts w:ascii="Times New Roman" w:cs="Times New Roman" w:eastAsia="Times New Roman" w:hAnsi="Times New Roman"/>
                <w:sz w:val="18"/>
                <w:szCs w:val="18"/>
                <w:b w:val="1"/>
                <w:bCs w:val="1"/>
                <w:color w:val="auto"/>
                <w:w w:val="99"/>
              </w:rPr>
              <w:t>CALCULATION OF OPERATING CASH USE</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8"/>
              </w:rPr>
              <w:t>Twelve Months Ended</w:t>
            </w:r>
          </w:p>
        </w:tc>
      </w:tr>
      <w:tr>
        <w:trPr>
          <w:trHeight w:val="235"/>
        </w:trPr>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5720" w:type="dxa"/>
            <w:vAlign w:val="bottom"/>
            <w:shd w:val="clear" w:color="auto" w:fill="CFF0FC"/>
          </w:tcPr>
          <w:p>
            <w:pPr>
              <w:ind w:left="20"/>
              <w:spacing w:after="0" w:line="222" w:lineRule="exact"/>
              <w:rPr>
                <w:sz w:val="20"/>
                <w:szCs w:val="20"/>
                <w:color w:val="auto"/>
              </w:rPr>
            </w:pPr>
            <w:r>
              <w:rPr>
                <w:rFonts w:ascii="Arial" w:cs="Arial" w:eastAsia="Arial" w:hAnsi="Arial"/>
                <w:sz w:val="18"/>
                <w:szCs w:val="18"/>
                <w:color w:val="auto"/>
              </w:rPr>
              <w:t xml:space="preserve">Net cash used in operating activities </w:t>
            </w:r>
            <w:r>
              <w:rPr>
                <w:rFonts w:ascii="Arial" w:cs="Arial" w:eastAsia="Arial" w:hAnsi="Arial"/>
                <w:sz w:val="24"/>
                <w:szCs w:val="24"/>
                <w:color w:val="auto"/>
                <w:vertAlign w:val="superscript"/>
              </w:rPr>
              <w:t>(1)</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(14,061 )</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(19,181 )</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(43,287 )</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(89,370 )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(78 )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(755 )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(2,831 )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(3,825 )</w:t>
            </w:r>
          </w:p>
        </w:tc>
      </w:tr>
      <w:tr>
        <w:trPr>
          <w:trHeight w:val="229"/>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1,646</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3,819</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Operating cash use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(12,491 )</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(18,290 )</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(42,299 )</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(89,702 )</w:t>
            </w: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-1670685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-1670685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-1670685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-179705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-179705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-179705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Derived from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33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2024-02-28T15:36:28Z</dcterms:created>
  <dcterms:modified xsi:type="dcterms:W3CDTF">2024-02-28T15:36:28Z</dcterms:modified>
</cp:coreProperties>
</file>