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sz w:val="20"/>
        </w:rPr>
      </w:pPr>
      <w:r>
        <w:rPr>
          <w:sz w:val="20"/>
        </w:rPr>
      </w:r>
    </w:p>
    <w:p>
      <w:pPr>
        <w:pStyle w:val="HorizontalLine"/>
        <w:bidi w:val="0"/>
        <w:jc w:val="left"/>
        <w:rPr/>
      </w:pPr>
      <w:r>
        <w:rPr/>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8-K/A</w:t>
      </w:r>
    </w:p>
    <w:p>
      <w:pPr>
        <w:pStyle w:val="TextBody"/>
        <w:bidi w:val="0"/>
        <w:spacing w:before="0" w:after="0"/>
        <w:jc w:val="left"/>
        <w:rPr>
          <w:sz w:val="20"/>
        </w:rPr>
      </w:pPr>
      <w:r>
        <w:rPr>
          <w:sz w:val="20"/>
        </w:rPr>
      </w:r>
    </w:p>
    <w:p>
      <w:pPr>
        <w:pStyle w:val="HorizontalLine"/>
        <w:bidi w:val="0"/>
        <w:jc w:val="left"/>
        <w:rPr/>
      </w:pPr>
      <w:r>
        <w:rPr/>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Pursuant to Section 13 or 15(d) of the</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Securities Exchange Act of 1934</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Date of report (Date of earliest event reported): July 28, 2026</w:t>
      </w:r>
    </w:p>
    <w:p>
      <w:pPr>
        <w:pStyle w:val="TextBody"/>
        <w:bidi w:val="0"/>
        <w:spacing w:before="0" w:after="0"/>
        <w:jc w:val="left"/>
        <w:rPr>
          <w:sz w:val="20"/>
        </w:rPr>
      </w:pPr>
      <w:r>
        <w:rPr>
          <w:sz w:val="20"/>
        </w:rPr>
      </w:r>
    </w:p>
    <w:p>
      <w:pPr>
        <w:pStyle w:val="HorizontalLine"/>
        <w:bidi w:val="0"/>
        <w:jc w:val="left"/>
        <w:rPr/>
      </w:pPr>
      <w:r>
        <w:rPr/>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Standard BioTools Inc.</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(Exact Name of Registrant as Specified in Charter)</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TextBody"/>
        <w:bidi w:val="0"/>
        <w:spacing w:before="0" w:after="0"/>
        <w:jc w:val="left"/>
        <w:rPr>
          <w:sz w:val="20"/>
        </w:rPr>
      </w:pPr>
      <w:r>
        <w:rPr>
          <w:sz w:val="20"/>
        </w:rPr>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Delaware</w:t>
            </w:r>
          </w:p>
        </w:tc>
        <w:tc>
          <w:tcPr>
            <w:tcW w:w="221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001-34180</w:t>
            </w:r>
          </w:p>
        </w:tc>
        <w:tc>
          <w:tcPr>
            <w:tcW w:w="290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77-0513190</w:t>
            </w:r>
          </w:p>
        </w:tc>
      </w:tr>
      <w:tr>
        <w:trPr/>
        <w:tc>
          <w:tcPr>
            <w:tcW w:w="362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(State or Other Jurisdiction of Incorporation)</w:t>
            </w:r>
          </w:p>
        </w:tc>
        <w:tc>
          <w:tcPr>
            <w:tcW w:w="221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(Commission File Number)</w:t>
            </w:r>
          </w:p>
        </w:tc>
        <w:tc>
          <w:tcPr>
            <w:tcW w:w="290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bidi w:val="0"/>
        <w:spacing w:before="0" w:after="0"/>
        <w:jc w:val="center"/>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50 Milk Street, 10th Floor</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Boston, Massachusetts 02109</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(Address of Principal Executive Offices) (Zip Code)</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(650) 266-6000</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(Registrant’s Telephone Number, Including Area Code)</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(Former Name or Former Address, if Changed Since Last Report)</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 (</w:t>
      </w:r>
      <w:r>
        <w:rPr>
          <w:rFonts w:ascii="Times New Roman" w:hAnsi="Times New Roman"/>
          <w:i/>
          <w:color w:val="000000"/>
          <w:sz w:val="20"/>
          <w:shd w:fill="FFFFFF" w:val="clear"/>
        </w:rPr>
        <w:t>see</w:t>
      </w:r>
      <w:r>
        <w:rPr>
          <w:rFonts w:ascii="Times New Roman" w:hAnsi="Times New Roman"/>
          <w:color w:val="000000"/>
          <w:sz w:val="20"/>
          <w:shd w:fill="FFFFFF" w:val="clear"/>
        </w:rPr>
        <w:t xml:space="preserve"> General Instruction A.2. below):</w:t>
      </w:r>
    </w:p>
    <w:p>
      <w:pPr>
        <w:pStyle w:val="TextBody"/>
        <w:bidi w:val="0"/>
        <w:spacing w:before="0" w:after="0"/>
        <w:jc w:val="left"/>
        <w:rPr>
          <w:sz w:val="20"/>
        </w:rPr>
      </w:pPr>
      <w:r>
        <w:rPr>
          <w:sz w:val="20"/>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spacing w:before="0" w:after="0"/>
        <w:jc w:val="left"/>
        <w:rPr>
          <w:sz w:val="20"/>
        </w:rPr>
      </w:pPr>
      <w:r>
        <w:rPr>
          <w:sz w:val="20"/>
        </w:rPr>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spacing w:before="0" w:after="0"/>
        <w:jc w:val="left"/>
        <w:rPr>
          <w:sz w:val="20"/>
        </w:rPr>
      </w:pPr>
      <w:r>
        <w:rPr>
          <w:sz w:val="20"/>
        </w:rPr>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bidi w:val="0"/>
        <w:spacing w:before="0" w:after="0"/>
        <w:jc w:val="left"/>
        <w:rPr>
          <w:sz w:val="20"/>
        </w:rPr>
      </w:pPr>
      <w:r>
        <w:rPr>
          <w:sz w:val="20"/>
        </w:rPr>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sz w:val="20"/>
        </w:rPr>
      </w:pPr>
      <w:r>
        <w:rPr>
          <w:sz w:val="20"/>
        </w:rPr>
      </w:r>
    </w:p>
    <w:tbl>
      <w:tblPr>
        <w:tblW w:w="8745" w:type="dxa"/>
        <w:jc w:val="left"/>
        <w:tblInd w:w="-15" w:type="dxa"/>
        <w:tblLayout w:type="fixed"/>
        <w:tblCellMar>
          <w:top w:w="28" w:type="dxa"/>
          <w:left w:w="28" w:type="dxa"/>
          <w:bottom w:w="28" w:type="dxa"/>
          <w:right w:w="28" w:type="dxa"/>
        </w:tblCellMar>
      </w:tblPr>
      <w:tblGrid>
        <w:gridCol w:w="3635"/>
        <w:gridCol w:w="1535"/>
        <w:gridCol w:w="3575"/>
      </w:tblGrid>
      <w:tr>
        <w:trPr/>
        <w:tc>
          <w:tcPr>
            <w:tcW w:w="363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Title of each class</w:t>
            </w:r>
          </w:p>
        </w:tc>
        <w:tc>
          <w:tcPr>
            <w:tcW w:w="153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Trading Symbol(s)</w:t>
            </w:r>
          </w:p>
        </w:tc>
        <w:tc>
          <w:tcPr>
            <w:tcW w:w="357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363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Common stock, par value $0.001 per share</w:t>
            </w:r>
          </w:p>
        </w:tc>
        <w:tc>
          <w:tcPr>
            <w:tcW w:w="153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LAB</w:t>
            </w:r>
          </w:p>
        </w:tc>
        <w:tc>
          <w:tcPr>
            <w:tcW w:w="35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Nasdaq Global Select Market</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sz w:val="20"/>
        </w:rPr>
      </w:pPr>
      <w:r>
        <w:rPr>
          <w:sz w:val="20"/>
        </w:rPr>
      </w:r>
    </w:p>
    <w:p>
      <w:pPr>
        <w:pStyle w:val="HorizontalLine"/>
        <w:bidi w:val="0"/>
        <w:jc w:val="left"/>
        <w:rPr/>
      </w:pPr>
      <w:r>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Explanatory Note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This Form 8-K/A (the “Amended 8-K”) amends and supplements the Current Report on Form 8-K filed by Standard BioTools Inc., a Delaware corporation (the “Company”) on July 28, 2026 (the “Original 8-K”) to file the Share and Asset Purchase Agreement (the “Purchase Agreement”), which was previously summarized in Item 1.01 to the Original 8-K, as Exhibit 2.1 hereto. Terms used and not defined herein are used as defined in the Original 8-K.</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Purchase Agreement, which provides for the acquisition by Multiplex Bio Inc. of the mass cytometry business of the Company (the “Transaction”), is not intended to provide any other factual information about the Transaction. The representations, warranties and covenants contained in the Purchase Agreement were made solely for purposes of such agreement and as of specific dates, were solely for the benefit of the parties to the Purchase Agreement, and may be subject to limitations agreed upon by the parties, including being qualified by confidential disclosures made by each party to the other for the purposes of allocating contractual risk between them that differ from those applicable to investors. In addition, certain representations and warranties may be subject to a contractual standard of materiality different from those generally applicable to investors and may have been used for the purpose of allocating risk between the parties rather than establishing matters as facts. Information concerning the subject matter of the representations, warranties and covenants may change after the date of the Purchase Agreement, which subsequent information may or may not be fully reflected in public disclosures by the Company. Investors should not rely on the representations, warranties and covenants or any description thereof as characterizations of the actual state of facts or condition of the Company.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Except with respect to the filing of the Purchase Agreement as an exhibit and the addition of the immediately preceding paragraph to Item 1.01, no changes are being made to the Original 8-K in this Amended 8-K.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Forward-Looking Statements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This Amended 8-K contains forward-looking statements within the meaning of the Private Securities Litigation Reform Act of 1995, including, among others, statements regarding the disposition of the Mass Cytometry business; the expected timing of the disposition of the Mass Cytometry business; the Treeline transaction; the expected timing of the closing of the Treeline transaction; the potential benefits of the Treeline transaction; the prospective performance and outlook of the combined company’s business, performance and opportunities; as well as any assumptions underlying any of the foregoing. The words “advance,” “build,” “lead,” “may,” “will,” “continue,” “commitment,” “expect,” and similar expressions are intended to identify forward-looking statements. These forward-looking statements are subject to risks, uncertainties, and assumptions.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These risks include, but are not limited to, risks and uncertainties related to: (i) the risk that the sale of the Mass Cytometry business may not be completed in a timely manner or at all; (ii) the ability to obtain the requisite approval for the sale of the Mass Cytometry business from stockholders of Standard BioTools; (iii) the possibility that any or all of the various conditions to the consummation of the sale of the Mass Cytometry business may not be satisfied or waived; (iv) the occurrence of any event, change or other circumstance that could give rise to the termination of the agreement relating to the sale of the Mass Cytometry business; (v) the risk that the Treeline transaction may not be completed in a timely manner or at all; (vi) the ability to obtain the requisite approval for the sale of the Treeline transaction from stockholders of Standard BioTools; (vii) the possibility that competing offers or acquisition proposals will be made with respect to the Treeline business;  (viii) the possibility that any or all of the various conditions to the consummation of the Treeline transaction may not be satisfied or waived; (ix) the occurrence of any event, change or other circumstance that could give rise to the termination of the Treeline transaction, including in circumstances that would require Standard BioTools to pay a termination fee or other expenses; (x) the effect of the pendency of the Treeline transaction on the parties’ ability to retain and hire key personnel, their ability to maintain relationships with customers, suppliers and others with whom they do business, their business generally or their stock price; (xi) risks related to diverting management’s attention from ongoing business operations or the loss of one or more members of the management team; (xii) the risk that stockholder litigation in connection with either the sale of the Mass Cytometry business or the Treeline transaction may result in significant costs of defense, indemnification and liability; (xiii) the parties’ ability to realize the anticipated benefits of the Treeline transaction; (xiv) the risk that the parties may assume unexpected liabilities and expenses as a result of the Treeline transaction; (xv) the risk that the potential disposition of Standard BioTools’ Microfluidics business may not be completed on favorable terms or at all; (xvi) the risk that Standard BioTools could fail to maintain the listing of its common stock on Nasdaq; (xvii) uncertainties as to the potential for development, commercialization and other benefits of any of Treeline’s product candidates; and (xviii) uncertainties as to Treeline’s anticipated preclinical and clinical drug development activities and related timelines, including the expected timing for commencing clinical trials and announcing data and other clinical results.</w:t>
      </w:r>
    </w:p>
    <w:p>
      <w:pPr>
        <w:pStyle w:val="TextBody"/>
        <w:bidi w:val="0"/>
        <w:spacing w:before="0" w:after="0"/>
        <w:jc w:val="left"/>
        <w:rPr>
          <w:color w:val="000000"/>
          <w:shd w:fill="FFFFFF" w:val="clear"/>
        </w:rPr>
      </w:pPr>
      <w:r>
        <w:rPr>
          <w:color w:val="000000"/>
          <w:shd w:fill="FFFFFF" w:val="clear"/>
        </w:rPr>
        <w:t> </w:t>
      </w:r>
    </w:p>
    <w:p>
      <w:pPr>
        <w:pStyle w:val="HorizontalLine"/>
        <w:bidi w:val="0"/>
        <w:spacing w:before="200" w:after="20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For information regarding other related risks, see the “Risk Factors” section of Standard BioTools’ Annual Report on Form 10-K for the year ended December 31, 2025, filed with the SEC on March 16, 2026, Standard BioTools’ most recent Quarterly Report on Form 10-Q and Standard BioTools’ other filings with the SEC. Should any of these risks or uncertainties materialize, actual results could differ materially from expectations. These forward-looking statements speak only as of the date hereof. Standard BioTools does not assume any obligation to, and does not currently intend to, update any such forward-looking statements except as may be required by law.</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Additional Information and Where to Find It</w:t>
      </w:r>
    </w:p>
    <w:p>
      <w:pPr>
        <w:pStyle w:val="TextBody"/>
        <w:bidi w:val="0"/>
        <w:spacing w:before="0" w:after="0"/>
        <w:jc w:val="left"/>
        <w:rPr>
          <w:rFonts w:ascii="Times New Roman" w:hAnsi="Times New Roman"/>
          <w:b/>
          <w:sz w:val="20"/>
        </w:rPr>
      </w:pPr>
      <w:r>
        <w:rPr>
          <w:rFonts w:ascii="Times New Roman" w:hAnsi="Times New Roman"/>
          <w:b/>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This Amended 8-K may be deemed to be solicitation material in respect of Standard BioTools’ sale of its Mass Cytometry business and/or in respect of the Treeline transaction. In connection with the Treeline transaction and related stockholder vote, Standard BioTools has filed with the Securities and Exchange Commission (the “SEC”) a registration statement on Form S-4 on July 20, 2026 that included a preliminary proxy statement and a preliminary prospectus of Standard BioTools, and that may be amended or supplemented from time to time. In connection with the disposition of the Mass Cytometry business and related stockholder vote, Standard BioTools will file a preliminary proxy statement with the SEC. This communication is not a substitute for the preliminary proxy statement, preliminary prospectus or any other document that Standard BioTools may file with the SEC or send to its stockholders in connection with the proposed transactions. No offering of securities shall be made, except by means of a prospectus meeting the requirements of Section 10 of the U.S. Securities Act of 1933, as amended. Any definitive proxy statement/prospectus (if and when available) will be mailed to stockholders of Standard BioTools.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INVESTORS AND STOCKHOLDERS OF STANDARD BIOTOOLS ARE URGED TO READ THE PROXY STATEMENT/PROSPECTUS (INCLUDING ALL AMENDMENTS, SUPPLEMENTS AND ANY DOCUMENTS INCORPORATED BY REFERENCE THEREIN) AND OTHER RELEVANT MATERIALS FILED OR TO BE FILED WITH THE SEC WHEN THEY BECOME AVAILABLE BEFORE MAKING ANY VOTING DECISION WITH RESPECT TO THE PROPOSED TRANSACTIONS BECAUSE THEY WILL CONTAIN IMPORTANT INFORMATION ABOUT STANDARD BIOTOOLS, TREELINE AND THE PROPOSED TRANSACTIONS. Copies of the materials filed or to be filed by Standard BioTools with the SEC may be obtained free of charge on Standard BioTools’ Investor Relations website at https://investors.standardbio.com or by contacting Standard BioTools’ Investor Relations department at ir@standardbio.com. In addition, all of those materials will be available at no charge on the SEC’s website at www.sec.gov.</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Participants in the Solicitation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Standard BioTools, Treeline and certain of their respective directors, executive officers, other members of management and employees may be deemed to be participants in the solicitation of proxies of Standard BioTools stockholders in connection with the proposed transactions under SEC rules. Investors and stockholders may obtain more detailed information regarding the names, affiliations and interests of Standard BioTools’ executive officers and directors who may, under SEC rules, be deemed participants in the solicitation by reading Standard BioTools’ proxy statement for its 2026 annual meeting of stockholders (including under the headings “Management and Corporate Governance,” “Executive Officer and Director Compensation,” “Security Ownership of Certain Beneficial Owners and Management and Related Stockholder Matters,” “Executive Compensation” and “Certain Relationships and Related Transactions, and Director Independence”), its Annual Report on Form 10-K for the fiscal year ended December 31, 2025, subsequent Quarterly Reports on Form 10-Q and Standard BioTools’ other filings with the SEC. Information regarding Treeline’s directors and executive officers who may be deemed participants in the solicitation is contained in the registration statement on Form S-4 filed by Standard BioTools. These documents are or will be available free of charge at the SEC’s website at www.sec.gov or by going to Standard BioTools’ Investor Relations website at http://investors.standardbio.com or contacting Standard BioTools’ Investor Relations department at ir@standardbio.com.</w:t>
      </w:r>
    </w:p>
    <w:p>
      <w:pPr>
        <w:pStyle w:val="TextBody"/>
        <w:bidi w:val="0"/>
        <w:spacing w:before="0" w:after="0"/>
        <w:jc w:val="left"/>
        <w:rPr>
          <w:color w:val="000000"/>
          <w:shd w:fill="FFFFFF" w:val="clear"/>
        </w:rPr>
      </w:pPr>
      <w:r>
        <w:rPr>
          <w:color w:val="000000"/>
          <w:shd w:fill="FFFFFF" w:val="clear"/>
        </w:rPr>
        <w:t> </w:t>
      </w:r>
    </w:p>
    <w:p>
      <w:pPr>
        <w:pStyle w:val="HorizontalLine"/>
        <w:bidi w:val="0"/>
        <w:spacing w:before="200" w:after="200"/>
        <w:jc w:val="left"/>
        <w:rPr/>
      </w:pPr>
      <w:r>
        <w:rPr/>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296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(d) Exhibits</w:t>
      </w:r>
    </w:p>
    <w:tbl>
      <w:tblPr>
        <w:tblW w:w="10205" w:type="dxa"/>
        <w:jc w:val="left"/>
        <w:tblInd w:w="0" w:type="dxa"/>
        <w:tblLayout w:type="fixed"/>
        <w:tblCellMar>
          <w:top w:w="0" w:type="dxa"/>
          <w:left w:w="0" w:type="dxa"/>
          <w:bottom w:w="0" w:type="dxa"/>
          <w:right w:w="0" w:type="dxa"/>
        </w:tblCellMar>
      </w:tblPr>
      <w:tblGrid>
        <w:gridCol w:w="710"/>
        <w:gridCol w:w="9495"/>
      </w:tblGrid>
      <w:tr>
        <w:trPr/>
        <w:tc>
          <w:tcPr>
            <w:tcW w:w="71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Number</w:t>
            </w:r>
          </w:p>
        </w:tc>
        <w:tc>
          <w:tcPr>
            <w:tcW w:w="949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Description</w:t>
            </w:r>
          </w:p>
        </w:tc>
      </w:tr>
      <w:tr>
        <w:trPr/>
        <w:tc>
          <w:tcPr>
            <w:tcW w:w="710" w:type="dxa"/>
            <w:tcBorders/>
            <w:vAlign w:val="center"/>
          </w:tcPr>
          <w:p>
            <w:pPr>
              <w:pStyle w:val="TableContents"/>
              <w:bidi w:val="0"/>
              <w:spacing w:before="0" w:after="0"/>
              <w:jc w:val="left"/>
              <w:rPr/>
            </w:pPr>
            <w:hyperlink w:anchor="ef20078945_ex2-1.htm">
              <w:r>
                <w:rPr>
                  <w:rStyle w:val="InternetLink"/>
                  <w:rFonts w:ascii="Times New Roman" w:hAnsi="Times New Roman"/>
                  <w:color w:val="000000"/>
                  <w:sz w:val="20"/>
                </w:rPr>
                <w:t>2.1+*</w:t>
              </w:r>
            </w:hyperlink>
          </w:p>
        </w:tc>
        <w:tc>
          <w:tcPr>
            <w:tcW w:w="9495" w:type="dxa"/>
            <w:tcBorders/>
            <w:vAlign w:val="center"/>
          </w:tcPr>
          <w:p>
            <w:pPr>
              <w:pStyle w:val="TableContents"/>
              <w:bidi w:val="0"/>
              <w:spacing w:before="0" w:after="0"/>
              <w:jc w:val="left"/>
              <w:rPr/>
            </w:pPr>
            <w:hyperlink w:anchor="ef20078945_ex2-1.htm">
              <w:r>
                <w:rPr>
                  <w:rStyle w:val="InternetLink"/>
                  <w:rFonts w:ascii="Times New Roman" w:hAnsi="Times New Roman"/>
                  <w:b w:val="false"/>
                  <w:i w:val="false"/>
                  <w:caps w:val="false"/>
                  <w:smallCaps w:val="false"/>
                  <w:color w:val="000000"/>
                  <w:sz w:val="20"/>
                  <w:shd w:fill="FFFFFF" w:val="clear"/>
                </w:rPr>
                <w:t>Share and Asset Purchase Agreement by and between Standard BioTools Inc and Multiplex Bio Inc., dated July 28, 2026 .</w:t>
              </w:r>
            </w:hyperlink>
          </w:p>
        </w:tc>
      </w:tr>
      <w:tr>
        <w:trPr/>
        <w:tc>
          <w:tcPr>
            <w:tcW w:w="71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104</w:t>
            </w:r>
          </w:p>
        </w:tc>
        <w:tc>
          <w:tcPr>
            <w:tcW w:w="94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+Portions of this exhibit have been omitted pursuant to Item 601(b)(10)(iv) of Regulation S-K because they are both (i) not material and (ii) are the type of information the Registrant customarily and actually treats as private or confidential.</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*Certain schedules and attachments have been omitted pursuant to Item 601(a)(5) of Regulation S-K. The Company agrees to provide, on a supplemental basis, a copy of any omitted schedules and attachments to the Securities and Exchange Commission or its staff upon request.</w:t>
      </w:r>
    </w:p>
    <w:p>
      <w:pPr>
        <w:pStyle w:val="TextBody"/>
        <w:bidi w:val="0"/>
        <w:spacing w:before="0" w:after="0"/>
        <w:jc w:val="left"/>
        <w:rPr>
          <w:sz w:val="20"/>
        </w:rPr>
      </w:pPr>
      <w:r>
        <w:rPr>
          <w:sz w:val="20"/>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sz w:val="20"/>
        </w:rPr>
      </w:pPr>
      <w:r>
        <w:rPr>
          <w:sz w:val="20"/>
        </w:rPr>
      </w:r>
    </w:p>
    <w:tbl>
      <w:tblPr>
        <w:tblW w:w="4414" w:type="dxa"/>
        <w:jc w:val="left"/>
        <w:tblInd w:w="0" w:type="dxa"/>
        <w:tblLayout w:type="fixed"/>
        <w:tblCellMar>
          <w:top w:w="0" w:type="dxa"/>
          <w:left w:w="0" w:type="dxa"/>
          <w:bottom w:w="0" w:type="dxa"/>
          <w:right w:w="0" w:type="dxa"/>
        </w:tblCellMar>
      </w:tblPr>
      <w:tblGrid>
        <w:gridCol w:w="455"/>
        <w:gridCol w:w="1130"/>
        <w:gridCol w:w="320"/>
        <w:gridCol w:w="564"/>
        <w:gridCol w:w="1945"/>
      </w:tblGrid>
      <w:tr>
        <w:trPr/>
        <w:tc>
          <w:tcPr>
            <w:tcW w:w="455"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r>
          </w:p>
        </w:tc>
        <w:tc>
          <w:tcPr>
            <w:tcW w:w="2509"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STANDARD BIOTOOLS INC..</w:t>
            </w:r>
          </w:p>
        </w:tc>
      </w:tr>
      <w:tr>
        <w:trPr/>
        <w:tc>
          <w:tcPr>
            <w:tcW w:w="455"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64" w:type="dxa"/>
            <w:tcBorders/>
            <w:vAlign w:val="center"/>
          </w:tcPr>
          <w:p>
            <w:pPr>
              <w:pStyle w:val="TableContents"/>
              <w:bidi w:val="0"/>
              <w:spacing w:before="0" w:after="283"/>
              <w:jc w:val="left"/>
              <w:rPr/>
            </w:pPr>
            <w:r>
              <w:rPr/>
              <w:t> </w:t>
            </w:r>
          </w:p>
        </w:tc>
        <w:tc>
          <w:tcPr>
            <w:tcW w:w="1945"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w:t>
            </w:r>
          </w:p>
        </w:tc>
        <w:tc>
          <w:tcPr>
            <w:tcW w:w="113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July 29, 2026</w:t>
            </w:r>
          </w:p>
        </w:tc>
        <w:tc>
          <w:tcPr>
            <w:tcW w:w="3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2509" w:type="dxa"/>
            <w:gridSpan w:val="2"/>
            <w:tcBorders/>
            <w:vAlign w:val="center"/>
          </w:tcPr>
          <w:p>
            <w:pPr>
              <w:pStyle w:val="TableContents"/>
              <w:bidi w:val="0"/>
              <w:spacing w:before="0" w:after="0"/>
              <w:jc w:val="left"/>
              <w:rPr>
                <w:rFonts w:ascii="Times New Roman" w:hAnsi="Times New Roman"/>
                <w:color w:val="000000"/>
                <w:sz w:val="20"/>
                <w:u w:val="single"/>
              </w:rPr>
            </w:pPr>
            <w:r>
              <w:rPr>
                <w:rFonts w:ascii="Times New Roman" w:hAnsi="Times New Roman"/>
                <w:color w:val="000000"/>
                <w:sz w:val="20"/>
                <w:u w:val="single"/>
              </w:rPr>
              <w:t>/s/ Alex Kim</w:t>
            </w:r>
          </w:p>
        </w:tc>
      </w:tr>
      <w:tr>
        <w:trPr/>
        <w:tc>
          <w:tcPr>
            <w:tcW w:w="455"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64"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Name:</w:t>
            </w:r>
          </w:p>
        </w:tc>
        <w:tc>
          <w:tcPr>
            <w:tcW w:w="194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Alex Kim</w:t>
            </w:r>
          </w:p>
        </w:tc>
      </w:tr>
      <w:tr>
        <w:trPr/>
        <w:tc>
          <w:tcPr>
            <w:tcW w:w="455"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64"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Title:</w:t>
            </w:r>
          </w:p>
        </w:tc>
        <w:tc>
          <w:tcPr>
            <w:tcW w:w="194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bidi w:val="0"/>
        <w:jc w:val="left"/>
        <w:rPr/>
      </w:pPr>
      <w:r>
        <w:rPr/>
      </w:r>
    </w:p>
    <w:p>
      <w:pPr>
        <w:pStyle w:val="HorizontalLine"/>
        <w:pBdr>
          <w:bottom w:val="single" w:sz="12" w:space="0" w:color="808080"/>
        </w:pBdr>
        <w:bidi w:val="0"/>
        <w:jc w:val="left"/>
        <w:rPr/>
      </w:pPr>
      <w:r>
        <w:rPr/>
      </w:r>
      <w:bookmarkStart w:id="0" w:name="ef20078945_ex2-1.htm"/>
      <w:bookmarkStart w:id="1" w:name="ksef20078945_ex21"/>
      <w:bookmarkStart w:id="2" w:name="ef20078945_ex2-1.htm"/>
      <w:bookmarkStart w:id="3" w:name="ksef20078945_ex21"/>
      <w:bookmarkEnd w:id="2"/>
      <w:bookmarkEnd w:id="3"/>
      <w:r>
        <w:br w:type="page"/>
      </w:r>
    </w:p>
    <w:p>
      <w:pPr>
        <w:pStyle w:val="TextBody"/>
        <w:bidi w:val="0"/>
        <w:spacing w:before="0" w:after="0"/>
        <w:ind w:left="0" w:right="0" w:hanging="0"/>
        <w:jc w:val="right"/>
        <w:rPr>
          <w:rFonts w:ascii="Times New Roman" w:hAnsi="Times New Roman"/>
          <w:b/>
          <w:i w:val="false"/>
          <w:caps w:val="false"/>
          <w:smallCaps w:val="false"/>
          <w:color w:val="333333"/>
          <w:spacing w:val="0"/>
          <w:sz w:val="20"/>
          <w:shd w:fill="FFFFFF" w:val="clear"/>
        </w:rPr>
      </w:pPr>
      <w:r>
        <w:rPr>
          <w:rFonts w:ascii="Times New Roman" w:hAnsi="Times New Roman"/>
          <w:b/>
          <w:i w:val="false"/>
          <w:caps w:val="false"/>
          <w:smallCaps w:val="false"/>
          <w:color w:val="333333"/>
          <w:spacing w:val="0"/>
          <w:sz w:val="20"/>
          <w:shd w:fill="FFFFFF" w:val="clear"/>
        </w:rPr>
        <w:t>Exhibit 2.1</w:t>
      </w:r>
    </w:p>
    <w:p>
      <w:pPr>
        <w:pStyle w:val="TextBody"/>
        <w:bidi w:val="0"/>
        <w:spacing w:before="0" w:after="0"/>
        <w:jc w:val="left"/>
        <w:rPr>
          <w:color w:val="000000"/>
        </w:rPr>
      </w:pPr>
      <w:r>
        <w:rPr>
          <w:color w:val="000000"/>
        </w:rPr>
        <w:t xml:space="preserve">  </w:t>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CERTAIN INFORMATION CONTAINED IN THIS AGREEMENT HAS BEEN OMITTED BY MEANS OF REDACTING A PORTION OF THE TEXT AND REPLACING IT WITH [***] BECAUSE IT IS BOTH: (I) NOT MATERIAL AND (II) THE TYPE THAT THE REGISTRANT TREATS AS PRIVATE OR CONFIDENTIAL.</w:t>
      </w:r>
    </w:p>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SHARE AND ASSET PURCHASE AGREEMENT</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BY AND BETWEEN</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STANDARD BIOTOOLS INC.</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and</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MULTIPLEX BIO INC.</w:t>
      </w:r>
    </w:p>
    <w:p>
      <w:pPr>
        <w:pStyle w:val="TextBody"/>
        <w:bidi w:val="0"/>
        <w:spacing w:before="0" w:after="0"/>
        <w:jc w:val="left"/>
        <w:rPr>
          <w:color w:val="000000"/>
        </w:rPr>
      </w:pPr>
      <w:r>
        <w:rPr>
          <w:color w:val="000000"/>
        </w:rPr>
        <w:t> </w:t>
      </w:r>
    </w:p>
    <w:p>
      <w:pPr>
        <w:pStyle w:val="HorizontalLine"/>
        <w:pBdr>
          <w:bottom w:val="single" w:sz="12" w:space="0" w:color="808080"/>
        </w:pBdr>
        <w:bidi w:val="0"/>
        <w:jc w:val="center"/>
        <w:rPr/>
      </w:pPr>
      <w:r>
        <w:rPr/>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DATED AS OF JULY 28, 2026</w:t>
      </w:r>
    </w:p>
    <w:p>
      <w:pPr>
        <w:pStyle w:val="TextBody"/>
        <w:bidi w:val="0"/>
        <w:spacing w:before="0" w:after="0"/>
        <w:jc w:val="left"/>
        <w:rPr>
          <w:color w:val="000000"/>
        </w:rPr>
      </w:pPr>
      <w:r>
        <w:rPr>
          <w:color w:val="000000"/>
        </w:rPr>
        <w:t> </w:t>
      </w:r>
    </w:p>
    <w:p>
      <w:pPr>
        <w:pStyle w:val="HorizontalLine"/>
        <w:pBdr>
          <w:bottom w:val="single" w:sz="12" w:space="0" w:color="808080"/>
        </w:pBdr>
        <w:bidi w:val="0"/>
        <w:jc w:val="center"/>
        <w:rPr/>
      </w:pPr>
      <w:r>
        <w:rPr/>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i/>
          <w:color w:val="000000"/>
          <w:sz w:val="20"/>
        </w:rPr>
      </w:pPr>
      <w:r>
        <w:rPr>
          <w:rFonts w:ascii="Times New Roman" w:hAnsi="Times New Roman"/>
          <w:i/>
          <w:color w:val="000000"/>
          <w:sz w:val="20"/>
        </w:rPr>
        <w:t>This document has been prepared to facilitate a discussion of a possible transaction between the parties identified herein. It is not intended to constitute or create, nor shall it be deemed to constitute or create, a legally binding or enforceable offer or agreement of any type or nature. No such offer or agreement shall be made or created between the parties identified herein, except pursuant to a written agreement executed and delivered by such parties to each other.</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 w:name="zeedc1e549fbd4446bf8b7f5881835845"/>
      <w:bookmarkStart w:id="5" w:name="zeedc1e549fbd4446bf8b7f5881835845"/>
      <w:bookmarkEnd w:id="5"/>
    </w:p>
    <w:tbl>
      <w:tblPr>
        <w:tblW w:w="8040" w:type="dxa"/>
        <w:jc w:val="left"/>
        <w:tblInd w:w="0" w:type="dxa"/>
        <w:tblLayout w:type="fixed"/>
        <w:tblCellMar>
          <w:top w:w="0" w:type="dxa"/>
          <w:left w:w="0" w:type="dxa"/>
          <w:bottom w:w="0" w:type="dxa"/>
          <w:right w:w="0" w:type="dxa"/>
        </w:tblCellMar>
      </w:tblPr>
      <w:tblGrid>
        <w:gridCol w:w="60"/>
        <w:gridCol w:w="1040"/>
        <w:gridCol w:w="6500"/>
        <w:gridCol w:w="440"/>
      </w:tblGrid>
      <w:tr>
        <w:trPr/>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50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jc w:val="right"/>
              <w:rPr>
                <w:rFonts w:ascii="Times New Roman" w:hAnsi="Times New Roman"/>
                <w:b/>
                <w:sz w:val="20"/>
              </w:rPr>
            </w:pPr>
            <w:r>
              <w:rPr>
                <w:rFonts w:ascii="Times New Roman" w:hAnsi="Times New Roman"/>
                <w:b/>
                <w:sz w:val="20"/>
              </w:rPr>
              <w:t>Page</w:t>
            </w:r>
          </w:p>
        </w:tc>
      </w:tr>
      <w:tr>
        <w:trPr/>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50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7600" w:type="dxa"/>
            <w:gridSpan w:val="3"/>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ARTICLE I DEFINITIONS</w:t>
            </w:r>
          </w:p>
        </w:tc>
        <w:tc>
          <w:tcPr>
            <w:tcW w:w="44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w:t>
            </w:r>
          </w:p>
        </w:tc>
      </w:tr>
      <w:tr>
        <w:trPr/>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6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Certain Definitions</w:t>
            </w:r>
          </w:p>
        </w:tc>
        <w:tc>
          <w:tcPr>
            <w:tcW w:w="44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2</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65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Definitions</w:t>
            </w:r>
          </w:p>
        </w:tc>
        <w:tc>
          <w:tcPr>
            <w:tcW w:w="44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18</w:t>
            </w:r>
          </w:p>
        </w:tc>
      </w:tr>
      <w:tr>
        <w:trPr/>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6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Terms Generally</w:t>
            </w:r>
          </w:p>
        </w:tc>
        <w:tc>
          <w:tcPr>
            <w:tcW w:w="44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20</w:t>
            </w:r>
          </w:p>
        </w:tc>
      </w:tr>
      <w:tr>
        <w:trPr/>
        <w:tc>
          <w:tcPr>
            <w:tcW w:w="7600" w:type="dxa"/>
            <w:gridSpan w:val="3"/>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ARTICLE II PURCHASE AND SALE</w:t>
            </w:r>
          </w:p>
        </w:tc>
        <w:tc>
          <w:tcPr>
            <w:tcW w:w="44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22</w:t>
            </w:r>
          </w:p>
        </w:tc>
      </w:tr>
      <w:tr>
        <w:trPr/>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2.01</w:t>
            </w:r>
          </w:p>
        </w:tc>
        <w:tc>
          <w:tcPr>
            <w:tcW w:w="6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Purchase and Sale of the Shares and the Transferred Assets</w:t>
            </w:r>
          </w:p>
        </w:tc>
        <w:tc>
          <w:tcPr>
            <w:tcW w:w="44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22</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2.02</w:t>
            </w:r>
          </w:p>
        </w:tc>
        <w:tc>
          <w:tcPr>
            <w:tcW w:w="65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Excluded Assets</w:t>
            </w:r>
          </w:p>
        </w:tc>
        <w:tc>
          <w:tcPr>
            <w:tcW w:w="44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23</w:t>
            </w:r>
          </w:p>
        </w:tc>
      </w:tr>
      <w:tr>
        <w:trPr/>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2.03</w:t>
            </w:r>
          </w:p>
        </w:tc>
        <w:tc>
          <w:tcPr>
            <w:tcW w:w="6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Assumption of Assumed Liabilities</w:t>
            </w:r>
          </w:p>
        </w:tc>
        <w:tc>
          <w:tcPr>
            <w:tcW w:w="44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25</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2.04</w:t>
            </w:r>
          </w:p>
        </w:tc>
        <w:tc>
          <w:tcPr>
            <w:tcW w:w="65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Excluded Liabilities</w:t>
            </w:r>
          </w:p>
        </w:tc>
        <w:tc>
          <w:tcPr>
            <w:tcW w:w="44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26</w:t>
            </w:r>
          </w:p>
        </w:tc>
      </w:tr>
      <w:tr>
        <w:trPr/>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2.05</w:t>
            </w:r>
          </w:p>
        </w:tc>
        <w:tc>
          <w:tcPr>
            <w:tcW w:w="6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Closing</w:t>
            </w:r>
          </w:p>
        </w:tc>
        <w:tc>
          <w:tcPr>
            <w:tcW w:w="44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26</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2.06</w:t>
            </w:r>
          </w:p>
        </w:tc>
        <w:tc>
          <w:tcPr>
            <w:tcW w:w="65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Purchase Price</w:t>
            </w:r>
          </w:p>
        </w:tc>
        <w:tc>
          <w:tcPr>
            <w:tcW w:w="44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26</w:t>
            </w:r>
          </w:p>
        </w:tc>
      </w:tr>
      <w:tr>
        <w:trPr/>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2.07</w:t>
            </w:r>
          </w:p>
        </w:tc>
        <w:tc>
          <w:tcPr>
            <w:tcW w:w="6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Determination of Estimated Purchase Price</w:t>
            </w:r>
          </w:p>
        </w:tc>
        <w:tc>
          <w:tcPr>
            <w:tcW w:w="44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27</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2.08</w:t>
            </w:r>
          </w:p>
        </w:tc>
        <w:tc>
          <w:tcPr>
            <w:tcW w:w="65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Base Seller Note</w:t>
            </w:r>
          </w:p>
        </w:tc>
        <w:tc>
          <w:tcPr>
            <w:tcW w:w="44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27</w:t>
            </w:r>
          </w:p>
        </w:tc>
      </w:tr>
      <w:tr>
        <w:trPr/>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2.09</w:t>
            </w:r>
          </w:p>
        </w:tc>
        <w:tc>
          <w:tcPr>
            <w:tcW w:w="6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Purchase Price Adjustment</w:t>
            </w:r>
          </w:p>
        </w:tc>
        <w:tc>
          <w:tcPr>
            <w:tcW w:w="44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27</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2.10</w:t>
            </w:r>
          </w:p>
        </w:tc>
        <w:tc>
          <w:tcPr>
            <w:tcW w:w="65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Purchase Price Allocation</w:t>
            </w:r>
          </w:p>
        </w:tc>
        <w:tc>
          <w:tcPr>
            <w:tcW w:w="44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31</w:t>
            </w:r>
          </w:p>
        </w:tc>
      </w:tr>
      <w:tr>
        <w:trPr/>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2.11</w:t>
            </w:r>
          </w:p>
        </w:tc>
        <w:tc>
          <w:tcPr>
            <w:tcW w:w="6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Closing Deliverables</w:t>
            </w:r>
          </w:p>
        </w:tc>
        <w:tc>
          <w:tcPr>
            <w:tcW w:w="44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31</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2.12</w:t>
            </w:r>
          </w:p>
        </w:tc>
        <w:tc>
          <w:tcPr>
            <w:tcW w:w="65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Additional Consideration</w:t>
            </w:r>
          </w:p>
        </w:tc>
        <w:tc>
          <w:tcPr>
            <w:tcW w:w="44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32</w:t>
            </w:r>
          </w:p>
        </w:tc>
      </w:tr>
      <w:tr>
        <w:trPr/>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2.13</w:t>
            </w:r>
          </w:p>
        </w:tc>
        <w:tc>
          <w:tcPr>
            <w:tcW w:w="6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Restricted Contracts</w:t>
            </w:r>
          </w:p>
        </w:tc>
        <w:tc>
          <w:tcPr>
            <w:tcW w:w="44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33</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2.14</w:t>
            </w:r>
          </w:p>
        </w:tc>
        <w:tc>
          <w:tcPr>
            <w:tcW w:w="65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Local Transfer Documents</w:t>
            </w:r>
          </w:p>
        </w:tc>
        <w:tc>
          <w:tcPr>
            <w:tcW w:w="44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34</w:t>
            </w:r>
          </w:p>
        </w:tc>
      </w:tr>
      <w:tr>
        <w:trPr/>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2.15</w:t>
            </w:r>
          </w:p>
        </w:tc>
        <w:tc>
          <w:tcPr>
            <w:tcW w:w="6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Wrong Pockets</w:t>
            </w:r>
          </w:p>
        </w:tc>
        <w:tc>
          <w:tcPr>
            <w:tcW w:w="44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34</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2.16</w:t>
            </w:r>
          </w:p>
        </w:tc>
        <w:tc>
          <w:tcPr>
            <w:tcW w:w="65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Non-Assignability of Assets</w:t>
            </w:r>
          </w:p>
        </w:tc>
        <w:tc>
          <w:tcPr>
            <w:tcW w:w="44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35</w:t>
            </w:r>
          </w:p>
        </w:tc>
      </w:tr>
      <w:tr>
        <w:trPr/>
        <w:tc>
          <w:tcPr>
            <w:tcW w:w="7600"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ARTICLE III REPRESENTATIONS AND WARRANTIES OF SELLER</w:t>
            </w:r>
          </w:p>
        </w:tc>
        <w:tc>
          <w:tcPr>
            <w:tcW w:w="44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35</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3.01</w:t>
            </w:r>
          </w:p>
        </w:tc>
        <w:tc>
          <w:tcPr>
            <w:tcW w:w="65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Organization, Good Standing and Power; Qualifications</w:t>
            </w:r>
          </w:p>
        </w:tc>
        <w:tc>
          <w:tcPr>
            <w:tcW w:w="44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36</w:t>
            </w:r>
          </w:p>
        </w:tc>
      </w:tr>
      <w:tr>
        <w:trPr/>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3.02</w:t>
            </w:r>
          </w:p>
        </w:tc>
        <w:tc>
          <w:tcPr>
            <w:tcW w:w="6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Capitalization of the Transferred Companies</w:t>
            </w:r>
          </w:p>
        </w:tc>
        <w:tc>
          <w:tcPr>
            <w:tcW w:w="44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36</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3.03</w:t>
            </w:r>
          </w:p>
        </w:tc>
        <w:tc>
          <w:tcPr>
            <w:tcW w:w="65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Business Subsidiaries</w:t>
            </w:r>
          </w:p>
        </w:tc>
        <w:tc>
          <w:tcPr>
            <w:tcW w:w="44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37</w:t>
            </w:r>
          </w:p>
        </w:tc>
      </w:tr>
      <w:tr>
        <w:trPr/>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3.04</w:t>
            </w:r>
          </w:p>
        </w:tc>
        <w:tc>
          <w:tcPr>
            <w:tcW w:w="6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Authority; Execution and Delivery; Enforceability</w:t>
            </w:r>
          </w:p>
        </w:tc>
        <w:tc>
          <w:tcPr>
            <w:tcW w:w="44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38</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3.05</w:t>
            </w:r>
          </w:p>
        </w:tc>
        <w:tc>
          <w:tcPr>
            <w:tcW w:w="65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No Conflicts; Consents and Approvals</w:t>
            </w:r>
          </w:p>
        </w:tc>
        <w:tc>
          <w:tcPr>
            <w:tcW w:w="44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38</w:t>
            </w:r>
          </w:p>
        </w:tc>
      </w:tr>
      <w:tr>
        <w:trPr/>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3.06</w:t>
            </w:r>
          </w:p>
        </w:tc>
        <w:tc>
          <w:tcPr>
            <w:tcW w:w="6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Financial Information</w:t>
            </w:r>
          </w:p>
        </w:tc>
        <w:tc>
          <w:tcPr>
            <w:tcW w:w="44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39</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3.07</w:t>
            </w:r>
          </w:p>
        </w:tc>
        <w:tc>
          <w:tcPr>
            <w:tcW w:w="65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No Undisclosed Liabilities; No Material Adverse Effect; Absence of Changes….</w:t>
            </w:r>
          </w:p>
        </w:tc>
        <w:tc>
          <w:tcPr>
            <w:tcW w:w="44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40</w:t>
            </w:r>
          </w:p>
        </w:tc>
      </w:tr>
    </w:tbl>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w:t>
      </w:r>
    </w:p>
    <w:p>
      <w:pPr>
        <w:pStyle w:val="HorizontalLine"/>
        <w:pBdr>
          <w:bottom w:val="single" w:sz="12" w:space="0" w:color="808080"/>
        </w:pBdr>
        <w:bidi w:val="0"/>
        <w:spacing w:before="200" w:after="200"/>
        <w:jc w:val="left"/>
        <w:rPr/>
      </w:pPr>
      <w:r>
        <w:rPr/>
      </w:r>
    </w:p>
    <w:tbl>
      <w:tblPr>
        <w:tblW w:w="5889" w:type="dxa"/>
        <w:jc w:val="left"/>
        <w:tblInd w:w="0" w:type="dxa"/>
        <w:tblLayout w:type="fixed"/>
        <w:tblCellMar>
          <w:top w:w="0" w:type="dxa"/>
          <w:left w:w="0" w:type="dxa"/>
          <w:bottom w:w="0" w:type="dxa"/>
          <w:right w:w="0" w:type="dxa"/>
        </w:tblCellMar>
      </w:tblPr>
      <w:tblGrid>
        <w:gridCol w:w="60"/>
        <w:gridCol w:w="1041"/>
        <w:gridCol w:w="4558"/>
        <w:gridCol w:w="230"/>
      </w:tblGrid>
      <w:tr>
        <w:trPr/>
        <w:tc>
          <w:tcPr>
            <w:tcW w:w="60"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3.08</w:t>
            </w:r>
          </w:p>
        </w:tc>
        <w:tc>
          <w:tcPr>
            <w:tcW w:w="455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Compliance with Laws</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40</w:t>
            </w:r>
          </w:p>
        </w:tc>
      </w:tr>
      <w:tr>
        <w:trPr/>
        <w:tc>
          <w:tcPr>
            <w:tcW w:w="60" w:type="dxa"/>
            <w:tcBorders/>
            <w:vAlign w:val="center"/>
          </w:tcPr>
          <w:p>
            <w:pPr>
              <w:pStyle w:val="TableContents"/>
              <w:bidi w:val="0"/>
              <w:spacing w:before="0" w:after="283"/>
              <w:jc w:val="left"/>
              <w:rPr/>
            </w:pPr>
            <w:r>
              <w:rPr/>
              <w:t> </w:t>
            </w:r>
          </w:p>
        </w:tc>
        <w:tc>
          <w:tcPr>
            <w:tcW w:w="104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3.09</w:t>
            </w:r>
          </w:p>
        </w:tc>
        <w:tc>
          <w:tcPr>
            <w:tcW w:w="45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Governmental Licenses and Permits</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40</w:t>
            </w:r>
          </w:p>
        </w:tc>
      </w:tr>
      <w:tr>
        <w:trPr/>
        <w:tc>
          <w:tcPr>
            <w:tcW w:w="60"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3.10</w:t>
            </w:r>
          </w:p>
        </w:tc>
        <w:tc>
          <w:tcPr>
            <w:tcW w:w="455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Environmental Matters</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41</w:t>
            </w:r>
          </w:p>
        </w:tc>
      </w:tr>
      <w:tr>
        <w:trPr/>
        <w:tc>
          <w:tcPr>
            <w:tcW w:w="60" w:type="dxa"/>
            <w:tcBorders/>
            <w:vAlign w:val="center"/>
          </w:tcPr>
          <w:p>
            <w:pPr>
              <w:pStyle w:val="TableContents"/>
              <w:bidi w:val="0"/>
              <w:spacing w:before="0" w:after="283"/>
              <w:jc w:val="left"/>
              <w:rPr/>
            </w:pPr>
            <w:r>
              <w:rPr/>
              <w:t> </w:t>
            </w:r>
          </w:p>
        </w:tc>
        <w:tc>
          <w:tcPr>
            <w:tcW w:w="104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3.11</w:t>
            </w:r>
          </w:p>
        </w:tc>
        <w:tc>
          <w:tcPr>
            <w:tcW w:w="45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Employee Benefit Plans</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41</w:t>
            </w:r>
          </w:p>
        </w:tc>
      </w:tr>
      <w:tr>
        <w:trPr/>
        <w:tc>
          <w:tcPr>
            <w:tcW w:w="60"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3.12</w:t>
            </w:r>
          </w:p>
        </w:tc>
        <w:tc>
          <w:tcPr>
            <w:tcW w:w="455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Absence of Litigation</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44</w:t>
            </w:r>
          </w:p>
        </w:tc>
      </w:tr>
      <w:tr>
        <w:trPr/>
        <w:tc>
          <w:tcPr>
            <w:tcW w:w="60" w:type="dxa"/>
            <w:tcBorders/>
            <w:vAlign w:val="center"/>
          </w:tcPr>
          <w:p>
            <w:pPr>
              <w:pStyle w:val="TableContents"/>
              <w:bidi w:val="0"/>
              <w:spacing w:before="0" w:after="283"/>
              <w:jc w:val="left"/>
              <w:rPr/>
            </w:pPr>
            <w:r>
              <w:rPr/>
              <w:t> </w:t>
            </w:r>
          </w:p>
        </w:tc>
        <w:tc>
          <w:tcPr>
            <w:tcW w:w="104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3.13</w:t>
            </w:r>
          </w:p>
        </w:tc>
        <w:tc>
          <w:tcPr>
            <w:tcW w:w="45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Tax Matters</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44</w:t>
            </w:r>
          </w:p>
        </w:tc>
      </w:tr>
      <w:tr>
        <w:trPr/>
        <w:tc>
          <w:tcPr>
            <w:tcW w:w="60"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3.14</w:t>
            </w:r>
          </w:p>
        </w:tc>
        <w:tc>
          <w:tcPr>
            <w:tcW w:w="455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Labor Matters</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45</w:t>
            </w:r>
          </w:p>
        </w:tc>
      </w:tr>
      <w:tr>
        <w:trPr/>
        <w:tc>
          <w:tcPr>
            <w:tcW w:w="60" w:type="dxa"/>
            <w:tcBorders/>
            <w:vAlign w:val="center"/>
          </w:tcPr>
          <w:p>
            <w:pPr>
              <w:pStyle w:val="TableContents"/>
              <w:bidi w:val="0"/>
              <w:spacing w:before="0" w:after="283"/>
              <w:jc w:val="left"/>
              <w:rPr/>
            </w:pPr>
            <w:r>
              <w:rPr/>
              <w:t> </w:t>
            </w:r>
          </w:p>
        </w:tc>
        <w:tc>
          <w:tcPr>
            <w:tcW w:w="104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3.15</w:t>
            </w:r>
          </w:p>
        </w:tc>
        <w:tc>
          <w:tcPr>
            <w:tcW w:w="45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Intellectual Property</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46</w:t>
            </w:r>
          </w:p>
        </w:tc>
      </w:tr>
      <w:tr>
        <w:trPr/>
        <w:tc>
          <w:tcPr>
            <w:tcW w:w="60"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3.16</w:t>
            </w:r>
          </w:p>
        </w:tc>
        <w:tc>
          <w:tcPr>
            <w:tcW w:w="455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Data Privacy</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47</w:t>
            </w:r>
          </w:p>
        </w:tc>
      </w:tr>
      <w:tr>
        <w:trPr/>
        <w:tc>
          <w:tcPr>
            <w:tcW w:w="60" w:type="dxa"/>
            <w:tcBorders/>
            <w:vAlign w:val="center"/>
          </w:tcPr>
          <w:p>
            <w:pPr>
              <w:pStyle w:val="TableContents"/>
              <w:bidi w:val="0"/>
              <w:spacing w:before="0" w:after="283"/>
              <w:jc w:val="left"/>
              <w:rPr/>
            </w:pPr>
            <w:r>
              <w:rPr/>
              <w:t> </w:t>
            </w:r>
          </w:p>
        </w:tc>
        <w:tc>
          <w:tcPr>
            <w:tcW w:w="104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3.17</w:t>
            </w:r>
          </w:p>
        </w:tc>
        <w:tc>
          <w:tcPr>
            <w:tcW w:w="45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Real Property</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48</w:t>
            </w:r>
          </w:p>
        </w:tc>
      </w:tr>
      <w:tr>
        <w:trPr/>
        <w:tc>
          <w:tcPr>
            <w:tcW w:w="60"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3.18</w:t>
            </w:r>
          </w:p>
        </w:tc>
        <w:tc>
          <w:tcPr>
            <w:tcW w:w="455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Material Contracts</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48</w:t>
            </w:r>
          </w:p>
        </w:tc>
      </w:tr>
      <w:tr>
        <w:trPr/>
        <w:tc>
          <w:tcPr>
            <w:tcW w:w="60" w:type="dxa"/>
            <w:tcBorders/>
            <w:vAlign w:val="center"/>
          </w:tcPr>
          <w:p>
            <w:pPr>
              <w:pStyle w:val="TableContents"/>
              <w:bidi w:val="0"/>
              <w:spacing w:before="0" w:after="283"/>
              <w:jc w:val="left"/>
              <w:rPr/>
            </w:pPr>
            <w:r>
              <w:rPr/>
              <w:t> </w:t>
            </w:r>
          </w:p>
        </w:tc>
        <w:tc>
          <w:tcPr>
            <w:tcW w:w="104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3.19</w:t>
            </w:r>
          </w:p>
        </w:tc>
        <w:tc>
          <w:tcPr>
            <w:tcW w:w="45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Customers and Suppliers</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50</w:t>
            </w:r>
          </w:p>
        </w:tc>
      </w:tr>
      <w:tr>
        <w:trPr/>
        <w:tc>
          <w:tcPr>
            <w:tcW w:w="60"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3.20</w:t>
            </w:r>
          </w:p>
        </w:tc>
        <w:tc>
          <w:tcPr>
            <w:tcW w:w="455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Sufficiency of Assets; Title</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50</w:t>
            </w:r>
          </w:p>
        </w:tc>
      </w:tr>
      <w:tr>
        <w:trPr/>
        <w:tc>
          <w:tcPr>
            <w:tcW w:w="60" w:type="dxa"/>
            <w:tcBorders/>
            <w:vAlign w:val="center"/>
          </w:tcPr>
          <w:p>
            <w:pPr>
              <w:pStyle w:val="TableContents"/>
              <w:bidi w:val="0"/>
              <w:spacing w:before="0" w:after="283"/>
              <w:jc w:val="left"/>
              <w:rPr/>
            </w:pPr>
            <w:r>
              <w:rPr/>
              <w:t> </w:t>
            </w:r>
          </w:p>
        </w:tc>
        <w:tc>
          <w:tcPr>
            <w:tcW w:w="104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3.21</w:t>
            </w:r>
          </w:p>
        </w:tc>
        <w:tc>
          <w:tcPr>
            <w:tcW w:w="45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Brokers or Finders</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50</w:t>
            </w:r>
          </w:p>
        </w:tc>
      </w:tr>
      <w:tr>
        <w:trPr/>
        <w:tc>
          <w:tcPr>
            <w:tcW w:w="60"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3.22</w:t>
            </w:r>
          </w:p>
        </w:tc>
        <w:tc>
          <w:tcPr>
            <w:tcW w:w="455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Affiliate Transactions</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51</w:t>
            </w:r>
          </w:p>
        </w:tc>
      </w:tr>
      <w:tr>
        <w:trPr/>
        <w:tc>
          <w:tcPr>
            <w:tcW w:w="60" w:type="dxa"/>
            <w:tcBorders/>
            <w:vAlign w:val="center"/>
          </w:tcPr>
          <w:p>
            <w:pPr>
              <w:pStyle w:val="TableContents"/>
              <w:bidi w:val="0"/>
              <w:spacing w:before="0" w:after="283"/>
              <w:jc w:val="left"/>
              <w:rPr/>
            </w:pPr>
            <w:r>
              <w:rPr/>
              <w:t> </w:t>
            </w:r>
          </w:p>
        </w:tc>
        <w:tc>
          <w:tcPr>
            <w:tcW w:w="104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3.23</w:t>
            </w:r>
          </w:p>
        </w:tc>
        <w:tc>
          <w:tcPr>
            <w:tcW w:w="45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Equipment</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51</w:t>
            </w:r>
          </w:p>
        </w:tc>
      </w:tr>
      <w:tr>
        <w:trPr/>
        <w:tc>
          <w:tcPr>
            <w:tcW w:w="60"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3.24</w:t>
            </w:r>
          </w:p>
        </w:tc>
        <w:tc>
          <w:tcPr>
            <w:tcW w:w="455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Product Recalls</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51</w:t>
            </w:r>
          </w:p>
        </w:tc>
      </w:tr>
      <w:tr>
        <w:trPr/>
        <w:tc>
          <w:tcPr>
            <w:tcW w:w="60" w:type="dxa"/>
            <w:tcBorders/>
            <w:vAlign w:val="center"/>
          </w:tcPr>
          <w:p>
            <w:pPr>
              <w:pStyle w:val="TableContents"/>
              <w:bidi w:val="0"/>
              <w:spacing w:before="0" w:after="283"/>
              <w:jc w:val="left"/>
              <w:rPr/>
            </w:pPr>
            <w:r>
              <w:rPr/>
              <w:t> </w:t>
            </w:r>
          </w:p>
        </w:tc>
        <w:tc>
          <w:tcPr>
            <w:tcW w:w="104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3.25</w:t>
            </w:r>
          </w:p>
        </w:tc>
        <w:tc>
          <w:tcPr>
            <w:tcW w:w="45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 Other Representations or Warranties; No Reliance</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51</w:t>
            </w:r>
          </w:p>
        </w:tc>
      </w:tr>
      <w:tr>
        <w:trPr/>
        <w:tc>
          <w:tcPr>
            <w:tcW w:w="5659" w:type="dxa"/>
            <w:gridSpan w:val="3"/>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ARTICLE IV REPRESENTATIONS AND WARRANTIES OF BUYER</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51</w:t>
            </w:r>
          </w:p>
        </w:tc>
      </w:tr>
      <w:tr>
        <w:trPr/>
        <w:tc>
          <w:tcPr>
            <w:tcW w:w="60" w:type="dxa"/>
            <w:tcBorders/>
            <w:vAlign w:val="center"/>
          </w:tcPr>
          <w:p>
            <w:pPr>
              <w:pStyle w:val="TableContents"/>
              <w:bidi w:val="0"/>
              <w:spacing w:before="0" w:after="283"/>
              <w:jc w:val="left"/>
              <w:rPr/>
            </w:pPr>
            <w:r>
              <w:rPr/>
              <w:t> </w:t>
            </w:r>
          </w:p>
        </w:tc>
        <w:tc>
          <w:tcPr>
            <w:tcW w:w="104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4.01</w:t>
            </w:r>
          </w:p>
        </w:tc>
        <w:tc>
          <w:tcPr>
            <w:tcW w:w="45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Organization, Good Standing and Power; Qualifications</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52</w:t>
            </w:r>
          </w:p>
        </w:tc>
      </w:tr>
      <w:tr>
        <w:trPr/>
        <w:tc>
          <w:tcPr>
            <w:tcW w:w="60"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4.02</w:t>
            </w:r>
          </w:p>
        </w:tc>
        <w:tc>
          <w:tcPr>
            <w:tcW w:w="455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Authority; Execution and Delivery; Enforceability</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52</w:t>
            </w:r>
          </w:p>
        </w:tc>
      </w:tr>
      <w:tr>
        <w:trPr/>
        <w:tc>
          <w:tcPr>
            <w:tcW w:w="60" w:type="dxa"/>
            <w:tcBorders/>
            <w:vAlign w:val="center"/>
          </w:tcPr>
          <w:p>
            <w:pPr>
              <w:pStyle w:val="TableContents"/>
              <w:bidi w:val="0"/>
              <w:spacing w:before="0" w:after="283"/>
              <w:jc w:val="left"/>
              <w:rPr/>
            </w:pPr>
            <w:r>
              <w:rPr/>
              <w:t> </w:t>
            </w:r>
          </w:p>
        </w:tc>
        <w:tc>
          <w:tcPr>
            <w:tcW w:w="104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4.03</w:t>
            </w:r>
          </w:p>
        </w:tc>
        <w:tc>
          <w:tcPr>
            <w:tcW w:w="45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 Conflicts; Consents and Approvals</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52</w:t>
            </w:r>
          </w:p>
        </w:tc>
      </w:tr>
      <w:tr>
        <w:trPr/>
        <w:tc>
          <w:tcPr>
            <w:tcW w:w="60"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4.04</w:t>
            </w:r>
          </w:p>
        </w:tc>
        <w:tc>
          <w:tcPr>
            <w:tcW w:w="455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Absence of Litigation</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53</w:t>
            </w:r>
          </w:p>
        </w:tc>
      </w:tr>
      <w:tr>
        <w:trPr/>
        <w:tc>
          <w:tcPr>
            <w:tcW w:w="60" w:type="dxa"/>
            <w:tcBorders/>
            <w:vAlign w:val="center"/>
          </w:tcPr>
          <w:p>
            <w:pPr>
              <w:pStyle w:val="TableContents"/>
              <w:bidi w:val="0"/>
              <w:spacing w:before="0" w:after="283"/>
              <w:jc w:val="left"/>
              <w:rPr/>
            </w:pPr>
            <w:r>
              <w:rPr/>
              <w:t> </w:t>
            </w:r>
          </w:p>
        </w:tc>
        <w:tc>
          <w:tcPr>
            <w:tcW w:w="104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4.05</w:t>
            </w:r>
          </w:p>
        </w:tc>
        <w:tc>
          <w:tcPr>
            <w:tcW w:w="45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Financial Capability</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53</w:t>
            </w:r>
          </w:p>
        </w:tc>
      </w:tr>
      <w:tr>
        <w:trPr/>
        <w:tc>
          <w:tcPr>
            <w:tcW w:w="60"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4.06</w:t>
            </w:r>
          </w:p>
        </w:tc>
        <w:tc>
          <w:tcPr>
            <w:tcW w:w="455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Solvency</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53</w:t>
            </w:r>
          </w:p>
        </w:tc>
      </w:tr>
      <w:tr>
        <w:trPr/>
        <w:tc>
          <w:tcPr>
            <w:tcW w:w="60" w:type="dxa"/>
            <w:tcBorders/>
            <w:vAlign w:val="center"/>
          </w:tcPr>
          <w:p>
            <w:pPr>
              <w:pStyle w:val="TableContents"/>
              <w:bidi w:val="0"/>
              <w:spacing w:before="0" w:after="283"/>
              <w:jc w:val="left"/>
              <w:rPr/>
            </w:pPr>
            <w:r>
              <w:rPr/>
              <w:t> </w:t>
            </w:r>
          </w:p>
        </w:tc>
        <w:tc>
          <w:tcPr>
            <w:tcW w:w="104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4.07</w:t>
            </w:r>
          </w:p>
        </w:tc>
        <w:tc>
          <w:tcPr>
            <w:tcW w:w="45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Brokers or Finders</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54</w:t>
            </w:r>
          </w:p>
        </w:tc>
      </w:tr>
      <w:tr>
        <w:trPr/>
        <w:tc>
          <w:tcPr>
            <w:tcW w:w="60"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4.08</w:t>
            </w:r>
          </w:p>
        </w:tc>
        <w:tc>
          <w:tcPr>
            <w:tcW w:w="455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Investment Decision</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54</w:t>
            </w:r>
          </w:p>
        </w:tc>
      </w:tr>
      <w:tr>
        <w:trPr/>
        <w:tc>
          <w:tcPr>
            <w:tcW w:w="60" w:type="dxa"/>
            <w:tcBorders/>
            <w:vAlign w:val="center"/>
          </w:tcPr>
          <w:p>
            <w:pPr>
              <w:pStyle w:val="TableContents"/>
              <w:bidi w:val="0"/>
              <w:spacing w:before="0" w:after="283"/>
              <w:jc w:val="left"/>
              <w:rPr/>
            </w:pPr>
            <w:r>
              <w:rPr/>
              <w:t> </w:t>
            </w:r>
          </w:p>
        </w:tc>
        <w:tc>
          <w:tcPr>
            <w:tcW w:w="104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4.09</w:t>
            </w:r>
          </w:p>
        </w:tc>
        <w:tc>
          <w:tcPr>
            <w:tcW w:w="45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Independent Investigation</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54</w:t>
            </w:r>
          </w:p>
        </w:tc>
      </w:tr>
      <w:tr>
        <w:trPr/>
        <w:tc>
          <w:tcPr>
            <w:tcW w:w="60"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4.10</w:t>
            </w:r>
          </w:p>
        </w:tc>
        <w:tc>
          <w:tcPr>
            <w:tcW w:w="455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No Other Representations or Warranties; No Reliance</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54</w:t>
            </w:r>
          </w:p>
        </w:tc>
      </w:tr>
      <w:tr>
        <w:trPr/>
        <w:tc>
          <w:tcPr>
            <w:tcW w:w="5659"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ARTICLE V COVENANTS</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55</w:t>
            </w:r>
          </w:p>
        </w:tc>
      </w:tr>
      <w:tr>
        <w:trPr/>
        <w:tc>
          <w:tcPr>
            <w:tcW w:w="60"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5.01</w:t>
            </w:r>
          </w:p>
        </w:tc>
        <w:tc>
          <w:tcPr>
            <w:tcW w:w="455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Conduct of Business</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55</w:t>
            </w:r>
          </w:p>
        </w:tc>
      </w:tr>
      <w:tr>
        <w:trPr/>
        <w:tc>
          <w:tcPr>
            <w:tcW w:w="60" w:type="dxa"/>
            <w:tcBorders/>
            <w:vAlign w:val="center"/>
          </w:tcPr>
          <w:p>
            <w:pPr>
              <w:pStyle w:val="TableContents"/>
              <w:bidi w:val="0"/>
              <w:spacing w:before="0" w:after="283"/>
              <w:jc w:val="left"/>
              <w:rPr/>
            </w:pPr>
            <w:r>
              <w:rPr/>
              <w:t> </w:t>
            </w:r>
          </w:p>
        </w:tc>
        <w:tc>
          <w:tcPr>
            <w:tcW w:w="104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5.02</w:t>
            </w:r>
          </w:p>
        </w:tc>
        <w:tc>
          <w:tcPr>
            <w:tcW w:w="45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Access to Information</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59</w:t>
            </w:r>
          </w:p>
        </w:tc>
      </w:tr>
      <w:tr>
        <w:trPr/>
        <w:tc>
          <w:tcPr>
            <w:tcW w:w="60"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5.03</w:t>
            </w:r>
          </w:p>
        </w:tc>
        <w:tc>
          <w:tcPr>
            <w:tcW w:w="455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Maintenance of Books and Records</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61</w:t>
            </w:r>
          </w:p>
        </w:tc>
      </w:tr>
    </w:tbl>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ii</w:t>
      </w:r>
    </w:p>
    <w:p>
      <w:pPr>
        <w:pStyle w:val="HorizontalLine"/>
        <w:pBdr>
          <w:bottom w:val="single" w:sz="12" w:space="0" w:color="808080"/>
        </w:pBdr>
        <w:bidi w:val="0"/>
        <w:spacing w:before="200" w:after="200"/>
        <w:jc w:val="left"/>
        <w:rPr/>
      </w:pPr>
      <w:r>
        <w:rPr/>
      </w:r>
    </w:p>
    <w:tbl>
      <w:tblPr>
        <w:tblW w:w="9090" w:type="dxa"/>
        <w:jc w:val="left"/>
        <w:tblInd w:w="0" w:type="dxa"/>
        <w:tblLayout w:type="fixed"/>
        <w:tblCellMar>
          <w:top w:w="0" w:type="dxa"/>
          <w:left w:w="0" w:type="dxa"/>
          <w:bottom w:w="0" w:type="dxa"/>
          <w:right w:w="0" w:type="dxa"/>
        </w:tblCellMar>
      </w:tblPr>
      <w:tblGrid>
        <w:gridCol w:w="60"/>
        <w:gridCol w:w="1040"/>
        <w:gridCol w:w="7760"/>
        <w:gridCol w:w="230"/>
      </w:tblGrid>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5.04</w:t>
            </w:r>
          </w:p>
        </w:tc>
        <w:tc>
          <w:tcPr>
            <w:tcW w:w="77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Confidentiality; Publicity</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61</w:t>
            </w:r>
          </w:p>
        </w:tc>
      </w:tr>
      <w:tr>
        <w:trPr/>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5.05</w:t>
            </w:r>
          </w:p>
        </w:tc>
        <w:tc>
          <w:tcPr>
            <w:tcW w:w="7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Directors &amp; Officers Indemnification and Insurance</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62</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5.06</w:t>
            </w:r>
          </w:p>
        </w:tc>
        <w:tc>
          <w:tcPr>
            <w:tcW w:w="77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Employee Matters</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64</w:t>
            </w:r>
          </w:p>
        </w:tc>
      </w:tr>
      <w:tr>
        <w:trPr/>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5.07</w:t>
            </w:r>
          </w:p>
        </w:tc>
        <w:tc>
          <w:tcPr>
            <w:tcW w:w="7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Tax Matters</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70</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5.08</w:t>
            </w:r>
          </w:p>
        </w:tc>
        <w:tc>
          <w:tcPr>
            <w:tcW w:w="77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R&amp;W Policy</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72</w:t>
            </w:r>
          </w:p>
        </w:tc>
      </w:tr>
      <w:tr>
        <w:trPr/>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5.09</w:t>
            </w:r>
          </w:p>
        </w:tc>
        <w:tc>
          <w:tcPr>
            <w:tcW w:w="7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Retained Name Rights</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72</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5.10</w:t>
            </w:r>
          </w:p>
        </w:tc>
        <w:tc>
          <w:tcPr>
            <w:tcW w:w="77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Separation of Business IT and Data</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74</w:t>
            </w:r>
          </w:p>
        </w:tc>
      </w:tr>
      <w:tr>
        <w:trPr/>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5.11</w:t>
            </w:r>
          </w:p>
        </w:tc>
        <w:tc>
          <w:tcPr>
            <w:tcW w:w="7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Certain Services and Benefits Provided by Affiliates; Intercompany Matters; Further Assurances</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74</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5.12</w:t>
            </w:r>
          </w:p>
        </w:tc>
        <w:tc>
          <w:tcPr>
            <w:tcW w:w="77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Shared Contracts</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75</w:t>
            </w:r>
          </w:p>
        </w:tc>
      </w:tr>
      <w:tr>
        <w:trPr/>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5.13</w:t>
            </w:r>
          </w:p>
        </w:tc>
        <w:tc>
          <w:tcPr>
            <w:tcW w:w="7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Credit and Performance Support Obligations</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76</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5.14</w:t>
            </w:r>
          </w:p>
        </w:tc>
        <w:tc>
          <w:tcPr>
            <w:tcW w:w="77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Insurance</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76</w:t>
            </w:r>
          </w:p>
        </w:tc>
      </w:tr>
      <w:tr>
        <w:trPr/>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5.15</w:t>
            </w:r>
          </w:p>
        </w:tc>
        <w:tc>
          <w:tcPr>
            <w:tcW w:w="7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Business Acquisition Proposals; Change in Recommendation</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76</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5.16</w:t>
            </w:r>
          </w:p>
        </w:tc>
        <w:tc>
          <w:tcPr>
            <w:tcW w:w="77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Information Supplied</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83</w:t>
            </w:r>
          </w:p>
        </w:tc>
      </w:tr>
      <w:tr>
        <w:trPr/>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5.17</w:t>
            </w:r>
          </w:p>
        </w:tc>
        <w:tc>
          <w:tcPr>
            <w:tcW w:w="7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Seller Stockholders Meeting</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85</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5.18</w:t>
            </w:r>
          </w:p>
        </w:tc>
        <w:tc>
          <w:tcPr>
            <w:tcW w:w="77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Obligations of Business Companies and Subsidiary Transferors.</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85</w:t>
            </w:r>
          </w:p>
        </w:tc>
      </w:tr>
      <w:tr>
        <w:trPr/>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5.19</w:t>
            </w:r>
          </w:p>
        </w:tc>
        <w:tc>
          <w:tcPr>
            <w:tcW w:w="7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Debt Financing</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86</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5.20</w:t>
            </w:r>
          </w:p>
        </w:tc>
        <w:tc>
          <w:tcPr>
            <w:tcW w:w="77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Non-Competition; Non-Solicitation</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86</w:t>
            </w:r>
          </w:p>
        </w:tc>
      </w:tr>
      <w:tr>
        <w:trPr/>
        <w:tc>
          <w:tcPr>
            <w:tcW w:w="8860"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ARTICLE VI CONDITIONS TO THE SALE</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88</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6.01</w:t>
            </w:r>
          </w:p>
        </w:tc>
        <w:tc>
          <w:tcPr>
            <w:tcW w:w="77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Conditions to Obligations of Each Party to Effect the Sale</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88</w:t>
            </w:r>
          </w:p>
        </w:tc>
      </w:tr>
      <w:tr>
        <w:trPr/>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6.02</w:t>
            </w:r>
          </w:p>
        </w:tc>
        <w:tc>
          <w:tcPr>
            <w:tcW w:w="7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Additional Conditions to Obligations of Buyer</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88</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6.03</w:t>
            </w:r>
          </w:p>
        </w:tc>
        <w:tc>
          <w:tcPr>
            <w:tcW w:w="77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Additional Conditions to Obligations of Seller</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89</w:t>
            </w:r>
          </w:p>
        </w:tc>
      </w:tr>
      <w:tr>
        <w:trPr/>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6.04</w:t>
            </w:r>
          </w:p>
        </w:tc>
        <w:tc>
          <w:tcPr>
            <w:tcW w:w="7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Frustration of Closing Conditions</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89</w:t>
            </w:r>
          </w:p>
        </w:tc>
      </w:tr>
      <w:tr>
        <w:trPr/>
        <w:tc>
          <w:tcPr>
            <w:tcW w:w="8860" w:type="dxa"/>
            <w:gridSpan w:val="3"/>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ARTICLE VII TERMINATION</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89</w:t>
            </w:r>
          </w:p>
        </w:tc>
      </w:tr>
      <w:tr>
        <w:trPr/>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7.01</w:t>
            </w:r>
          </w:p>
        </w:tc>
        <w:tc>
          <w:tcPr>
            <w:tcW w:w="7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Termination</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89</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7.02</w:t>
            </w:r>
          </w:p>
        </w:tc>
        <w:tc>
          <w:tcPr>
            <w:tcW w:w="77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Seller Termination Fee and Expense Reimbursement</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91</w:t>
            </w:r>
          </w:p>
        </w:tc>
      </w:tr>
      <w:tr>
        <w:trPr/>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7.03</w:t>
            </w:r>
          </w:p>
        </w:tc>
        <w:tc>
          <w:tcPr>
            <w:tcW w:w="7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Effect of Termination</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92</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7.04</w:t>
            </w:r>
          </w:p>
        </w:tc>
        <w:tc>
          <w:tcPr>
            <w:tcW w:w="77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Remedies</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92</w:t>
            </w:r>
          </w:p>
        </w:tc>
      </w:tr>
      <w:tr>
        <w:trPr/>
        <w:tc>
          <w:tcPr>
            <w:tcW w:w="8860"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ARTICLE VIII INDEMNIFICATION</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93</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8.01</w:t>
            </w:r>
          </w:p>
        </w:tc>
        <w:tc>
          <w:tcPr>
            <w:tcW w:w="77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Survival</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93</w:t>
            </w:r>
          </w:p>
        </w:tc>
      </w:tr>
      <w:tr>
        <w:trPr/>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8.02</w:t>
            </w:r>
          </w:p>
        </w:tc>
        <w:tc>
          <w:tcPr>
            <w:tcW w:w="7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Indemnification; Remedies.</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93</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8.03</w:t>
            </w:r>
          </w:p>
        </w:tc>
        <w:tc>
          <w:tcPr>
            <w:tcW w:w="77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Notice of Claim; Defense.</w:t>
            </w:r>
          </w:p>
        </w:tc>
        <w:tc>
          <w:tcPr>
            <w:tcW w:w="2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94</w:t>
            </w:r>
          </w:p>
        </w:tc>
      </w:tr>
      <w:tr>
        <w:trPr/>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8.04</w:t>
            </w:r>
          </w:p>
        </w:tc>
        <w:tc>
          <w:tcPr>
            <w:tcW w:w="7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Certain Indemnification Parameters.</w:t>
            </w:r>
          </w:p>
        </w:tc>
        <w:tc>
          <w:tcPr>
            <w:tcW w:w="2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95</w:t>
            </w:r>
          </w:p>
        </w:tc>
      </w:tr>
    </w:tbl>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iii</w:t>
      </w:r>
    </w:p>
    <w:p>
      <w:pPr>
        <w:pStyle w:val="HorizontalLine"/>
        <w:pBdr>
          <w:bottom w:val="single" w:sz="12" w:space="0" w:color="808080"/>
        </w:pBdr>
        <w:bidi w:val="0"/>
        <w:spacing w:before="200" w:after="200"/>
        <w:jc w:val="left"/>
        <w:rPr/>
      </w:pPr>
      <w:r>
        <w:rPr/>
      </w:r>
    </w:p>
    <w:tbl>
      <w:tblPr>
        <w:tblW w:w="6705" w:type="dxa"/>
        <w:jc w:val="left"/>
        <w:tblInd w:w="0" w:type="dxa"/>
        <w:tblLayout w:type="fixed"/>
        <w:tblCellMar>
          <w:top w:w="0" w:type="dxa"/>
          <w:left w:w="0" w:type="dxa"/>
          <w:bottom w:w="0" w:type="dxa"/>
          <w:right w:w="0" w:type="dxa"/>
        </w:tblCellMar>
      </w:tblPr>
      <w:tblGrid>
        <w:gridCol w:w="60"/>
        <w:gridCol w:w="1040"/>
        <w:gridCol w:w="5270"/>
        <w:gridCol w:w="335"/>
      </w:tblGrid>
      <w:tr>
        <w:trPr/>
        <w:tc>
          <w:tcPr>
            <w:tcW w:w="6370" w:type="dxa"/>
            <w:gridSpan w:val="3"/>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ARTICLE IX GENERAL PROVISIONS</w:t>
            </w:r>
          </w:p>
        </w:tc>
        <w:tc>
          <w:tcPr>
            <w:tcW w:w="33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97</w:t>
            </w:r>
          </w:p>
        </w:tc>
      </w:tr>
      <w:tr>
        <w:trPr/>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9.01</w:t>
            </w:r>
          </w:p>
        </w:tc>
        <w:tc>
          <w:tcPr>
            <w:tcW w:w="5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Expenses</w:t>
            </w:r>
          </w:p>
        </w:tc>
        <w:tc>
          <w:tcPr>
            <w:tcW w:w="335"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97</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9.02</w:t>
            </w:r>
          </w:p>
        </w:tc>
        <w:tc>
          <w:tcPr>
            <w:tcW w:w="52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Notices</w:t>
            </w:r>
          </w:p>
        </w:tc>
        <w:tc>
          <w:tcPr>
            <w:tcW w:w="33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97</w:t>
            </w:r>
          </w:p>
        </w:tc>
      </w:tr>
      <w:tr>
        <w:trPr/>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9.03</w:t>
            </w:r>
          </w:p>
        </w:tc>
        <w:tc>
          <w:tcPr>
            <w:tcW w:w="5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Amendment</w:t>
            </w:r>
          </w:p>
        </w:tc>
        <w:tc>
          <w:tcPr>
            <w:tcW w:w="335"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98</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9.04</w:t>
            </w:r>
          </w:p>
        </w:tc>
        <w:tc>
          <w:tcPr>
            <w:tcW w:w="52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Waiver</w:t>
            </w:r>
          </w:p>
        </w:tc>
        <w:tc>
          <w:tcPr>
            <w:tcW w:w="33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98</w:t>
            </w:r>
          </w:p>
        </w:tc>
      </w:tr>
      <w:tr>
        <w:trPr/>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9.05</w:t>
            </w:r>
          </w:p>
        </w:tc>
        <w:tc>
          <w:tcPr>
            <w:tcW w:w="5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 Conflict</w:t>
            </w:r>
          </w:p>
        </w:tc>
        <w:tc>
          <w:tcPr>
            <w:tcW w:w="335"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98</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9.06</w:t>
            </w:r>
          </w:p>
        </w:tc>
        <w:tc>
          <w:tcPr>
            <w:tcW w:w="52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Severability</w:t>
            </w:r>
          </w:p>
        </w:tc>
        <w:tc>
          <w:tcPr>
            <w:tcW w:w="33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98</w:t>
            </w:r>
          </w:p>
        </w:tc>
      </w:tr>
      <w:tr>
        <w:trPr/>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9.07</w:t>
            </w:r>
          </w:p>
        </w:tc>
        <w:tc>
          <w:tcPr>
            <w:tcW w:w="5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Entire Agreement</w:t>
            </w:r>
          </w:p>
        </w:tc>
        <w:tc>
          <w:tcPr>
            <w:tcW w:w="335"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98</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9.08</w:t>
            </w:r>
          </w:p>
        </w:tc>
        <w:tc>
          <w:tcPr>
            <w:tcW w:w="52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Assignment</w:t>
            </w:r>
          </w:p>
        </w:tc>
        <w:tc>
          <w:tcPr>
            <w:tcW w:w="33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98</w:t>
            </w:r>
          </w:p>
        </w:tc>
      </w:tr>
      <w:tr>
        <w:trPr/>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9.09</w:t>
            </w:r>
          </w:p>
        </w:tc>
        <w:tc>
          <w:tcPr>
            <w:tcW w:w="5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Parties in Interest</w:t>
            </w:r>
          </w:p>
        </w:tc>
        <w:tc>
          <w:tcPr>
            <w:tcW w:w="335"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99</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9.10</w:t>
            </w:r>
          </w:p>
        </w:tc>
        <w:tc>
          <w:tcPr>
            <w:tcW w:w="52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Headings</w:t>
            </w:r>
          </w:p>
        </w:tc>
        <w:tc>
          <w:tcPr>
            <w:tcW w:w="33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99</w:t>
            </w:r>
          </w:p>
        </w:tc>
      </w:tr>
      <w:tr>
        <w:trPr/>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9.11</w:t>
            </w:r>
          </w:p>
        </w:tc>
        <w:tc>
          <w:tcPr>
            <w:tcW w:w="5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Disclosure Schedule</w:t>
            </w:r>
          </w:p>
        </w:tc>
        <w:tc>
          <w:tcPr>
            <w:tcW w:w="335"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99</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9.12</w:t>
            </w:r>
          </w:p>
        </w:tc>
        <w:tc>
          <w:tcPr>
            <w:tcW w:w="52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Governing Law; Submission to Jurisdiction; Waiver of Jury Trial</w:t>
            </w:r>
          </w:p>
        </w:tc>
        <w:tc>
          <w:tcPr>
            <w:tcW w:w="33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99</w:t>
            </w:r>
          </w:p>
        </w:tc>
      </w:tr>
      <w:tr>
        <w:trPr/>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9.13</w:t>
            </w:r>
          </w:p>
        </w:tc>
        <w:tc>
          <w:tcPr>
            <w:tcW w:w="5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Counterparts</w:t>
            </w:r>
          </w:p>
        </w:tc>
        <w:tc>
          <w:tcPr>
            <w:tcW w:w="335"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100</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9.14</w:t>
            </w:r>
          </w:p>
        </w:tc>
        <w:tc>
          <w:tcPr>
            <w:tcW w:w="52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Specific Performance</w:t>
            </w:r>
          </w:p>
        </w:tc>
        <w:tc>
          <w:tcPr>
            <w:tcW w:w="33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100</w:t>
            </w:r>
          </w:p>
        </w:tc>
      </w:tr>
      <w:tr>
        <w:trPr/>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Section 9.15</w:t>
            </w:r>
          </w:p>
        </w:tc>
        <w:tc>
          <w:tcPr>
            <w:tcW w:w="5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Retention of Counsel</w:t>
            </w:r>
          </w:p>
        </w:tc>
        <w:tc>
          <w:tcPr>
            <w:tcW w:w="335"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100</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9.16</w:t>
            </w:r>
          </w:p>
        </w:tc>
        <w:tc>
          <w:tcPr>
            <w:tcW w:w="52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No Presumption</w:t>
            </w:r>
          </w:p>
        </w:tc>
        <w:tc>
          <w:tcPr>
            <w:tcW w:w="33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101</w:t>
            </w:r>
          </w:p>
        </w:tc>
      </w:tr>
    </w:tbl>
    <w:p>
      <w:pPr>
        <w:pStyle w:val="TextBody"/>
        <w:bidi w:val="0"/>
        <w:spacing w:before="0" w:after="0"/>
        <w:jc w:val="both"/>
        <w:rPr>
          <w:rFonts w:ascii="Times New Roman" w:hAnsi="Times New Roman"/>
          <w:b/>
          <w:sz w:val="20"/>
          <w:u w:val="single"/>
        </w:rPr>
      </w:pPr>
      <w:r>
        <w:rPr>
          <w:rFonts w:ascii="Times New Roman" w:hAnsi="Times New Roman"/>
          <w:b/>
          <w:sz w:val="20"/>
          <w:u w:val="single"/>
        </w:rPr>
      </w:r>
    </w:p>
    <w:p>
      <w:pPr>
        <w:pStyle w:val="TextBody"/>
        <w:bidi w:val="0"/>
        <w:spacing w:before="0" w:after="0"/>
        <w:jc w:val="both"/>
        <w:rPr>
          <w:rFonts w:ascii="Times New Roman" w:hAnsi="Times New Roman"/>
          <w:b/>
          <w:color w:val="000000"/>
          <w:sz w:val="20"/>
          <w:u w:val="single"/>
        </w:rPr>
      </w:pPr>
      <w:r>
        <w:rPr>
          <w:rFonts w:ascii="Times New Roman" w:hAnsi="Times New Roman"/>
          <w:b/>
          <w:color w:val="000000"/>
          <w:sz w:val="20"/>
          <w:u w:val="single"/>
        </w:rPr>
        <w:t>EXHIBITS; SCHEDULES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 w:name="z32c76d822aa2470bb930f123ac8dcf5a"/>
      <w:bookmarkStart w:id="7" w:name="z32c76d822aa2470bb930f123ac8dcf5a"/>
      <w:bookmarkEnd w:id="7"/>
    </w:p>
    <w:tbl>
      <w:tblPr>
        <w:tblW w:w="6235" w:type="dxa"/>
        <w:jc w:val="left"/>
        <w:tblInd w:w="0" w:type="dxa"/>
        <w:tblLayout w:type="fixed"/>
        <w:tblCellMar>
          <w:top w:w="0" w:type="dxa"/>
          <w:left w:w="0" w:type="dxa"/>
          <w:bottom w:w="0" w:type="dxa"/>
          <w:right w:w="0" w:type="dxa"/>
        </w:tblCellMar>
      </w:tblPr>
      <w:tblGrid>
        <w:gridCol w:w="980"/>
        <w:gridCol w:w="5255"/>
      </w:tblGrid>
      <w:tr>
        <w:trPr/>
        <w:tc>
          <w:tcPr>
            <w:tcW w:w="9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Exhibit A</w:t>
            </w:r>
          </w:p>
        </w:tc>
        <w:tc>
          <w:tcPr>
            <w:tcW w:w="52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Accounting Rules</w:t>
            </w:r>
          </w:p>
        </w:tc>
      </w:tr>
      <w:tr>
        <w:trPr/>
        <w:tc>
          <w:tcPr>
            <w:tcW w:w="9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Exhibit B</w:t>
            </w:r>
          </w:p>
        </w:tc>
        <w:tc>
          <w:tcPr>
            <w:tcW w:w="52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Form of Bill of Sale and Assignment and Assumption Agreement</w:t>
            </w:r>
          </w:p>
        </w:tc>
      </w:tr>
      <w:tr>
        <w:trPr/>
        <w:tc>
          <w:tcPr>
            <w:tcW w:w="9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Exhibit C</w:t>
            </w:r>
          </w:p>
        </w:tc>
        <w:tc>
          <w:tcPr>
            <w:tcW w:w="52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Current Assets and Current Liabilities</w:t>
            </w:r>
          </w:p>
        </w:tc>
      </w:tr>
      <w:tr>
        <w:trPr/>
        <w:tc>
          <w:tcPr>
            <w:tcW w:w="9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Exhibit D-1</w:t>
            </w:r>
          </w:p>
        </w:tc>
        <w:tc>
          <w:tcPr>
            <w:tcW w:w="52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Form of Patent Assignment</w:t>
            </w:r>
          </w:p>
        </w:tc>
      </w:tr>
      <w:tr>
        <w:trPr/>
        <w:tc>
          <w:tcPr>
            <w:tcW w:w="9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Exhibit D-2</w:t>
            </w:r>
          </w:p>
        </w:tc>
        <w:tc>
          <w:tcPr>
            <w:tcW w:w="52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Form of Trademark Assignment</w:t>
            </w:r>
          </w:p>
        </w:tc>
      </w:tr>
      <w:tr>
        <w:trPr/>
        <w:tc>
          <w:tcPr>
            <w:tcW w:w="9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Exhibit E</w:t>
            </w:r>
          </w:p>
        </w:tc>
        <w:tc>
          <w:tcPr>
            <w:tcW w:w="52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Form of Transition Services Agreement</w:t>
            </w:r>
          </w:p>
        </w:tc>
      </w:tr>
      <w:tr>
        <w:trPr/>
        <w:tc>
          <w:tcPr>
            <w:tcW w:w="9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Exhibit F</w:t>
            </w:r>
          </w:p>
        </w:tc>
        <w:tc>
          <w:tcPr>
            <w:tcW w:w="52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Form of Estimated Closing Statement</w:t>
            </w:r>
          </w:p>
        </w:tc>
      </w:tr>
      <w:tr>
        <w:trPr/>
        <w:tc>
          <w:tcPr>
            <w:tcW w:w="9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Exhibit G</w:t>
            </w:r>
          </w:p>
        </w:tc>
        <w:tc>
          <w:tcPr>
            <w:tcW w:w="52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Form of Base Seller Note</w:t>
            </w:r>
          </w:p>
        </w:tc>
      </w:tr>
      <w:tr>
        <w:trPr/>
        <w:tc>
          <w:tcPr>
            <w:tcW w:w="9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Exhibit H</w:t>
            </w:r>
          </w:p>
        </w:tc>
        <w:tc>
          <w:tcPr>
            <w:tcW w:w="52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Form of Post-Closing Statement</w:t>
            </w:r>
          </w:p>
        </w:tc>
      </w:tr>
      <w:tr>
        <w:trPr/>
        <w:tc>
          <w:tcPr>
            <w:tcW w:w="9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Exhibit I</w:t>
            </w:r>
          </w:p>
        </w:tc>
        <w:tc>
          <w:tcPr>
            <w:tcW w:w="52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Purchase Price Allocation</w:t>
            </w:r>
          </w:p>
        </w:tc>
      </w:tr>
      <w:tr>
        <w:trPr/>
        <w:tc>
          <w:tcPr>
            <w:tcW w:w="9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Exhibit J</w:t>
            </w:r>
          </w:p>
        </w:tc>
        <w:tc>
          <w:tcPr>
            <w:tcW w:w="52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Seller Working Capital Note Term Sheet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Disclosure Schedule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iv</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SHARE AND ASSET PURCHASE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This SHARE AND ASSET PURCHASE AGREEMENT, dated as of July 28, 2026 (this “</w:t>
      </w:r>
      <w:r>
        <w:rPr>
          <w:rFonts w:ascii="Times New Roman" w:hAnsi="Times New Roman"/>
          <w:color w:val="000000"/>
          <w:sz w:val="20"/>
          <w:u w:val="single"/>
        </w:rPr>
        <w:t>Agreement</w:t>
      </w:r>
      <w:r>
        <w:rPr>
          <w:rFonts w:ascii="Times New Roman" w:hAnsi="Times New Roman"/>
          <w:color w:val="000000"/>
          <w:sz w:val="20"/>
        </w:rPr>
        <w:t>”), is entered into by and between Standard BioTools Inc., a Delaware corporation (“</w:t>
      </w:r>
      <w:r>
        <w:rPr>
          <w:rFonts w:ascii="Times New Roman" w:hAnsi="Times New Roman"/>
          <w:color w:val="000000"/>
          <w:sz w:val="20"/>
          <w:u w:val="single"/>
        </w:rPr>
        <w:t>Seller</w:t>
      </w:r>
      <w:r>
        <w:rPr>
          <w:rFonts w:ascii="Times New Roman" w:hAnsi="Times New Roman"/>
          <w:color w:val="000000"/>
          <w:sz w:val="20"/>
        </w:rPr>
        <w:t>”) and Multiplex Bio Inc., a Delaware corporation (“</w:t>
      </w:r>
      <w:r>
        <w:rPr>
          <w:rFonts w:ascii="Times New Roman" w:hAnsi="Times New Roman"/>
          <w:color w:val="000000"/>
          <w:sz w:val="20"/>
          <w:u w:val="single"/>
        </w:rPr>
        <w:t>Buyer</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RECITALS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WHEREAS, in addition to its other businesses, Seller is engaged, directly and through certain of its Subsidiaries (as defined below), in the Business (as defined below);</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WHEREAS, as of the date hereof, Seller is, directly or indirectly through certain wholly owned Subsidiaries of Seller, the record and beneficial owner of the Equity Securities (as defined below) of the Transferred Companies (as defined below) as set forth on </w:t>
      </w:r>
      <w:r>
        <w:rPr>
          <w:rFonts w:ascii="Times New Roman" w:hAnsi="Times New Roman"/>
          <w:color w:val="000000"/>
          <w:sz w:val="20"/>
          <w:u w:val="single"/>
        </w:rPr>
        <w:t>Section 3.02</w:t>
      </w:r>
      <w:r>
        <w:rPr>
          <w:rFonts w:ascii="Times New Roman" w:hAnsi="Times New Roman"/>
          <w:color w:val="000000"/>
          <w:sz w:val="20"/>
        </w:rPr>
        <w:t xml:space="preserve"> of the Disclosure Schedule (as defined below) (such Equity Securities, the “</w:t>
      </w:r>
      <w:r>
        <w:rPr>
          <w:rFonts w:ascii="Times New Roman" w:hAnsi="Times New Roman"/>
          <w:color w:val="000000"/>
          <w:sz w:val="20"/>
          <w:u w:val="single"/>
        </w:rPr>
        <w:t>Shares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WHEREAS, as of the date hereof, Seller owns, directly or indirectly through certain wholly owned Subsidiaries of Seller, the Transferred Assets (as defined below);</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WHEREAS, the Parties desire that (a) Seller will, or will cause its applicable Subsidiaries to, sell, transfer, assign, convey and deliver the Shares and the Transferred Assets, and transfer and assign the Assumed Liabilities (as defined below), to Buyer and (b) Buyer will purchase and acquire the Shares and the Transferred Assets, and accept and assume the Assumed Liabilities, from Seller or its applicable Subsidiaries, in each case on the terms and subject to the conditions set forth herein;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WHEREAS, the board of directors of Seller (the “</w:t>
      </w:r>
      <w:r>
        <w:rPr>
          <w:rFonts w:ascii="Times New Roman" w:hAnsi="Times New Roman"/>
          <w:color w:val="000000"/>
          <w:sz w:val="20"/>
          <w:u w:val="single"/>
        </w:rPr>
        <w:t>Seller Board</w:t>
      </w:r>
      <w:r>
        <w:rPr>
          <w:rFonts w:ascii="Times New Roman" w:hAnsi="Times New Roman"/>
          <w:color w:val="000000"/>
          <w:sz w:val="20"/>
        </w:rPr>
        <w:t>”) has unanimously (a) determined that the Sale (as defined below) is expedient and for the best interests of Seller and its stockholders, (b) approved and declared advisable this Agreement and the Sale and (c) resolved to recommend the adoption of this Agreement by Seller’s stockholders (such recommendation, the “</w:t>
      </w:r>
      <w:r>
        <w:rPr>
          <w:rFonts w:ascii="Times New Roman" w:hAnsi="Times New Roman"/>
          <w:color w:val="000000"/>
          <w:sz w:val="20"/>
          <w:u w:val="single"/>
        </w:rPr>
        <w:t>Seller Board Recommendation</w:t>
      </w:r>
      <w:r>
        <w:rPr>
          <w:rFonts w:ascii="Times New Roman" w:hAnsi="Times New Roman"/>
          <w:color w:val="000000"/>
          <w:sz w:val="20"/>
        </w:rPr>
        <w:t>”); and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WHEREAS, concurrently with the consummation of the transactions contemplated by this Agreement, Buyer and Seller (or certain of their respective Affiliates) will execute and deliver, among other documents and instruments, the TSA, the Bill of Sale and Assignment and Assumption Agreement, the IP Assignment, the Local Transfer Documents, the Base Seller Note and the Seller Working Capital Note.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NOW, THEREFORE, in consideration of the foregoing and the mutual representations, warranties and covenants and subject to the conditions set forth herein, and of other good and valuable consideration, the receipt and sufficiency of which are hereby acknowledged and intending to be legally bound hereby, the Parties hereby agree as follows:</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I</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DEFINITIONS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1.01        </w:t>
      </w:r>
      <w:r>
        <w:rPr>
          <w:rFonts w:ascii="Times New Roman" w:hAnsi="Times New Roman"/>
          <w:color w:val="000000"/>
          <w:sz w:val="20"/>
          <w:u w:val="single"/>
        </w:rPr>
        <w:t>Certain Definitions</w:t>
      </w:r>
      <w:r>
        <w:rPr>
          <w:rFonts w:ascii="Times New Roman" w:hAnsi="Times New Roman"/>
          <w:color w:val="000000"/>
          <w:sz w:val="20"/>
        </w:rPr>
        <w:t>. For purposes of this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Accounting Rules</w:t>
      </w:r>
      <w:r>
        <w:rPr>
          <w:rFonts w:ascii="Times New Roman" w:hAnsi="Times New Roman"/>
          <w:color w:val="000000"/>
          <w:sz w:val="20"/>
        </w:rPr>
        <w:t xml:space="preserve">” means the accounting principles, policies, procedures and methodologies set forth on </w:t>
      </w:r>
      <w:r>
        <w:rPr>
          <w:rFonts w:ascii="Times New Roman" w:hAnsi="Times New Roman"/>
          <w:color w:val="000000"/>
          <w:sz w:val="20"/>
          <w:u w:val="single"/>
        </w:rPr>
        <w:t>Exhibit A</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Accrued Income Taxes</w:t>
      </w:r>
      <w:r>
        <w:rPr>
          <w:rFonts w:ascii="Times New Roman" w:hAnsi="Times New Roman"/>
          <w:color w:val="000000"/>
          <w:sz w:val="20"/>
        </w:rPr>
        <w:t xml:space="preserve">” means, without duplication, an amount (determined on a jurisdiction-by-jurisdiction basis with the amount for each jurisdiction not being less than zero ($0)) equal to the aggregate amount of any Liability for accrued and unpaid Income Taxes of the Business Companies as of the Closing Date, in each case, computed solely for taxable periods for which a final income Tax Return is not yet due as of the Closing Date (taking into account any applicable extensions); </w:t>
      </w:r>
      <w:r>
        <w:rPr>
          <w:rFonts w:ascii="Times New Roman" w:hAnsi="Times New Roman"/>
          <w:color w:val="000000"/>
          <w:sz w:val="20"/>
          <w:u w:val="single"/>
        </w:rPr>
        <w:t>provided</w:t>
      </w:r>
      <w:r>
        <w:rPr>
          <w:rFonts w:ascii="Times New Roman" w:hAnsi="Times New Roman"/>
          <w:color w:val="000000"/>
          <w:sz w:val="20"/>
        </w:rPr>
        <w:t xml:space="preserve">, that for purposes of calculating such Accrued Income Taxes, any Liability shall (a) be calculated in accordance with past practice (including reporting positions, elections and accounting methods) and including only jurisdictions where the Business Companies file Tax Returns, (b) take into account all deductions of the Business Companies attributable to the transactions contemplated hereby (including any deductions attributable to Transaction Expenses or Indebtedness) (including by applying the 70% safe harbor election under Revenue Procedure 2011-29 to any “success based fees,” where applicable), (c) be reduced by any overpayments of Income Taxes (and any applicable prepayments or estimated payments of Income Taxes) of the Business Companies for any Pre-Closing Tax Period, (d) include only Income Taxes for which a Business Company itself is considered the entity that is primarily responsible for the payment of the Tax under applicable Law, (e) exclude all deferred Tax assets and liabilities, (f) exclude any liabilities for accruals or reserves established or required to be established under GAAP methodologies that require the accrual for contingent Income Taxes or with respect to uncertain Tax positions; (g) exclude any Taxes relating to any elections pursuant to Section 338 of the Code with respect to the transactions contemplated by this Agreement; and (h) in the case of Income Taxes of any Business Company that are payable with respect to a Straddle Period, be determined in accordance with </w:t>
      </w:r>
      <w:r>
        <w:rPr>
          <w:rFonts w:ascii="Times New Roman" w:hAnsi="Times New Roman"/>
          <w:color w:val="000000"/>
          <w:sz w:val="20"/>
          <w:u w:val="single"/>
        </w:rPr>
        <w:t>Section 5.07(e)</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Action</w:t>
      </w:r>
      <w:r>
        <w:rPr>
          <w:rFonts w:ascii="Times New Roman" w:hAnsi="Times New Roman"/>
          <w:color w:val="000000"/>
          <w:sz w:val="20"/>
        </w:rPr>
        <w:t>” means any claim, demand, litigation, dispute, action, cause of action, suit, hearing, examination, audit or other judicial or administrative proceeding, at law or in equity, in each case, by or before any Governmental Entity.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Affiliate</w:t>
      </w:r>
      <w:r>
        <w:rPr>
          <w:rFonts w:ascii="Times New Roman" w:hAnsi="Times New Roman"/>
          <w:color w:val="000000"/>
          <w:sz w:val="20"/>
        </w:rPr>
        <w:t>” means, with respect to any Person, any other Person that directly or indirectly, through one or more intermediaries, controls, is controlled by, or is under common control with, the first-mentioned Person. For the avoidance of doubt, from and after the Closing, (a) no Business Company shall be considered an Affiliate of any Seller Entity and (b) no Seller Entity shall be considered an Affiliate of any Business Company.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Aggregate Transaction Value</w:t>
      </w:r>
      <w:r>
        <w:rPr>
          <w:rFonts w:ascii="Times New Roman" w:hAnsi="Times New Roman"/>
          <w:color w:val="000000"/>
          <w:sz w:val="20"/>
        </w:rPr>
        <w:t>” means the total consideration paid or payable (including cash, the fair market value of any non-cash consideration, and the face amount of any assumed indebtedness, but excluding any transaction expenses or indebtedness paid by Buyer) to Buyer and its Subsidiaries, or its direct or indirect parent entities in connection with a Qualifying Exit.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Ancillary Agreements</w:t>
      </w:r>
      <w:r>
        <w:rPr>
          <w:rFonts w:ascii="Times New Roman" w:hAnsi="Times New Roman"/>
          <w:color w:val="000000"/>
          <w:sz w:val="20"/>
        </w:rPr>
        <w:t>” means the TSA, the Bill of Sale and Assignment and Assumption Agreement, the IP Assignment, the Local Transfer Documents, the Base Seller Note, the Seller Working Capital Note and all other agreements, documents and instruments executed and delivered in connection with this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Antitrust Law</w:t>
      </w:r>
      <w:r>
        <w:rPr>
          <w:rFonts w:ascii="Times New Roman" w:hAnsi="Times New Roman"/>
          <w:color w:val="000000"/>
          <w:sz w:val="20"/>
        </w:rPr>
        <w:t>” means the Sherman Act, the Clayton Act, the HSR Act, the Federal Trade Commission Act, each as amended, and all other applicable Laws (including state and non-U.S. Laws) issued by a Governmental Entity that are designed or intended to preserve and protect competition, prohibit and restrict monopolization, attempted monopolization, restraint of trade and abuse of dominant position, to prevent acquisitions, mergers or other business combinations and similar transactions, the effect of which may be to lessen or impede competition or to tend to create or strengthen a dominant position or to create a monopoly.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Assigned Contracts</w:t>
      </w:r>
      <w:r>
        <w:rPr>
          <w:rFonts w:ascii="Times New Roman" w:hAnsi="Times New Roman"/>
          <w:color w:val="000000"/>
          <w:sz w:val="20"/>
        </w:rPr>
        <w:t xml:space="preserve">” means any Contract entered into by, or otherwise legally binding upon, Seller or its Subsidiaries that relates primarily to the Business or the Transferred Assets, including the Contracts set forth on </w:t>
      </w:r>
      <w:r>
        <w:rPr>
          <w:rFonts w:ascii="Times New Roman" w:hAnsi="Times New Roman"/>
          <w:color w:val="000000"/>
          <w:sz w:val="20"/>
          <w:u w:val="single"/>
        </w:rPr>
        <w:t>Section 1.01(a)</w:t>
      </w:r>
      <w:r>
        <w:rPr>
          <w:rFonts w:ascii="Times New Roman" w:hAnsi="Times New Roman"/>
          <w:color w:val="000000"/>
          <w:sz w:val="20"/>
        </w:rPr>
        <w:t xml:space="preserve"> of the Disclosure Schedule, but excluding any Shared Contracts.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Bill of Sale and Assignment and Assumption Agreement</w:t>
      </w:r>
      <w:r>
        <w:rPr>
          <w:rFonts w:ascii="Times New Roman" w:hAnsi="Times New Roman"/>
          <w:color w:val="000000"/>
          <w:sz w:val="20"/>
        </w:rPr>
        <w:t xml:space="preserve">” means a Bill of Sale and Assignment and Assumption Agreement, substantially in the form of </w:t>
      </w:r>
      <w:r>
        <w:rPr>
          <w:rFonts w:ascii="Times New Roman" w:hAnsi="Times New Roman"/>
          <w:color w:val="000000"/>
          <w:sz w:val="20"/>
          <w:u w:val="single"/>
        </w:rPr>
        <w:t>Exhibit B</w:t>
      </w:r>
      <w:r>
        <w:rPr>
          <w:rFonts w:ascii="Times New Roman" w:hAnsi="Times New Roman"/>
          <w:color w:val="000000"/>
          <w:sz w:val="20"/>
        </w:rPr>
        <w:t>, to be entered into between Seller and Buyer (or one or more of its designated Subsidiaries) and to become effective upon the Closing.</w:t>
      </w:r>
    </w:p>
    <w:p>
      <w:pPr>
        <w:pStyle w:val="TextBody"/>
        <w:bidi w:val="0"/>
        <w:spacing w:before="0" w:after="0"/>
        <w:jc w:val="left"/>
        <w:rPr>
          <w:color w:val="000000"/>
        </w:rPr>
      </w:pPr>
      <w:r>
        <w:rPr>
          <w:color w:val="000000"/>
        </w:rPr>
        <w:t> </w:t>
      </w:r>
    </w:p>
    <w:p>
      <w:pPr>
        <w:pStyle w:val="TextBody"/>
        <w:bidi w:val="0"/>
        <w:spacing w:lineRule="auto" w:line="240" w:before="0" w:after="0"/>
        <w:ind w:left="0" w:right="0" w:firstLine="720"/>
        <w:jc w:val="both"/>
        <w:rPr>
          <w:color w:val="000000"/>
        </w:rPr>
      </w:pPr>
      <w:r>
        <w:rPr>
          <w:color w:val="000000"/>
        </w:rPr>
        <w:t>“</w:t>
      </w:r>
      <w:r>
        <w:rPr>
          <w:rFonts w:ascii="Times New Roman" w:hAnsi="Times New Roman"/>
          <w:color w:val="000000"/>
          <w:sz w:val="20"/>
          <w:u w:val="single"/>
        </w:rPr>
        <w:t>Business</w:t>
      </w:r>
      <w:r>
        <w:rPr>
          <w:rFonts w:ascii="Times New Roman" w:hAnsi="Times New Roman"/>
          <w:color w:val="000000"/>
          <w:sz w:val="20"/>
        </w:rPr>
        <w:t>” means the development, manufacture, marketing, sale and distribution of Seller’s and its Affiliates’ mass cytometry-based products and technologies, including (a) the CyTOFTM platform, (b) the HyperionTM spatial biology platform (including the Hyperion™ XTi and Hyperion+™ systems and the Hyperion™ slide loader) and associated panels, assays and antibodies, (c) the Maxpar® reagents and (d) the Theia next-generation XTi platform and all products, technologies and programs under development in connection therewith, in each case ((a) – (d)) including all prior and successor versions and generations thereof. For clarity, “Business” shall exclude Seller’s microfluidics business (including the BiomarkTM X9 high-throughput genomics system, integrated fluidic circuits and associated reagents).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Business Companies</w:t>
      </w:r>
      <w:r>
        <w:rPr>
          <w:rFonts w:ascii="Times New Roman" w:hAnsi="Times New Roman"/>
          <w:color w:val="000000"/>
          <w:sz w:val="20"/>
        </w:rPr>
        <w:t>” means the Transferred Companies and their Subsidiaries.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Business Day</w:t>
      </w:r>
      <w:r>
        <w:rPr>
          <w:rFonts w:ascii="Times New Roman" w:hAnsi="Times New Roman"/>
          <w:color w:val="000000"/>
          <w:sz w:val="20"/>
        </w:rPr>
        <w:t>” means any day, other than a Saturday or Sunday or a day on which banks are required or authorized by Law to close in New York, New York.</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Business Employee</w:t>
      </w:r>
      <w:r>
        <w:rPr>
          <w:rFonts w:ascii="Times New Roman" w:hAnsi="Times New Roman"/>
          <w:color w:val="000000"/>
          <w:sz w:val="20"/>
        </w:rPr>
        <w:t xml:space="preserve">” means, as of the applicable time, (a) each employee of Seller or any of its Affiliates (excluding any Business Company) listed on the Business Employee Schedule (as may be updated from time to time in accordance with this Agreement) and (b) each employee of any Business Company other than the individuals set forth on </w:t>
      </w:r>
      <w:r>
        <w:rPr>
          <w:rFonts w:ascii="Times New Roman" w:hAnsi="Times New Roman"/>
          <w:color w:val="000000"/>
          <w:sz w:val="20"/>
          <w:u w:val="single"/>
        </w:rPr>
        <w:t>Section 1.01(b)</w:t>
      </w:r>
      <w:r>
        <w:rPr>
          <w:rFonts w:ascii="Times New Roman" w:hAnsi="Times New Roman"/>
          <w:color w:val="000000"/>
          <w:sz w:val="20"/>
        </w:rPr>
        <w:t xml:space="preserve"> of the Disclosure Schedule.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Business In-Licensed Intellectual Property</w:t>
      </w:r>
      <w:r>
        <w:rPr>
          <w:rFonts w:ascii="Times New Roman" w:hAnsi="Times New Roman"/>
          <w:color w:val="000000"/>
          <w:sz w:val="20"/>
        </w:rPr>
        <w:t>” means any Intellectual Property that is licensed to Seller or its Subsidiaries pursuant to an Assigned Contract.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Business IT and Data</w:t>
      </w:r>
      <w:r>
        <w:rPr>
          <w:rFonts w:ascii="Times New Roman" w:hAnsi="Times New Roman"/>
          <w:color w:val="000000"/>
          <w:sz w:val="20"/>
        </w:rPr>
        <w:t>” means (a) all data held or controlled by the Business Companies, (b) all Transferred Data and (c) all Transferred IT Assets.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Business Owned Intellectual Property</w:t>
      </w:r>
      <w:r>
        <w:rPr>
          <w:rFonts w:ascii="Times New Roman" w:hAnsi="Times New Roman"/>
          <w:color w:val="000000"/>
          <w:sz w:val="20"/>
        </w:rPr>
        <w:t>” means (a) the Intellectual Property owned by the Business Companies (the “</w:t>
      </w:r>
      <w:r>
        <w:rPr>
          <w:rFonts w:ascii="Times New Roman" w:hAnsi="Times New Roman"/>
          <w:color w:val="000000"/>
          <w:sz w:val="20"/>
          <w:u w:val="single"/>
        </w:rPr>
        <w:t>Business Company-Owned Intellectual Property</w:t>
      </w:r>
      <w:r>
        <w:rPr>
          <w:rFonts w:ascii="Times New Roman" w:hAnsi="Times New Roman"/>
          <w:color w:val="000000"/>
          <w:sz w:val="20"/>
        </w:rPr>
        <w:t>”) and (b) the Transferred Intellectual Property Assets.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Business Material Adverse Effect</w:t>
      </w:r>
      <w:r>
        <w:rPr>
          <w:rFonts w:ascii="Times New Roman" w:hAnsi="Times New Roman"/>
          <w:color w:val="000000"/>
          <w:sz w:val="20"/>
        </w:rPr>
        <w:t xml:space="preserve">” means any Effect that, individually or in the aggregate, has had or would reasonably be expected to have a material adverse effect on the business, results of operations or financial condition of the Business, taken as a whole;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in no event will any Effect constitute, or be taken into account in determining, whether a Business Material Adverse Effect has occurred or would reasonably be expected to occur if such Effect relates to, arises out of or results from the following: (a) changes in general economic, legal, Tax, regulatory, political or business conditions in the United States or elsewhere in the world; (b) changes in the credit, debt, financial or capital markets or changes in interest or exchange rates, in each case, in the United States or elsewhere in the world; (c) changes in conditions generally affecting any of the industries in which the Business operates; (d) any outbreak or escalation of any military conflict, declared or undeclared war, armed hostilities, cyberattacks, acts of foreign or domestic terrorism, or civil unrest; (e) any hurricane, flood, tornado, earthquake, or other natural disaster, act of God, weather-related events, force-majeure events, or other comparable events; (f) changes or proposed changes in Law or GAAP or in the interpretation or enforcement thereof; (g) any epidemics, pandemics, disease or other public health emergency or any action or response from any Governmental Entity in response to any of the foregoing; (h) any failure by the Business to meet any internal or external estimates, expectations, budgets, projections or forecasts (</w:t>
      </w:r>
      <w:r>
        <w:rPr>
          <w:rFonts w:ascii="Times New Roman" w:hAnsi="Times New Roman"/>
          <w:color w:val="000000"/>
          <w:sz w:val="20"/>
          <w:u w:val="single"/>
        </w:rPr>
        <w:t>provided</w:t>
      </w:r>
      <w:r>
        <w:rPr>
          <w:rFonts w:ascii="Times New Roman" w:hAnsi="Times New Roman"/>
          <w:color w:val="000000"/>
          <w:sz w:val="20"/>
        </w:rPr>
        <w:t xml:space="preserve"> that this clause (h) shall not be construed as implying that Seller is making any representation or warranty hereunder with respect to any internal or external estimates, expectations, budgets, projections or forecasts), it being understood that the facts or occurrences giving rise or contributing to such failure, to the extent not otherwise excluded by another clause of this definition, may be taken into account in determining whether there has been a Business Material Adverse Effect; (i) the public announcement, pendency or consummation of the transactions contemplated hereby or the identity of Buyer, including actions of competitors, customers, suppliers, licensors, licensees or unions, works councils or other labor organizations, or losses of employees of Seller and its Affiliates in connection therewith; (j) (i) any action taken by Seller or its Affiliates (A) pursuant to this Agreement or (B) at the request or with the consent of Buyer or (ii) the failure by Seller or any of its Affiliates to take any action (A) prohibited by this Agreement, (B) at the request or with the consent of Buyer or (C) where Buyer withheld its consent to the request of Seller or its Affiliates; (k) any breach by Buyer of this Agreement or (l) any matter set forth in the Disclosure Schedule;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any such Effect referred to in </w:t>
      </w:r>
      <w:r>
        <w:rPr>
          <w:rFonts w:ascii="Times New Roman" w:hAnsi="Times New Roman"/>
          <w:color w:val="000000"/>
          <w:sz w:val="20"/>
          <w:u w:val="single"/>
        </w:rPr>
        <w:t>clauses (a)</w:t>
      </w:r>
      <w:r>
        <w:rPr>
          <w:rFonts w:ascii="Times New Roman" w:hAnsi="Times New Roman"/>
          <w:color w:val="000000"/>
          <w:sz w:val="20"/>
        </w:rPr>
        <w:t xml:space="preserve"> through </w:t>
      </w:r>
      <w:r>
        <w:rPr>
          <w:rFonts w:ascii="Times New Roman" w:hAnsi="Times New Roman"/>
          <w:color w:val="000000"/>
          <w:sz w:val="20"/>
          <w:u w:val="single"/>
        </w:rPr>
        <w:t>(g)</w:t>
      </w:r>
      <w:r>
        <w:rPr>
          <w:rFonts w:ascii="Times New Roman" w:hAnsi="Times New Roman"/>
          <w:color w:val="000000"/>
          <w:sz w:val="20"/>
        </w:rPr>
        <w:t xml:space="preserve"> of the foregoing proviso may be taken into account in determining whether a Business Material Adverse Effect has occurred or would reasonably be expected to occur to the extent that such Effect has had a disproportionate impact on the Business compared to other businesses that operate in the industries in which the Business operates (in which case only the disproportionate impact may be taken into account).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Business Portion</w:t>
      </w:r>
      <w:r>
        <w:rPr>
          <w:rFonts w:ascii="Times New Roman" w:hAnsi="Times New Roman"/>
          <w:color w:val="000000"/>
          <w:sz w:val="20"/>
        </w:rPr>
        <w:t>” means that portion of rights, benefits and obligations under any Shared Contract that relates to the Business or the Transferred Assets.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Business Real Property</w:t>
      </w:r>
      <w:r>
        <w:rPr>
          <w:rFonts w:ascii="Times New Roman" w:hAnsi="Times New Roman"/>
          <w:color w:val="000000"/>
          <w:sz w:val="20"/>
        </w:rPr>
        <w:t>” means all real property owned or leased from third parties by the Business Companies or included in the Transferred Assets.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Business Subsidiaries</w:t>
      </w:r>
      <w:r>
        <w:rPr>
          <w:rFonts w:ascii="Times New Roman" w:hAnsi="Times New Roman"/>
          <w:color w:val="000000"/>
          <w:sz w:val="20"/>
        </w:rPr>
        <w:t>” means the Subsidiaries of the Transferred Companies.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Buyer Fees and Expenses</w:t>
      </w:r>
      <w:r>
        <w:rPr>
          <w:rFonts w:ascii="Times New Roman" w:hAnsi="Times New Roman"/>
          <w:color w:val="000000"/>
          <w:sz w:val="20"/>
        </w:rPr>
        <w:t>” means, collectively, any fees or expenses (a) incurred by, at the direction of or on behalf of Buyer in connection with this Agreement or the transactions contemplated hereby (for the avoidance of doubt, including any fees or expenses arising in connection with any transaction engaged in by any Business Company in connection with the Closing at the direction of Buyer or any of its Affiliates, including any transaction engaged in by any Business Company in connection with any financing of any obligations of Buyer, the Transferred Companies or any of their Subsidiaries to make a payment under this Agreement and any equity, debt or other financing to Buyer or its Affiliates) or (b) specified in this Agreement to be incurred at the cost or expense of Buyer or any of its Affiliates, including by reimbursement obligation.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Buyer Parties</w:t>
      </w:r>
      <w:r>
        <w:rPr>
          <w:rFonts w:ascii="Times New Roman" w:hAnsi="Times New Roman"/>
          <w:color w:val="000000"/>
          <w:sz w:val="20"/>
        </w:rPr>
        <w:t>” means, collectively, Buyer and any of its former, current or future Affiliates, Representatives, general or limited partners, managers, members, equityholders, successors or assignees or any former, current or future Affiliate, Representative, general or limited partner, manager, member, equityholder, successor or assignee of any of the foregoing.</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Cash and Cash Equivalents</w:t>
      </w:r>
      <w:r>
        <w:rPr>
          <w:rFonts w:ascii="Times New Roman" w:hAnsi="Times New Roman"/>
          <w:color w:val="000000"/>
          <w:sz w:val="20"/>
        </w:rPr>
        <w:t>” means cash and cash equivalents (including bank account balances, all accrued interest thereon and marketable securities), determined in accordance with the Accounting Rules (including the amounts of any received but uncleared check and wire issued and any deposit in transit prior to the applicable measurement time, less the amounts of any issued but uncleared check or wire issued prior to the applicable measurement time).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Change of Control</w:t>
      </w:r>
      <w:r>
        <w:rPr>
          <w:rFonts w:ascii="Times New Roman" w:hAnsi="Times New Roman"/>
          <w:color w:val="000000"/>
          <w:sz w:val="20"/>
        </w:rPr>
        <w:t>” means, with respect to Buyer, any transaction or series of related transactions as a result of which:</w:t>
      </w:r>
    </w:p>
    <w:p>
      <w:pPr>
        <w:pStyle w:val="TextBody"/>
        <w:bidi w:val="0"/>
        <w:spacing w:before="0" w:after="0"/>
        <w:jc w:val="left"/>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(a) any Person or Group acquires, directly or indirectly, beneficial ownership of more than fifty percent (50%) of the combined voting power or economic interests of Buyer;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(b) individuals constituting a majority of the board of directors of Buyer as of the date hereof cease to constitute at least a majority thereof (other than as a result of elections approved by the board of directors of Buyer); or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(c) any Person or Group acquires, directly or indirectly, the power to direct or cause the direction of the management and policies of Buyer, whether through ownership of voting securities, by contract or otherwise;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each case, other than in connection with an Excluded Transaction. For purposes of this definition, “Group” has the meaning ascribed to the term “group” in Section 13(d) of the Exchange Act.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Closing Date Cash</w:t>
      </w:r>
      <w:r>
        <w:rPr>
          <w:rFonts w:ascii="Times New Roman" w:hAnsi="Times New Roman"/>
          <w:color w:val="000000"/>
          <w:sz w:val="20"/>
        </w:rPr>
        <w:t>” means all Cash and Cash Equivalents of the Business Companies, calculated as of the Reference Time, in each case reduced by any cash and cash equivalents used by any Business Company after the Reference Time and prior to the Closing to pay (and actually reduce on a dollar for dollar basis) any Closing Date Indebtedness or Transaction Expenses or to pay any dividend or distribution to any Seller Entity.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Closing Date Indebtedness</w:t>
      </w:r>
      <w:r>
        <w:rPr>
          <w:rFonts w:ascii="Times New Roman" w:hAnsi="Times New Roman"/>
          <w:color w:val="000000"/>
          <w:sz w:val="20"/>
        </w:rPr>
        <w:t>” means the aggregate amount of Indebtedness of the Business Companies outstanding as of immediately prior to the Closing, determined in accordance with the Accounting Rules. For the avoidance of doubt, Closing Date Indebtedness shall not include any Indebtedness incurred by, on behalf of or at the direction of Buyer or any of its Affiliates.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Closing Date Working Capital</w:t>
      </w:r>
      <w:r>
        <w:rPr>
          <w:rFonts w:ascii="Times New Roman" w:hAnsi="Times New Roman"/>
          <w:color w:val="000000"/>
          <w:sz w:val="20"/>
        </w:rPr>
        <w:t>” means the Working Capital calculated as of the Reference Time and determined in accordance with the Accounting Rules.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Code</w:t>
      </w:r>
      <w:r>
        <w:rPr>
          <w:rFonts w:ascii="Times New Roman" w:hAnsi="Times New Roman"/>
          <w:color w:val="000000"/>
          <w:sz w:val="20"/>
        </w:rPr>
        <w:t>” means the U.S. Internal Revenue Code of 1986.</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Confidential Information</w:t>
      </w:r>
      <w:r>
        <w:rPr>
          <w:rFonts w:ascii="Times New Roman" w:hAnsi="Times New Roman"/>
          <w:color w:val="000000"/>
          <w:sz w:val="20"/>
        </w:rPr>
        <w:t xml:space="preserve">” means (a) with respect to Seller, all information relating to Seller, its Affiliates or their respective businesses (other than information to the extent relating to the Business or the Transferred Assets, or the transactions contemplated hereby) including any technical, scientific, trade secret or other proprietary information with respect to Seller or its Affiliates provided to Buyer or its Affiliates or its or their respective representatives, whether before, on or after the date of this Agreement, and regardless of whether such information is in written or electronic form or otherwise and (b) with respect to Buyer, all information and data to the extent relating to the Business, the Transferred Assets, or the transactions contemplated hereby, including any technical, scientific, trade secret or other proprietary information with respect to Buyer or its Affiliates provided to Seller or its Affiliates or its or their respective representatives, whether before, on or after the date of this Agreement, and regardless of whether such information is in written or electronic form or otherwise. “Confidential Information” shall not include any information which: (i) is or becomes publicly known or publicly available without any violation of the provisions of </w:t>
      </w:r>
      <w:r>
        <w:rPr>
          <w:rFonts w:ascii="Times New Roman" w:hAnsi="Times New Roman"/>
          <w:color w:val="000000"/>
          <w:sz w:val="20"/>
          <w:u w:val="single"/>
        </w:rPr>
        <w:t>Section 5.04</w:t>
      </w:r>
      <w:r>
        <w:rPr>
          <w:rFonts w:ascii="Times New Roman" w:hAnsi="Times New Roman"/>
          <w:color w:val="000000"/>
          <w:sz w:val="20"/>
        </w:rPr>
        <w:t xml:space="preserve"> or any other confidentiality obligation by a Party, its Affiliates or any of its or their representatives; (ii) becomes lawfully available to a Party, its Affiliates or any of its or their representatives on a non-confidential basis from a source other than the other Party or any of its Affiliates, which source is not under any obligation of confidentiality with respect to such information; (iii) was already known to a Party, its Affiliates or any of its or their representatives, other than under an obligation of confidentiality with respect to such information; or (iv) is subsequently independently discovered or developed by a Party without the aid, application or use of Confidential Information.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Confidentiality Agreement</w:t>
      </w:r>
      <w:r>
        <w:rPr>
          <w:rFonts w:ascii="Times New Roman" w:hAnsi="Times New Roman"/>
          <w:color w:val="000000"/>
          <w:sz w:val="20"/>
        </w:rPr>
        <w:t>” means that certain Confidentiality Agreement, dated as of May 19, 2026, by and between Buyer or an Affiliate thereof and Seller.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Consolidated Income Taxes</w:t>
      </w:r>
      <w:r>
        <w:rPr>
          <w:rFonts w:ascii="Times New Roman" w:hAnsi="Times New Roman"/>
          <w:color w:val="000000"/>
          <w:sz w:val="20"/>
        </w:rPr>
        <w:t>” means all federal, state, local or foreign Income Taxes that are paid on an affiliated, consolidated, combined, unitary or similar basis with respect to Tax Returns that include any Business Company, on the one hand, and any Seller Entity, on the other hand.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Consolidated Tax Returns</w:t>
      </w:r>
      <w:r>
        <w:rPr>
          <w:rFonts w:ascii="Times New Roman" w:hAnsi="Times New Roman"/>
          <w:color w:val="000000"/>
          <w:sz w:val="20"/>
        </w:rPr>
        <w:t>” means any Tax Return with respect to Consolidated Income Taxes.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Continuing Employee</w:t>
      </w:r>
      <w:r>
        <w:rPr>
          <w:rFonts w:ascii="Times New Roman" w:hAnsi="Times New Roman"/>
          <w:color w:val="000000"/>
          <w:sz w:val="20"/>
        </w:rPr>
        <w:t>” means each Business Employee (a) who is employed by any Business Company as of immediately prior to the Closing and becomes an employee of Buyer or any of its Affiliates (including, following the Closing, any Business Company) pursuant to the Share Sale, (b) who is an International Business Employee who transfers to Buyer or any of its Affiliates pursuant to the applicable Transfer Regulations or (c) who accepts an offer of employment from Buyer or its Affiliates and commences employment with Buyer or its Affiliates upon or after the Closing.</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Contract</w:t>
      </w:r>
      <w:r>
        <w:rPr>
          <w:rFonts w:ascii="Times New Roman" w:hAnsi="Times New Roman"/>
          <w:color w:val="000000"/>
          <w:sz w:val="20"/>
        </w:rPr>
        <w:t>” means any contract, agreement, indenture, note, bond, loan, lease, sublease, mortgage or similar legally binding arrangement.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control</w:t>
      </w:r>
      <w:r>
        <w:rPr>
          <w:rFonts w:ascii="Times New Roman" w:hAnsi="Times New Roman"/>
          <w:color w:val="000000"/>
          <w:sz w:val="20"/>
        </w:rPr>
        <w:t>” means, as to any Person, the power to direct or cause the direction of the management and policies of such Person, whether through the ownership of voting securities, by Contract or otherwise. The term “</w:t>
      </w:r>
      <w:r>
        <w:rPr>
          <w:rFonts w:ascii="Times New Roman" w:hAnsi="Times New Roman"/>
          <w:color w:val="000000"/>
          <w:sz w:val="20"/>
          <w:u w:val="single"/>
        </w:rPr>
        <w:t>controlled</w:t>
      </w:r>
      <w:r>
        <w:rPr>
          <w:rFonts w:ascii="Times New Roman" w:hAnsi="Times New Roman"/>
          <w:color w:val="000000"/>
          <w:sz w:val="20"/>
        </w:rPr>
        <w:t>” shall have a correlative meaning.</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Current Assets</w:t>
      </w:r>
      <w:r>
        <w:rPr>
          <w:rFonts w:ascii="Times New Roman" w:hAnsi="Times New Roman"/>
          <w:color w:val="000000"/>
          <w:sz w:val="20"/>
        </w:rPr>
        <w:t>” means, as of any time of determination, the current assets of the Business Companies or included in the Transferred Assets, determined in accordance with the Accounting Rules, which current assets shall include only the line items and adjustments set forth on </w:t>
      </w:r>
      <w:r>
        <w:rPr>
          <w:rFonts w:ascii="Times New Roman" w:hAnsi="Times New Roman"/>
          <w:color w:val="000000"/>
          <w:sz w:val="20"/>
          <w:u w:val="single"/>
        </w:rPr>
        <w:t>Exhibit C</w:t>
      </w:r>
      <w:r>
        <w:rPr>
          <w:rFonts w:ascii="Times New Roman" w:hAnsi="Times New Roman"/>
          <w:color w:val="000000"/>
          <w:sz w:val="20"/>
        </w:rPr>
        <w:t xml:space="preserve"> under the heading “Current Assets” and no other assets. For the avoidance of doubt, Current Assets shall exclude Excluded Assets and all Closing Date Cash.</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Current Liabilities</w:t>
      </w:r>
      <w:r>
        <w:rPr>
          <w:rFonts w:ascii="Times New Roman" w:hAnsi="Times New Roman"/>
          <w:color w:val="000000"/>
          <w:sz w:val="20"/>
        </w:rPr>
        <w:t xml:space="preserve">” means, as of any time of determination, the current liabilities of the Business Companies or included in the Assumed Liabilities, determined in accordance with the Accounting Rules, which current liabilities shall include only the line items and adjustments set forth on </w:t>
      </w:r>
      <w:r>
        <w:rPr>
          <w:rFonts w:ascii="Times New Roman" w:hAnsi="Times New Roman"/>
          <w:color w:val="000000"/>
          <w:sz w:val="20"/>
          <w:u w:val="single"/>
        </w:rPr>
        <w:t>Exhibit C</w:t>
      </w:r>
      <w:r>
        <w:rPr>
          <w:rFonts w:ascii="Times New Roman" w:hAnsi="Times New Roman"/>
          <w:color w:val="000000"/>
          <w:sz w:val="20"/>
        </w:rPr>
        <w:t xml:space="preserve"> under the heading “Current Liabilities” and no other liabilities. For the avoidance of doubt, Current Liabilities shall exclude (a) all liabilities in respect of Indebtedness, Transaction Expenses and any Buyer Fees and Expenses and (b) any liabilities that would be Excluded Liabilities.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Disclosure Schedule</w:t>
      </w:r>
      <w:r>
        <w:rPr>
          <w:rFonts w:ascii="Times New Roman" w:hAnsi="Times New Roman"/>
          <w:color w:val="000000"/>
          <w:sz w:val="20"/>
        </w:rPr>
        <w:t>” means the disclosure schedule delivered by Seller to Buyer on the date hereof.</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Effect</w:t>
      </w:r>
      <w:r>
        <w:rPr>
          <w:rFonts w:ascii="Times New Roman" w:hAnsi="Times New Roman"/>
          <w:color w:val="000000"/>
          <w:sz w:val="20"/>
        </w:rPr>
        <w:t>” means any event, effect, change, occurrence or circumstance.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Environmental Claim</w:t>
      </w:r>
      <w:r>
        <w:rPr>
          <w:rFonts w:ascii="Times New Roman" w:hAnsi="Times New Roman"/>
          <w:color w:val="000000"/>
          <w:sz w:val="20"/>
        </w:rPr>
        <w:t>” means any Action alleging liability under Environmental Law arising out of or relating to (a) the Release of any Hazardous Substance prior to the Closing Date at any Business Real Property or (b) any violation of Environmental Law by the Business Companies prior to the Closing Date.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Equipment</w:t>
      </w:r>
      <w:r>
        <w:rPr>
          <w:rFonts w:ascii="Times New Roman" w:hAnsi="Times New Roman"/>
          <w:color w:val="000000"/>
          <w:sz w:val="20"/>
        </w:rPr>
        <w:t>” means machinery, manufacturing and production equipment, laboratory equipment, clean-room equipment, test, calibration, inspection and metrology equipment, tooling, molds, dies and fixtures, furniture, computers, electronics, supplies and other interests in tangible personal property, excluding in all cases any Intellectual Property to the extent embodied in or connected to any of the foregoing items.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Equity Securities</w:t>
      </w:r>
      <w:r>
        <w:rPr>
          <w:rFonts w:ascii="Times New Roman" w:hAnsi="Times New Roman"/>
          <w:color w:val="000000"/>
          <w:sz w:val="20"/>
        </w:rPr>
        <w:t>” means, with respect to any Person, any (a) shares of capital stock, (b) equity securities or (c) equity, ownership, voting, membership, partnership, profit or participation interests.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ERISA Affiliate</w:t>
      </w:r>
      <w:r>
        <w:rPr>
          <w:rFonts w:ascii="Times New Roman" w:hAnsi="Times New Roman"/>
          <w:color w:val="000000"/>
          <w:sz w:val="20"/>
        </w:rPr>
        <w:t>” means any Person that, together with any Business Company, is or was at any time treated as a single employer under Section 414 of the Code or Section 4001 of ERISA and the regulations thereunder.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Exchange Act</w:t>
      </w:r>
      <w:r>
        <w:rPr>
          <w:rFonts w:ascii="Times New Roman" w:hAnsi="Times New Roman"/>
          <w:color w:val="000000"/>
          <w:sz w:val="20"/>
        </w:rPr>
        <w:t>” means the Securities Exchange Act of 1934.</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Excluded Domain Names</w:t>
      </w:r>
      <w:r>
        <w:rPr>
          <w:rFonts w:ascii="Times New Roman" w:hAnsi="Times New Roman"/>
          <w:color w:val="000000"/>
          <w:sz w:val="20"/>
        </w:rPr>
        <w:t xml:space="preserve">” means the Internet domain names set forth on </w:t>
      </w:r>
      <w:r>
        <w:rPr>
          <w:rFonts w:ascii="Times New Roman" w:hAnsi="Times New Roman"/>
          <w:color w:val="000000"/>
          <w:sz w:val="20"/>
          <w:u w:val="single"/>
        </w:rPr>
        <w:t>Section 1.01(c)(i)</w:t>
      </w:r>
      <w:r>
        <w:rPr>
          <w:rFonts w:ascii="Times New Roman" w:hAnsi="Times New Roman"/>
          <w:color w:val="000000"/>
          <w:sz w:val="20"/>
        </w:rPr>
        <w:t xml:space="preserve"> of the Disclosure Schedule.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Excluded Marks</w:t>
      </w:r>
      <w:r>
        <w:rPr>
          <w:rFonts w:ascii="Times New Roman" w:hAnsi="Times New Roman"/>
          <w:color w:val="000000"/>
          <w:sz w:val="20"/>
        </w:rPr>
        <w:t xml:space="preserve">” means the Trademarks set forth on </w:t>
      </w:r>
      <w:r>
        <w:rPr>
          <w:rFonts w:ascii="Times New Roman" w:hAnsi="Times New Roman"/>
          <w:color w:val="000000"/>
          <w:sz w:val="20"/>
          <w:u w:val="single"/>
        </w:rPr>
        <w:t>Section 1.01(c)(ii)</w:t>
      </w:r>
      <w:r>
        <w:rPr>
          <w:rFonts w:ascii="Times New Roman" w:hAnsi="Times New Roman"/>
          <w:color w:val="000000"/>
          <w:sz w:val="20"/>
        </w:rPr>
        <w:t xml:space="preserve"> of the Seller Disclosure Schedule.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Excluded Names</w:t>
      </w:r>
      <w:r>
        <w:rPr>
          <w:rFonts w:ascii="Times New Roman" w:hAnsi="Times New Roman"/>
          <w:color w:val="000000"/>
          <w:sz w:val="20"/>
        </w:rPr>
        <w:t>” means the Excluded Domain Names and Excluded Marks.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Excluded Transaction</w:t>
      </w:r>
      <w:r>
        <w:rPr>
          <w:rFonts w:ascii="Times New Roman" w:hAnsi="Times New Roman"/>
          <w:color w:val="000000"/>
          <w:sz w:val="20"/>
        </w:rPr>
        <w:t>” means (a) any merger, reorganization, or recapitalization solely among Buyer and one or more of its wholly owned Subsidiaries, (b) any transfer of equity interests in Buyer among existing equityholders of Buyer or (c) any transaction occurring pursuant to a plan of reorganization under applicable bankruptcy or insolvency Law.</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Final Closing Statement</w:t>
      </w:r>
      <w:r>
        <w:rPr>
          <w:rFonts w:ascii="Times New Roman" w:hAnsi="Times New Roman"/>
          <w:color w:val="000000"/>
          <w:sz w:val="20"/>
        </w:rPr>
        <w:t xml:space="preserve">” means (a) the Estimated Closing Statement, to the extent provided in </w:t>
      </w:r>
      <w:r>
        <w:rPr>
          <w:rFonts w:ascii="Times New Roman" w:hAnsi="Times New Roman"/>
          <w:color w:val="000000"/>
          <w:sz w:val="20"/>
          <w:u w:val="single"/>
        </w:rPr>
        <w:t>Section 2.09(a)(A)</w:t>
      </w:r>
      <w:r>
        <w:rPr>
          <w:rFonts w:ascii="Times New Roman" w:hAnsi="Times New Roman"/>
          <w:color w:val="000000"/>
          <w:sz w:val="20"/>
        </w:rPr>
        <w:t xml:space="preserve"> or (b) the Post-Closing Statement (including any modifications thereto) to the extent provided in </w:t>
      </w:r>
      <w:r>
        <w:rPr>
          <w:rFonts w:ascii="Times New Roman" w:hAnsi="Times New Roman"/>
          <w:color w:val="000000"/>
          <w:sz w:val="20"/>
          <w:u w:val="single"/>
        </w:rPr>
        <w:t>Section 2.09(d)</w:t>
      </w:r>
      <w:r>
        <w:rPr>
          <w:rFonts w:ascii="Times New Roman" w:hAnsi="Times New Roman"/>
          <w:color w:val="000000"/>
          <w:sz w:val="20"/>
        </w:rPr>
        <w:t xml:space="preserve"> or </w:t>
      </w:r>
      <w:r>
        <w:rPr>
          <w:rFonts w:ascii="Times New Roman" w:hAnsi="Times New Roman"/>
          <w:color w:val="000000"/>
          <w:sz w:val="20"/>
          <w:u w:val="single"/>
        </w:rPr>
        <w:t>(e)</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Fraud</w:t>
      </w:r>
      <w:r>
        <w:rPr>
          <w:rFonts w:ascii="Times New Roman" w:hAnsi="Times New Roman"/>
          <w:color w:val="000000"/>
          <w:sz w:val="20"/>
        </w:rPr>
        <w:t xml:space="preserve">” means, with respect to any Party, actual and intentional fraud by such Party with respect to the making of its representations or warranties expressly set forth in this Agreement; </w:t>
      </w:r>
      <w:r>
        <w:rPr>
          <w:rFonts w:ascii="Times New Roman" w:hAnsi="Times New Roman"/>
          <w:color w:val="000000"/>
          <w:sz w:val="20"/>
          <w:u w:val="single"/>
        </w:rPr>
        <w:t>provided</w:t>
      </w:r>
      <w:r>
        <w:rPr>
          <w:rFonts w:ascii="Times New Roman" w:hAnsi="Times New Roman"/>
          <w:color w:val="000000"/>
          <w:sz w:val="20"/>
        </w:rPr>
        <w:t>, that actual and intentional fraud will be deemed to exist only if: (a) such Party made the applicable representation or warranty having actual knowledge that such representation or warranty was inaccurate when made; (b) such Party made such inaccurate representation or warranty with the express intent to induce the other Party to rely upon the inaccuracy; (c) such reliance by such other Party actually occurred and was justifiable; and (d) such action or inaction resulted in Losses to such other Party. For the avoidance of doubt, Fraud does not include (i) constructive fraud or other similar fraud claims based on constructive knowledge or any similar theory or (ii) equitable fraud, promissory fraud, unfair dealings fraud or any other tort (including fraud) based on negligence or recklessness or any similar theory.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GAAP</w:t>
      </w:r>
      <w:r>
        <w:rPr>
          <w:rFonts w:ascii="Times New Roman" w:hAnsi="Times New Roman"/>
          <w:color w:val="000000"/>
          <w:sz w:val="20"/>
        </w:rPr>
        <w:t>” means United States generally accepted accounting principles and practices, consistently applied.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Governmental Entity</w:t>
      </w:r>
      <w:r>
        <w:rPr>
          <w:rFonts w:ascii="Times New Roman" w:hAnsi="Times New Roman"/>
          <w:color w:val="000000"/>
          <w:sz w:val="20"/>
        </w:rPr>
        <w:t>” means any United States or foreign (a) federal, state, local, municipal or other government, (b) governmental or quasi-governmental entity (including any governmental agency, branch, department, official instrumentality and any court or other tribunal) and (c) any administrative, executive, judicial, legislative, police, regulatory, or taxing authority or any arbitral tribunal of any of the foregoing.</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Governmental Official</w:t>
      </w:r>
      <w:r>
        <w:rPr>
          <w:rFonts w:ascii="Times New Roman" w:hAnsi="Times New Roman"/>
          <w:color w:val="000000"/>
          <w:sz w:val="20"/>
        </w:rPr>
        <w:t>” means any officer, director or employee of any Governmental Entity.</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Governmental Order</w:t>
      </w:r>
      <w:r>
        <w:rPr>
          <w:rFonts w:ascii="Times New Roman" w:hAnsi="Times New Roman"/>
          <w:color w:val="000000"/>
          <w:sz w:val="20"/>
        </w:rPr>
        <w:t>” means any decision, ruling, order, writ, judgment, injunction, decree, stipulation, determination or award entered by or with any Governmental Entity.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Income Taxes</w:t>
      </w:r>
      <w:r>
        <w:rPr>
          <w:rFonts w:ascii="Times New Roman" w:hAnsi="Times New Roman"/>
          <w:color w:val="000000"/>
          <w:sz w:val="20"/>
        </w:rPr>
        <w:t>” means all Taxes based on, measured by, or calculated with respect to net income or profits (or branch profits) or other measures similar to net income or profits (or branch profits).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Indebtedness</w:t>
      </w:r>
      <w:r>
        <w:rPr>
          <w:rFonts w:ascii="Times New Roman" w:hAnsi="Times New Roman"/>
          <w:color w:val="000000"/>
          <w:sz w:val="20"/>
        </w:rPr>
        <w:t>” means, with respect to any Person, without duplication, (a) all obligations of such Person for borrowed money, or with respect to deposits or advances of any kind to such Person, including related prepayment fees, final fees or other similar fees, (b) all obligations of such Person evidenced by bonds, debentures, notes or similar instruments, (c) all capitalized lease obligations of such Person, (d) all obligations of such Person pursuant to securitization or factoring programs or arrangements, (e) all guarantees and arrangements having the economic effect of a guarantee of such Person of any debt of any other Person (other than any guarantee by a Party with respect to debt of such Party or any wholly owned Subsidiary of such Party), (f) net cash payment obligations of such Person under swaps, options, derivatives and other hedging agreements or arrangements that will be payable upon termination thereof (assuming they were terminated on the date of determination), (g) letters of credit, bank guarantees, and other similar contractual obligations entered into by or on behalf of such Person, in each case, to the extent drawn upon or called, (h) obligations in respect of banker’s acceptances, to the extent drawn upon or called, (i) obligations representing the balance deferred and unpaid of the purchase price of any property or services due more than one year after such property is acquired or such services are completed and (j) any Accrued Income Taxes.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Intellectual Property</w:t>
      </w:r>
      <w:r>
        <w:rPr>
          <w:rFonts w:ascii="Times New Roman" w:hAnsi="Times New Roman"/>
          <w:color w:val="000000"/>
          <w:sz w:val="20"/>
        </w:rPr>
        <w:t>” means all rights, title and interest in intellectual property, whether protected, created or arising under the Law of the United States or any other jurisdiction, including: (a) all patents, patent applications, provisional patent applications and similar instruments (including any and all substitutions, continuations, continuations-in-part, divisions, reissues, renewals, and extensions and any foreign equivalents of the foregoing (including certificates of invention and any applications therefor)) (collectively, “</w:t>
      </w:r>
      <w:r>
        <w:rPr>
          <w:rFonts w:ascii="Times New Roman" w:hAnsi="Times New Roman"/>
          <w:color w:val="000000"/>
          <w:sz w:val="20"/>
          <w:u w:val="single"/>
        </w:rPr>
        <w:t>Patents</w:t>
      </w:r>
      <w:r>
        <w:rPr>
          <w:rFonts w:ascii="Times New Roman" w:hAnsi="Times New Roman"/>
          <w:color w:val="000000"/>
          <w:sz w:val="20"/>
        </w:rPr>
        <w:t>”), (b) all domestic and foreign copyrights, copyright registrations, copyright applications, original works of authorship fixed in any tangible medium of expression to the extent protectable by applicable copyright Law, including literary works, all forms and types of Software, pictorial and graphic works that are so protectable (collectively, “</w:t>
      </w:r>
      <w:r>
        <w:rPr>
          <w:rFonts w:ascii="Times New Roman" w:hAnsi="Times New Roman"/>
          <w:color w:val="000000"/>
          <w:sz w:val="20"/>
          <w:u w:val="single"/>
        </w:rPr>
        <w:t>Copyrights</w:t>
      </w:r>
      <w:r>
        <w:rPr>
          <w:rFonts w:ascii="Times New Roman" w:hAnsi="Times New Roman"/>
          <w:color w:val="000000"/>
          <w:sz w:val="20"/>
        </w:rPr>
        <w:t>”), (c) all trademarks, service marks, trade names, business marks, service names, brand names, trade dress rights, logos, corporate names, trade styles, and other source or business identifiers and other general intangibles of a like nature to the extent protectable by applicable trademark law, together with the goodwill associated with any of the foregoing, along with all applications, registrations, renewals and extensions thereof (collectively, “</w:t>
      </w:r>
      <w:r>
        <w:rPr>
          <w:rFonts w:ascii="Times New Roman" w:hAnsi="Times New Roman"/>
          <w:color w:val="000000"/>
          <w:sz w:val="20"/>
          <w:u w:val="single"/>
        </w:rPr>
        <w:t>Trademarks</w:t>
      </w:r>
      <w:r>
        <w:rPr>
          <w:rFonts w:ascii="Times New Roman" w:hAnsi="Times New Roman"/>
          <w:color w:val="000000"/>
          <w:sz w:val="20"/>
        </w:rPr>
        <w:t>”), (d) all Internet domain names and Social Media Accounts, (e) all trade secrets, technology, discoveries, improvements, know-how, proprietary rights, formulae, techniques, inventions (including conceptions and/or reductions to practice), designs, drawings, procedures, processes, models, formulations, manuals and systems, whether or not patentable or copyrightable, including all biological, chemical, biochemical, toxicological, pharmacological and metabolic material, in each case, which are not available in the public domain and have actual or potential commercial value that is derived, in whole or in part, from such non-availability (collectively, “</w:t>
      </w:r>
      <w:r>
        <w:rPr>
          <w:rFonts w:ascii="Times New Roman" w:hAnsi="Times New Roman"/>
          <w:color w:val="000000"/>
          <w:sz w:val="20"/>
          <w:u w:val="single"/>
        </w:rPr>
        <w:t>Trade Secrets</w:t>
      </w:r>
      <w:r>
        <w:rPr>
          <w:rFonts w:ascii="Times New Roman" w:hAnsi="Times New Roman"/>
          <w:color w:val="000000"/>
          <w:sz w:val="20"/>
        </w:rPr>
        <w:t>”) and (f) all other intellectual property rights throughout the world, along with all rights to prosecute and perfect the same through administrative prosecution, registration, recordation or other administrative proceeding, and all causes of action and rights to sue or seek other remedies arising from or relating to the foregoing. For clarity, Intellectual Property shall not include rights, title and interest in registrations of intellectual property rights or applications for such registrations to the extent such registrations or applications have been denoted by a Governmental Entity as expired, lapsed or abandoned.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International Business Employee</w:t>
      </w:r>
      <w:r>
        <w:rPr>
          <w:rFonts w:ascii="Times New Roman" w:hAnsi="Times New Roman"/>
          <w:color w:val="000000"/>
          <w:sz w:val="20"/>
        </w:rPr>
        <w:t>” means any Business Employee primarily employed outside of the United States.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Intracompany Payables</w:t>
      </w:r>
      <w:r>
        <w:rPr>
          <w:rFonts w:ascii="Times New Roman" w:hAnsi="Times New Roman"/>
          <w:color w:val="000000"/>
          <w:sz w:val="20"/>
        </w:rPr>
        <w:t>” means all account, note or loan payables recorded on the books of Seller or any Seller Entity for goods or services purchased by or provided to the Business, or advances (cash or otherwise) or any other extensions of credit to the Business from Seller or any Seller Entity, whether current or non-current.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Intracompany Receivables</w:t>
      </w:r>
      <w:r>
        <w:rPr>
          <w:rFonts w:ascii="Times New Roman" w:hAnsi="Times New Roman"/>
          <w:color w:val="000000"/>
          <w:sz w:val="20"/>
        </w:rPr>
        <w:t>” means all account, note or loan receivables recorded on the books of Seller or any Seller Entity for goods or services sold or provided by the Business to Seller or any Seller Entity or advances (cash or otherwise) or any other extensions of credit made by the Business to Seller or any Seller Entity, whether current or non-current.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IP Assignment</w:t>
      </w:r>
      <w:r>
        <w:rPr>
          <w:rFonts w:ascii="Times New Roman" w:hAnsi="Times New Roman"/>
          <w:color w:val="000000"/>
          <w:sz w:val="20"/>
        </w:rPr>
        <w:t xml:space="preserve">” means the assignment to Buyer or its designated Affiliate of the Registered Intellectual Property Assets, substantially in the form of </w:t>
      </w:r>
      <w:r>
        <w:rPr>
          <w:rFonts w:ascii="Times New Roman" w:hAnsi="Times New Roman"/>
          <w:color w:val="000000"/>
          <w:sz w:val="20"/>
          <w:u w:val="single"/>
        </w:rPr>
        <w:t>Exhibit D-1</w:t>
      </w:r>
      <w:r>
        <w:rPr>
          <w:rFonts w:ascii="Times New Roman" w:hAnsi="Times New Roman"/>
          <w:color w:val="000000"/>
          <w:sz w:val="20"/>
        </w:rPr>
        <w:t xml:space="preserve"> (with respect to Patents) and </w:t>
      </w:r>
      <w:r>
        <w:rPr>
          <w:rFonts w:ascii="Times New Roman" w:hAnsi="Times New Roman"/>
          <w:color w:val="000000"/>
          <w:sz w:val="20"/>
          <w:u w:val="single"/>
        </w:rPr>
        <w:t>Exhibit D-2</w:t>
      </w:r>
      <w:r>
        <w:rPr>
          <w:rFonts w:ascii="Times New Roman" w:hAnsi="Times New Roman"/>
          <w:color w:val="000000"/>
          <w:sz w:val="20"/>
        </w:rPr>
        <w:t xml:space="preserve"> (with respect to Trademarks), to be entered into between Seller and Buyer (or their respective applicable Affiliates).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IRS</w:t>
      </w:r>
      <w:r>
        <w:rPr>
          <w:rFonts w:ascii="Times New Roman" w:hAnsi="Times New Roman"/>
          <w:color w:val="000000"/>
          <w:sz w:val="20"/>
        </w:rPr>
        <w:t>” means the United States Internal Revenue Service.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IT Assets</w:t>
      </w:r>
      <w:r>
        <w:rPr>
          <w:rFonts w:ascii="Times New Roman" w:hAnsi="Times New Roman"/>
          <w:color w:val="000000"/>
          <w:sz w:val="20"/>
        </w:rPr>
        <w:t>” means computers, Software, firmware, middleware, servers, workstations, routers, hubs, switches, data communications lines and all other information technology equipment.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knowledge</w:t>
      </w:r>
      <w:r>
        <w:rPr>
          <w:rFonts w:ascii="Times New Roman" w:hAnsi="Times New Roman"/>
          <w:color w:val="000000"/>
          <w:sz w:val="20"/>
        </w:rPr>
        <w:t xml:space="preserve">” of any Person means, in the case of Seller, the actual knowledge of any of the Persons set forth on </w:t>
      </w:r>
      <w:r>
        <w:rPr>
          <w:rFonts w:ascii="Times New Roman" w:hAnsi="Times New Roman"/>
          <w:color w:val="000000"/>
          <w:sz w:val="20"/>
          <w:u w:val="single"/>
        </w:rPr>
        <w:t>Section 1.01(d)</w:t>
      </w:r>
      <w:r>
        <w:rPr>
          <w:rFonts w:ascii="Times New Roman" w:hAnsi="Times New Roman"/>
          <w:color w:val="000000"/>
          <w:sz w:val="20"/>
        </w:rPr>
        <w:t xml:space="preserve"> of the Disclosure Schedule after reasonable inquiry of the individuals who as of the date hereof are officers or employees of Seller or any of its Subsidiaries and who have primary responsibility for the matter in question and, in the case of Buyer, the actual knowledge of any of the Persons set forth on </w:t>
      </w:r>
      <w:r>
        <w:rPr>
          <w:rFonts w:ascii="Times New Roman" w:hAnsi="Times New Roman"/>
          <w:color w:val="000000"/>
          <w:sz w:val="20"/>
          <w:u w:val="single"/>
        </w:rPr>
        <w:t>Section 1.01(e)</w:t>
      </w:r>
      <w:r>
        <w:rPr>
          <w:rFonts w:ascii="Times New Roman" w:hAnsi="Times New Roman"/>
          <w:color w:val="000000"/>
          <w:sz w:val="20"/>
        </w:rPr>
        <w:t xml:space="preserve"> of the Disclosure Schedule after reasonable inquiry of the individuals who as of the date hereof are officers or employees of Buyer or any of its Subsidiaries and who have primary responsibility for the matter in question.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Law</w:t>
      </w:r>
      <w:r>
        <w:rPr>
          <w:rFonts w:ascii="Times New Roman" w:hAnsi="Times New Roman"/>
          <w:color w:val="000000"/>
          <w:sz w:val="20"/>
        </w:rPr>
        <w:t>” means any federal, state, local, county, regional, foreign or transnational law, statute, regulation, code, ordinance, common law, ruling, writ, award, zoning law, building code or decree of any Governmental Entity.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Liabilities</w:t>
      </w:r>
      <w:r>
        <w:rPr>
          <w:rFonts w:ascii="Times New Roman" w:hAnsi="Times New Roman"/>
          <w:color w:val="000000"/>
          <w:sz w:val="20"/>
        </w:rPr>
        <w:t>” means debts, liabilities and obligations (including guarantees and other forms of credit support), whether accrued or fixed, absolute or contingent, known or unknown, matured or unmatured, on- or off-balance sheet, including those arising under any Law or Action and those arising under any Contract or undertaking or otherwise.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Lien</w:t>
      </w:r>
      <w:r>
        <w:rPr>
          <w:rFonts w:ascii="Times New Roman" w:hAnsi="Times New Roman"/>
          <w:color w:val="000000"/>
          <w:sz w:val="20"/>
        </w:rPr>
        <w:t>” means any mortgage, deed of trust, pledge, hypothecation, security interest, encroachment, survey defect, encumbrance, lien, charge (fixed or floating), option, easement, purchase right, right of first refusal, right of pre-emption, conditional sale agreement, covenant, condition or other similar restriction (including restrictions on transfer) or any Contract to create any of the foregoing.</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Lookback Date</w:t>
      </w:r>
      <w:r>
        <w:rPr>
          <w:rFonts w:ascii="Times New Roman" w:hAnsi="Times New Roman"/>
          <w:color w:val="000000"/>
          <w:sz w:val="20"/>
        </w:rPr>
        <w:t>” means January 1, 2025.</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Losses</w:t>
      </w:r>
      <w:r>
        <w:rPr>
          <w:rFonts w:ascii="Times New Roman" w:hAnsi="Times New Roman"/>
          <w:color w:val="000000"/>
          <w:sz w:val="20"/>
        </w:rPr>
        <w:t>” means all debts, losses, damages, costs, expenses, Liabilities, obligations, demands, suits, proceedings, assessments or claims of any kind (including any Action brought by any Governmental Entity or other Person), judgments, awards, civil and criminal penalties, fines, deficiencies, charges and settlements (whether payable to a third party or otherwise), and all costs and expenses (including interest, court costs and reasonable fees and expenses of legal counsel, accountants and other outside consultants and expert witnesses) of investigating, defending or asserting any of the foregoing.</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Merger Agreement</w:t>
      </w:r>
      <w:r>
        <w:rPr>
          <w:rFonts w:ascii="Times New Roman" w:hAnsi="Times New Roman"/>
          <w:color w:val="000000"/>
          <w:sz w:val="20"/>
        </w:rPr>
        <w:t>” means that certain Agreement and Plan of Merger and Reorganization, dated as of June 6, 2026, by and among Seller, Treeline Biosciences, Inc. and Siri Merger Sub, Inc.</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Microfluidics Divestiture</w:t>
      </w:r>
      <w:r>
        <w:rPr>
          <w:rFonts w:ascii="Times New Roman" w:hAnsi="Times New Roman"/>
          <w:color w:val="000000"/>
          <w:sz w:val="20"/>
        </w:rPr>
        <w:t>” means any sale or transfer of the Seller Entities’ microfluidics business (which, for clarity, is a business other than the Business), or substantially all the assets thereof, to any Person(s) other than the Buyer Parties (such Person(s), the “</w:t>
      </w:r>
      <w:r>
        <w:rPr>
          <w:rFonts w:ascii="Times New Roman" w:hAnsi="Times New Roman"/>
          <w:color w:val="000000"/>
          <w:sz w:val="20"/>
          <w:u w:val="single"/>
        </w:rPr>
        <w:t>Microfluidics Buyer</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Negative Working Capital Amount</w:t>
      </w:r>
      <w:r>
        <w:rPr>
          <w:rFonts w:ascii="Times New Roman" w:hAnsi="Times New Roman"/>
          <w:color w:val="000000"/>
          <w:sz w:val="20"/>
        </w:rPr>
        <w:t>” means the amount, if any, by which the Target Working Capital exceeds the Closing Date Working Capital.</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Order</w:t>
      </w:r>
      <w:r>
        <w:rPr>
          <w:rFonts w:ascii="Times New Roman" w:hAnsi="Times New Roman"/>
          <w:color w:val="000000"/>
          <w:sz w:val="20"/>
        </w:rPr>
        <w:t>” means any outstanding order, writ, injunction, judgment or decree of any Governmental Entity.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Organizational Documents</w:t>
      </w:r>
      <w:r>
        <w:rPr>
          <w:rFonts w:ascii="Times New Roman" w:hAnsi="Times New Roman"/>
          <w:color w:val="000000"/>
          <w:sz w:val="20"/>
        </w:rPr>
        <w:t>” means, with respect to any Person (other than an individual), (a) the certificate or articles of association or incorporation or organization or limited partnership or limited liability company, and any joint venture, limited liability company, operating or partnership agreement and other similar documents adopted or filed in connection with the creation, formation or organization of such Person and (b) all bylaws and similar documents or agreements relating to the organization or governance of such Person, in each case, as amended or supplemented.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Overhead and Shared Services</w:t>
      </w:r>
      <w:r>
        <w:rPr>
          <w:rFonts w:ascii="Times New Roman" w:hAnsi="Times New Roman"/>
          <w:color w:val="000000"/>
          <w:sz w:val="20"/>
        </w:rPr>
        <w:t>” means any ancillary corporate shared services that are furnished by or on behalf of Seller or any of its Affiliates to both the Business and any other business of Seller or its Affiliates, including marketing and brand management, data analytics, information technology systems and application support, telecommunications, end user computing, information security, human resources, compensation and benefits, talent acquisition, learning and development, corporate finance and accounting systems, internal audit and finance controls, regulatory reporting, accounting, financial planning and analysis, treasury, foreign exchange management, bank services, tax, risk management, regulatory compliance and training, corporate insurance, legal, ethics, vendor sourcing and management and real estate, in each case including services relating to the provision of access to information, operating and reporting systems and databases and all hardware and software used in connection therewith.</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Parties</w:t>
      </w:r>
      <w:r>
        <w:rPr>
          <w:rFonts w:ascii="Times New Roman" w:hAnsi="Times New Roman"/>
          <w:color w:val="000000"/>
          <w:sz w:val="20"/>
        </w:rPr>
        <w:t>” means, collectively, Seller and Buyer.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Permit</w:t>
      </w:r>
      <w:r>
        <w:rPr>
          <w:rFonts w:ascii="Times New Roman" w:hAnsi="Times New Roman"/>
          <w:color w:val="000000"/>
          <w:sz w:val="20"/>
        </w:rPr>
        <w:t>” means any approval, authorization, certificate, qualification, waiver, variance, Consent, license, registration or permit, used or held for use in connection with the ownership, conduct or operation of the Business obtained from or issued by any Governmental Entity.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Permitted Liens</w:t>
      </w:r>
      <w:r>
        <w:rPr>
          <w:rFonts w:ascii="Times New Roman" w:hAnsi="Times New Roman"/>
          <w:color w:val="000000"/>
          <w:sz w:val="20"/>
        </w:rPr>
        <w:t>” means (a) Liens for Taxes not yet due and payable or for Taxes that are being contested in good faith by appropriate proceedings; (b) Liens of carriers, warehousemen, mechanics, materialmen, repairmen, landlords and other similar common law or statutory Lien arising or incurred in the ordinary course of business; (c) Liens arising under original purchase price conditional sales Contracts and Equipment leases with third parties entered into in the ordinary course of business; (d) the effect of zoning, entitlement, building and land use ordinances, codes and regulations imposed by any Governmental Entity; (e) covenants, defects of title, easements, rights of way, restrictions and other similar non</w:t>
        <w:noBreakHyphen/>
        <w:t>monetary Liens that would be revealed by a current title report with respect to the real property underlying any Real Property Lease or that, individually or in the aggregate, would not reasonably be expected to interfere in any material respect with or otherwise impair in any material respect the use or occupancy of the property subject thereto; (f) Liens arising under this Agreement or any of the Ancillary Agreements; (g) Liens created by or through Buyer; (h) any Liens reflected as liabilities in the Business Financial Information; (i) any Lien which would be revealed by a survey or other inspection of real property; (j) licenses and other rights granted under Intellectual Property rights (including the Retained Name Rights); and (k) any other Lien that is not, individually or in the aggregate, material to the Business or that will be released on or prior to the Closing Date.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Person</w:t>
      </w:r>
      <w:r>
        <w:rPr>
          <w:rFonts w:ascii="Times New Roman" w:hAnsi="Times New Roman"/>
          <w:color w:val="000000"/>
          <w:sz w:val="20"/>
        </w:rPr>
        <w:t>” means any natural person, general or limited partnership, corporation, limited liability company, firm, association, trust or other legal entity or organization.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Personal Information</w:t>
      </w:r>
      <w:r>
        <w:rPr>
          <w:rFonts w:ascii="Times New Roman" w:hAnsi="Times New Roman"/>
          <w:color w:val="000000"/>
          <w:sz w:val="20"/>
        </w:rPr>
        <w:t>” means all data relating to an individual that is personally identifying (i.e., data that identifies an individual or, in combination with any other information or data available to the Business, is capable of identifying an individual).</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Positive Working Capital Amount</w:t>
      </w:r>
      <w:r>
        <w:rPr>
          <w:rFonts w:ascii="Times New Roman" w:hAnsi="Times New Roman"/>
          <w:color w:val="000000"/>
          <w:sz w:val="20"/>
        </w:rPr>
        <w:t>” means the amount, if any, by which the Closing Date Working Capital exceeds the Target Working Capital.</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Post-Closing Tax Period</w:t>
      </w:r>
      <w:r>
        <w:rPr>
          <w:rFonts w:ascii="Times New Roman" w:hAnsi="Times New Roman"/>
          <w:color w:val="000000"/>
          <w:sz w:val="20"/>
        </w:rPr>
        <w:t xml:space="preserve">” means any taxable period beginning after the Closing Date and the portion of any Straddle Period beginning after the Closing Date (as determined under </w:t>
      </w:r>
      <w:r>
        <w:rPr>
          <w:rFonts w:ascii="Times New Roman" w:hAnsi="Times New Roman"/>
          <w:color w:val="000000"/>
          <w:sz w:val="20"/>
          <w:u w:val="single"/>
        </w:rPr>
        <w:t>Section 5.07(e)</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Pre-Closing Tax Period</w:t>
      </w:r>
      <w:r>
        <w:rPr>
          <w:rFonts w:ascii="Times New Roman" w:hAnsi="Times New Roman"/>
          <w:color w:val="000000"/>
          <w:sz w:val="20"/>
        </w:rPr>
        <w:t xml:space="preserve">” means any taxable period ending on or prior to the Closing Date and the portion of any Straddle Period ending on the Closing Date (as determined under </w:t>
      </w:r>
      <w:r>
        <w:rPr>
          <w:rFonts w:ascii="Times New Roman" w:hAnsi="Times New Roman"/>
          <w:color w:val="000000"/>
          <w:sz w:val="20"/>
          <w:u w:val="single"/>
        </w:rPr>
        <w:t>Section 5.07(e)</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w:t>
      </w:r>
    </w:p>
    <w:p>
      <w:pPr>
        <w:pStyle w:val="HorizontalLine"/>
        <w:pBdr>
          <w:bottom w:val="single" w:sz="12" w:space="0" w:color="808080"/>
        </w:pBdr>
        <w:bidi w:val="0"/>
        <w:spacing w:before="200" w:after="200"/>
        <w:jc w:val="left"/>
        <w:rPr/>
      </w:pPr>
      <w:r>
        <w:rPr/>
      </w:r>
    </w:p>
    <w:p>
      <w:pPr>
        <w:pStyle w:val="TextBody"/>
        <w:bidi w:val="0"/>
        <w:spacing w:lineRule="auto" w:line="240" w:before="0" w:after="0"/>
        <w:ind w:left="0" w:right="0" w:firstLine="720"/>
        <w:jc w:val="both"/>
        <w:rPr>
          <w:color w:val="000000"/>
        </w:rPr>
      </w:pPr>
      <w:r>
        <w:rPr>
          <w:color w:val="000000"/>
        </w:rPr>
        <w:t>“</w:t>
      </w:r>
      <w:r>
        <w:rPr>
          <w:rFonts w:ascii="Times New Roman" w:hAnsi="Times New Roman"/>
          <w:color w:val="000000"/>
          <w:sz w:val="20"/>
          <w:u w:val="single"/>
        </w:rPr>
        <w:t>Products</w:t>
      </w:r>
      <w:r>
        <w:rPr>
          <w:rFonts w:ascii="Times New Roman" w:hAnsi="Times New Roman"/>
          <w:color w:val="000000"/>
          <w:sz w:val="20"/>
        </w:rPr>
        <w:t>” means all products and services currently marketed for sale or sold by any Business Company or Seller Entity, all products and services under development for sale by any Business Company or Seller Entity, and all modified, updated and/or next generation versions or derivatives of the foregoing, including the Theia next-generation XTi platform, and all products, technologies and programs under development in connection therewith, in each case solely in connection with the Business. For clarity, “Products” shall exclude any products and services related to any business of any Seller Entity other than the Business, including the (a) the BiomarkTM X9 high-throughput genomics system; (b) integrated fluidic circuits; and (c) multi-layer soft lithography and core integrated fluidic circuits microfluidics technologies.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Proxy Statement Clearance Date</w:t>
      </w:r>
      <w:r>
        <w:rPr>
          <w:rFonts w:ascii="Times New Roman" w:hAnsi="Times New Roman"/>
          <w:color w:val="000000"/>
          <w:sz w:val="20"/>
        </w:rPr>
        <w:t>” means the earliest of (a) the second Business Day immediately following the date on which Seller is informed by the SEC, orally or in writing, that the Proxy Statement will not be reviewed by the SEC, (b) in the event that Seller does not submit the proposal to approve the Sale to the holders of common stock of Seller at the Parent Stockholders Meeting (as defined in the Merger Agreement), the first Business Day that is at least ten calendar days after the filing of the preliminary Proxy Statement if the SEC has not informed Seller that it intends to review the Proxy Statement and (c) in the event that Seller receives comments from the SEC on the preliminary Proxy Statement, the second Business Day immediately following the date the SEC informs Seller, orally or in writing, that the SEC staff has no further comments on the preliminary Proxy Statement.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Qualifying Exit</w:t>
      </w:r>
      <w:r>
        <w:rPr>
          <w:rFonts w:ascii="Times New Roman" w:hAnsi="Times New Roman"/>
          <w:color w:val="000000"/>
          <w:sz w:val="20"/>
        </w:rPr>
        <w:t>” means any of the following transactions involving Buyer or any of its Subsidiaries or any of its direct or indirect parent entities, in each case with or to a bona fide unaffiliated third party and excluding any Excluded Transaction:</w:t>
      </w:r>
    </w:p>
    <w:p>
      <w:pPr>
        <w:pStyle w:val="TextBody"/>
        <w:bidi w:val="0"/>
        <w:spacing w:before="0" w:after="0"/>
        <w:jc w:val="left"/>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(a) a sale, transfer, or other disposition of assets representing at least eighty percent (80%) of the consolidated total assets or consolidated revenues of Buyer as of the most recently completed fiscal quarter of Buyer prior to the closing of such transaction;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(b) a merger, consolidation, amalgamation, or similar business combination in which Buyer is not the surviving entity or in which the holders of Buyer’s outstanding voting securities immediately prior to such transaction hold less than fifty percent (50%) of the combined voting power of the surviving or resulting entity immediately following such transaction;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(c) a sale, transfer, or issuance of shares of capital stock or other equity interests of Buyer (including by way of merger or recapitalization) pursuant to which any Person or group of Persons acting in concert acquires more than fifty percent (50%) of the combined voting power or economic interests of Buyer;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(d) an initial public offering of Buyer’s equity securities on a nationally recognized securities exchange (including pursuant to a direct listing or a merger with a special purpose acquisition company); or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(e) any other transaction or series of related transactions that results in a Change of Control of Buyer;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each case, where the Aggregate Transaction Value of such transaction equals or exceeds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Reference Time</w:t>
      </w:r>
      <w:r>
        <w:rPr>
          <w:rFonts w:ascii="Times New Roman" w:hAnsi="Times New Roman"/>
          <w:color w:val="000000"/>
          <w:sz w:val="20"/>
        </w:rPr>
        <w:t>” means 11:59 p.m., New York City time, on the day immediately preceding the Closing Date.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Related Party</w:t>
      </w:r>
      <w:r>
        <w:rPr>
          <w:rFonts w:ascii="Times New Roman" w:hAnsi="Times New Roman"/>
          <w:color w:val="000000"/>
          <w:sz w:val="20"/>
        </w:rPr>
        <w:t>” with respect to any specified Person, means: (a) any Affiliate of such specified Person, or any director, executive officer, general partner or managing member of such Affiliate; (b) any Person who serves as a director, executive officer, partner, member or in a similar capacity of such specified Person; (c) any immediate family member of a Person described in clause (b); or (d) any other Person who holds, individually or together with any Affiliate of such other Person and any member(s) of such Person’s immediate family, more than 5% of the outstanding voting equity or ownership interests of such specified Person.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Related to</w:t>
      </w:r>
      <w:r>
        <w:rPr>
          <w:rFonts w:ascii="Times New Roman" w:hAnsi="Times New Roman"/>
          <w:color w:val="000000"/>
          <w:sz w:val="20"/>
        </w:rPr>
        <w:t>” means, with respect to the Business, primarily related to, or used primarily in connection with, the Business as conducted by Seller and its Affiliates immediately prior to the Closing.</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Representatives</w:t>
      </w:r>
      <w:r>
        <w:rPr>
          <w:rFonts w:ascii="Times New Roman" w:hAnsi="Times New Roman"/>
          <w:color w:val="000000"/>
          <w:sz w:val="20"/>
        </w:rPr>
        <w:t>” means, with respect to any Person, the directors, managers, officers, employees, advisors (including investment bankers, financial advisors, legal counsel, accountants and consultants), financing sources and other agents and representatives of such Person and its Subsidiaries.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Retained Businesses</w:t>
      </w:r>
      <w:r>
        <w:rPr>
          <w:rFonts w:ascii="Times New Roman" w:hAnsi="Times New Roman"/>
          <w:color w:val="000000"/>
          <w:sz w:val="20"/>
        </w:rPr>
        <w:t>” means all businesses and other activities conducted by Seller and its Subsidiaries as of the date hereof and/or the Closing Date other than the Business, the Business Companies or the Transferred Assets.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SEC</w:t>
      </w:r>
      <w:r>
        <w:rPr>
          <w:rFonts w:ascii="Times New Roman" w:hAnsi="Times New Roman"/>
          <w:color w:val="000000"/>
          <w:sz w:val="20"/>
        </w:rPr>
        <w:t>” means the U.S. Securities and Exchange Commission.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Securities Act</w:t>
      </w:r>
      <w:r>
        <w:rPr>
          <w:rFonts w:ascii="Times New Roman" w:hAnsi="Times New Roman"/>
          <w:color w:val="000000"/>
          <w:sz w:val="20"/>
        </w:rPr>
        <w:t>” means the Securities Act of 1933.</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Seller Consolidated Group</w:t>
      </w:r>
      <w:r>
        <w:rPr>
          <w:rFonts w:ascii="Times New Roman" w:hAnsi="Times New Roman"/>
          <w:color w:val="000000"/>
          <w:sz w:val="20"/>
        </w:rPr>
        <w:t>” means any consolidated, combined, affiliated, unitary or similar Tax group that includes Seller or any of its Affiliates.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Seller Entity</w:t>
      </w:r>
      <w:r>
        <w:rPr>
          <w:rFonts w:ascii="Times New Roman" w:hAnsi="Times New Roman"/>
          <w:color w:val="000000"/>
          <w:sz w:val="20"/>
        </w:rPr>
        <w:t>” means Seller and its Subsidiaries, other than any Business Company.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Seller Fundamental Representations</w:t>
      </w:r>
      <w:r>
        <w:rPr>
          <w:rFonts w:ascii="Times New Roman" w:hAnsi="Times New Roman"/>
          <w:color w:val="000000"/>
          <w:sz w:val="20"/>
        </w:rPr>
        <w:t xml:space="preserve">” means the representations and warranties of Seller contained in </w:t>
      </w:r>
      <w:r>
        <w:rPr>
          <w:rFonts w:ascii="Times New Roman" w:hAnsi="Times New Roman"/>
          <w:color w:val="000000"/>
          <w:sz w:val="20"/>
          <w:u w:val="single"/>
        </w:rPr>
        <w:t>Section 3.01(a)</w:t>
      </w:r>
      <w:r>
        <w:rPr>
          <w:rFonts w:ascii="Times New Roman" w:hAnsi="Times New Roman"/>
          <w:color w:val="000000"/>
          <w:sz w:val="20"/>
        </w:rPr>
        <w:t xml:space="preserve"> (</w:t>
      </w:r>
      <w:r>
        <w:rPr>
          <w:rFonts w:ascii="Times New Roman" w:hAnsi="Times New Roman"/>
          <w:i/>
          <w:color w:val="000000"/>
          <w:sz w:val="20"/>
        </w:rPr>
        <w:t>Organization</w:t>
      </w:r>
      <w:r>
        <w:rPr>
          <w:rFonts w:ascii="Times New Roman" w:hAnsi="Times New Roman"/>
          <w:color w:val="000000"/>
          <w:sz w:val="20"/>
        </w:rPr>
        <w:t xml:space="preserve">), </w:t>
      </w:r>
      <w:r>
        <w:rPr>
          <w:rFonts w:ascii="Times New Roman" w:hAnsi="Times New Roman"/>
          <w:color w:val="000000"/>
          <w:sz w:val="20"/>
          <w:u w:val="single"/>
        </w:rPr>
        <w:t>Section 3.02</w:t>
      </w:r>
      <w:r>
        <w:rPr>
          <w:rFonts w:ascii="Times New Roman" w:hAnsi="Times New Roman"/>
          <w:color w:val="000000"/>
          <w:sz w:val="20"/>
        </w:rPr>
        <w:t xml:space="preserve"> (</w:t>
      </w:r>
      <w:r>
        <w:rPr>
          <w:rFonts w:ascii="Times New Roman" w:hAnsi="Times New Roman"/>
          <w:i/>
          <w:color w:val="000000"/>
          <w:sz w:val="20"/>
        </w:rPr>
        <w:t>Capitalization of the Transferred Companies</w:t>
      </w:r>
      <w:r>
        <w:rPr>
          <w:rFonts w:ascii="Times New Roman" w:hAnsi="Times New Roman"/>
          <w:color w:val="000000"/>
          <w:sz w:val="20"/>
        </w:rPr>
        <w:t xml:space="preserve">), </w:t>
      </w:r>
      <w:r>
        <w:rPr>
          <w:rFonts w:ascii="Times New Roman" w:hAnsi="Times New Roman"/>
          <w:color w:val="000000"/>
          <w:sz w:val="20"/>
          <w:u w:val="single"/>
        </w:rPr>
        <w:t>Section 3.04</w:t>
      </w:r>
      <w:r>
        <w:rPr>
          <w:rFonts w:ascii="Times New Roman" w:hAnsi="Times New Roman"/>
          <w:color w:val="000000"/>
          <w:sz w:val="20"/>
        </w:rPr>
        <w:t xml:space="preserve"> (</w:t>
      </w:r>
      <w:r>
        <w:rPr>
          <w:rFonts w:ascii="Times New Roman" w:hAnsi="Times New Roman"/>
          <w:i/>
          <w:color w:val="000000"/>
          <w:sz w:val="20"/>
        </w:rPr>
        <w:t>Authority; Execution and Delivery; Enforceability</w:t>
      </w:r>
      <w:r>
        <w:rPr>
          <w:rFonts w:ascii="Times New Roman" w:hAnsi="Times New Roman"/>
          <w:color w:val="000000"/>
          <w:sz w:val="20"/>
        </w:rPr>
        <w:t xml:space="preserve">) and </w:t>
      </w:r>
      <w:r>
        <w:rPr>
          <w:rFonts w:ascii="Times New Roman" w:hAnsi="Times New Roman"/>
          <w:color w:val="000000"/>
          <w:sz w:val="20"/>
          <w:u w:val="single"/>
        </w:rPr>
        <w:t>Section 3.21</w:t>
      </w:r>
      <w:r>
        <w:rPr>
          <w:rFonts w:ascii="Times New Roman" w:hAnsi="Times New Roman"/>
          <w:color w:val="000000"/>
          <w:sz w:val="20"/>
        </w:rPr>
        <w:t xml:space="preserve"> (</w:t>
      </w:r>
      <w:r>
        <w:rPr>
          <w:rFonts w:ascii="Times New Roman" w:hAnsi="Times New Roman"/>
          <w:i/>
          <w:color w:val="000000"/>
          <w:sz w:val="20"/>
        </w:rPr>
        <w:t>Brokers or Finders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Seller Parties</w:t>
      </w:r>
      <w:r>
        <w:rPr>
          <w:rFonts w:ascii="Times New Roman" w:hAnsi="Times New Roman"/>
          <w:color w:val="000000"/>
          <w:sz w:val="20"/>
        </w:rPr>
        <w:t>” means, collectively, Seller and any of its former, current or future Affiliates, Representatives, general or limited partners, managers, members, equityholders, successors or assignees or any former, current or future Affiliate, Representative, general or limited partner, manager, member, equityholder, successor or assignee of any of the foregoing.</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Seller Policies</w:t>
      </w:r>
      <w:r>
        <w:rPr>
          <w:rFonts w:ascii="Times New Roman" w:hAnsi="Times New Roman"/>
          <w:color w:val="000000"/>
          <w:sz w:val="20"/>
        </w:rPr>
        <w:t>” means all insurance policies of Seller and its Affiliates.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Seller Termination Fee</w:t>
      </w:r>
      <w:r>
        <w:rPr>
          <w:rFonts w:ascii="Times New Roman" w:hAnsi="Times New Roman"/>
          <w:color w:val="000000"/>
          <w:sz w:val="20"/>
        </w:rPr>
        <w:t>” means $1,000,000.</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Social Media Accounts</w:t>
      </w:r>
      <w:r>
        <w:rPr>
          <w:rFonts w:ascii="Times New Roman" w:hAnsi="Times New Roman"/>
          <w:color w:val="000000"/>
          <w:sz w:val="20"/>
        </w:rPr>
        <w:t>” means social media rights comprised of registration ownership or use of an account (including usernames, passwords, two-factor authentication, recovery codes, and associated email addresses) with the proprietor of an internet-based application or website that facilitates the creation and exchange of user-generated content, including LinkedIn, Facebook, Twitter, Glassdoor, YouTube, TikTok and Wistia.</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Specified Domain Names</w:t>
      </w:r>
      <w:r>
        <w:rPr>
          <w:rFonts w:ascii="Times New Roman" w:hAnsi="Times New Roman"/>
          <w:color w:val="000000"/>
          <w:sz w:val="20"/>
        </w:rPr>
        <w:t xml:space="preserve">” means those certain Internet domain names within the Transferred Intellectual Property Assets set forth on </w:t>
      </w:r>
      <w:r>
        <w:rPr>
          <w:rFonts w:ascii="Times New Roman" w:hAnsi="Times New Roman"/>
          <w:color w:val="000000"/>
          <w:sz w:val="20"/>
          <w:u w:val="single"/>
        </w:rPr>
        <w:t>Section 1.01(f)(i)</w:t>
      </w:r>
      <w:r>
        <w:rPr>
          <w:rFonts w:ascii="Times New Roman" w:hAnsi="Times New Roman"/>
          <w:color w:val="000000"/>
          <w:sz w:val="20"/>
        </w:rPr>
        <w:t xml:space="preserve"> of the Disclosure Schedule.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Specified Marks</w:t>
      </w:r>
      <w:r>
        <w:rPr>
          <w:rFonts w:ascii="Times New Roman" w:hAnsi="Times New Roman"/>
          <w:color w:val="000000"/>
          <w:sz w:val="20"/>
        </w:rPr>
        <w:t xml:space="preserve">” means those certain Trademarks within the Transferred Intellectual Property Assets set forth on </w:t>
      </w:r>
      <w:r>
        <w:rPr>
          <w:rFonts w:ascii="Times New Roman" w:hAnsi="Times New Roman"/>
          <w:color w:val="000000"/>
          <w:sz w:val="20"/>
          <w:u w:val="single"/>
        </w:rPr>
        <w:t>Section 1.01(f)(ii)</w:t>
      </w:r>
      <w:r>
        <w:rPr>
          <w:rFonts w:ascii="Times New Roman" w:hAnsi="Times New Roman"/>
          <w:color w:val="000000"/>
          <w:sz w:val="20"/>
        </w:rPr>
        <w:t xml:space="preserve"> of the Disclosure Schedule.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Software</w:t>
      </w:r>
      <w:r>
        <w:rPr>
          <w:rFonts w:ascii="Times New Roman" w:hAnsi="Times New Roman"/>
          <w:color w:val="000000"/>
          <w:sz w:val="20"/>
        </w:rPr>
        <w:t>” means computer programs, including any and all software implementations of algorithms, models and methodologies whether in source code, object code or other form, databases and compilations, including any and all data and collections of data, descriptions, flowcharts and other work product used to design, plan, organize and develop any of the foregoing and all documentation, including user manuals and training materials, related to any of the foregoing.</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Straddle Period</w:t>
      </w:r>
      <w:r>
        <w:rPr>
          <w:rFonts w:ascii="Times New Roman" w:hAnsi="Times New Roman"/>
          <w:color w:val="000000"/>
          <w:sz w:val="20"/>
        </w:rPr>
        <w:t>” means any taxable period beginning on or before the Closing Date and ending after the Closing Date.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Subsidiary</w:t>
      </w:r>
      <w:r>
        <w:rPr>
          <w:rFonts w:ascii="Times New Roman" w:hAnsi="Times New Roman"/>
          <w:color w:val="000000"/>
          <w:sz w:val="20"/>
        </w:rPr>
        <w:t>” means, with respect to any Person, any corporation, limited liability company, venture, partnership or other entity of which such Person: (a) beneficially owns, either directly or indirectly, more than fifty percent (50%) of (i) the total combined voting power of all classes of voting securities of such entity, (ii) the total combined equity interests or (iii) the capital or profit interests, in the case of a partnership; or (b) otherwise has the power to vote or to direct the voting of sufficient securities to elect a majority of the board of directors or similar governing body.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Subsidiary Transferors</w:t>
      </w:r>
      <w:r>
        <w:rPr>
          <w:rFonts w:ascii="Times New Roman" w:hAnsi="Times New Roman"/>
          <w:color w:val="000000"/>
          <w:sz w:val="20"/>
        </w:rPr>
        <w:t>” means the Subsidiary Asset Transferors and the Subsidiary Share Transferors.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Subsidiary Asset Transferors</w:t>
      </w:r>
      <w:r>
        <w:rPr>
          <w:rFonts w:ascii="Times New Roman" w:hAnsi="Times New Roman"/>
          <w:color w:val="000000"/>
          <w:sz w:val="20"/>
        </w:rPr>
        <w:t>” means any Subsidiary of Seller that owns or leases any Transferred Asset.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Subsidiary Share Transferors</w:t>
      </w:r>
      <w:r>
        <w:rPr>
          <w:rFonts w:ascii="Times New Roman" w:hAnsi="Times New Roman"/>
          <w:color w:val="000000"/>
          <w:sz w:val="20"/>
        </w:rPr>
        <w:t>” means any Subsidiary of Seller that owns any Shares.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Target Working Capital</w:t>
      </w:r>
      <w:r>
        <w:rPr>
          <w:rFonts w:ascii="Times New Roman" w:hAnsi="Times New Roman"/>
          <w:color w:val="000000"/>
          <w:sz w:val="20"/>
        </w:rPr>
        <w:t>” means an amount equal to $4,727,000.</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Tax</w:t>
      </w:r>
      <w:r>
        <w:rPr>
          <w:rFonts w:ascii="Times New Roman" w:hAnsi="Times New Roman"/>
          <w:color w:val="000000"/>
          <w:sz w:val="20"/>
        </w:rPr>
        <w:t>” means any and all federal, state, local or foreign taxes of any kind (together with any and all interest, penalties, additions to tax and additional amounts imposed with respect thereto) imposed by any Governmental Entity, including income, franchise, windfall or other profits, gross receipts, property, sales, use, capital stock, payroll, employment, unemployment, social security, workers’ compensation, net worth, excise, withholding, ad valorem and value added taxes.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Tax Returns</w:t>
      </w:r>
      <w:r>
        <w:rPr>
          <w:rFonts w:ascii="Times New Roman" w:hAnsi="Times New Roman"/>
          <w:color w:val="000000"/>
          <w:sz w:val="20"/>
        </w:rPr>
        <w:t>” means any return, report or similar filing (including any schedule or attachment thereto and including any amendment thereof) required to be filed with respect to Taxes, including any information return, claim for refund, amended return or declaration of estimated Taxes.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Tax Sharing Arrangement</w:t>
      </w:r>
      <w:r>
        <w:rPr>
          <w:rFonts w:ascii="Times New Roman" w:hAnsi="Times New Roman"/>
          <w:color w:val="000000"/>
          <w:sz w:val="20"/>
        </w:rPr>
        <w:t>” means any Tax sharing, allocation or indemnification or similar agreement, provision or arrangement, other than any commercial agreement the principal subject of which is not Tax matters.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Transaction Expenses</w:t>
      </w:r>
      <w:r>
        <w:rPr>
          <w:rFonts w:ascii="Times New Roman" w:hAnsi="Times New Roman"/>
          <w:color w:val="000000"/>
          <w:sz w:val="20"/>
        </w:rPr>
        <w:t xml:space="preserve">” means: (a) all third party service provider fees and expenses incurred by Seller or its Subsidiaries in connection with the negotiation, preparation or execution of this Agreement, the Ancillary Agreements and the transactions contemplated hereby or thereby (including any fees and expenses of legal counsel, advisors, investment bankers, brokers and accountants and any other experts in connection with the transactions </w:t>
      </w:r>
      <w:r>
        <w:rPr>
          <w:rFonts w:ascii="Times New Roman" w:hAnsi="Times New Roman"/>
          <w:color w:val="0D0D0D"/>
          <w:sz w:val="20"/>
        </w:rPr>
        <w:t xml:space="preserve">contemplated hereby or otherwise incurred prior to the Closing (whether invoiced prior to, at or after the Closing)); (b) </w:t>
      </w:r>
      <w:r>
        <w:rPr>
          <w:rFonts w:ascii="Times New Roman" w:hAnsi="Times New Roman"/>
          <w:color w:val="000000"/>
          <w:sz w:val="20"/>
        </w:rPr>
        <w:t>to the extent incurred and unpaid as of immediately prior to the Closing,</w:t>
      </w:r>
      <w:r>
        <w:rPr>
          <w:rFonts w:ascii="Times New Roman" w:hAnsi="Times New Roman"/>
          <w:color w:val="0D0D0D"/>
          <w:sz w:val="20"/>
        </w:rPr>
        <w:t xml:space="preserve"> any change in control or transaction bonuses, retention bonuses or other similar payments </w:t>
      </w:r>
      <w:r>
        <w:rPr>
          <w:rFonts w:ascii="Times New Roman" w:hAnsi="Times New Roman"/>
          <w:color w:val="000000"/>
          <w:sz w:val="20"/>
        </w:rPr>
        <w:t xml:space="preserve">due or payable by any Business Company </w:t>
      </w:r>
      <w:r>
        <w:rPr>
          <w:rFonts w:ascii="Times New Roman" w:hAnsi="Times New Roman"/>
          <w:color w:val="0D0D0D"/>
          <w:sz w:val="20"/>
        </w:rPr>
        <w:t xml:space="preserve">to a Business Employee, former employee of the Business or current or former individual consultant or other individual service provider of the Business, in each case, solely as a result of the consummation of the transactions contemplated hereby </w:t>
      </w:r>
      <w:r>
        <w:rPr>
          <w:rFonts w:ascii="Times New Roman" w:hAnsi="Times New Roman"/>
          <w:color w:val="000000"/>
          <w:sz w:val="20"/>
        </w:rPr>
        <w:t>(other than any such payment or amount that becomes due or payable as a result of any action taken by, on behalf of or at the direction of Buyer or any of its Affiliates (including any Business Company) following the Closing, including pursuant to any “double-trigger” arrangements)</w:t>
      </w:r>
      <w:r>
        <w:rPr>
          <w:rFonts w:ascii="Times New Roman" w:hAnsi="Times New Roman"/>
          <w:color w:val="0D0D0D"/>
          <w:sz w:val="20"/>
        </w:rPr>
        <w:t xml:space="preserve">; (c) the employer portion of any employment, payroll, social security, unemployment or other Taxes or amounts that </w:t>
      </w:r>
      <w:r>
        <w:rPr>
          <w:rFonts w:ascii="Times New Roman" w:hAnsi="Times New Roman"/>
          <w:color w:val="000000"/>
          <w:sz w:val="20"/>
        </w:rPr>
        <w:t>are imposed in connection with any payment described under clause (b); (d) 50% of the cost of the D&amp;O Tail Policy and (e) 50% of the retention amount of the R&amp;W Policy, if applicable.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Transfer Regulations</w:t>
      </w:r>
      <w:r>
        <w:rPr>
          <w:rFonts w:ascii="Times New Roman" w:hAnsi="Times New Roman"/>
          <w:color w:val="000000"/>
          <w:sz w:val="20"/>
        </w:rPr>
        <w:t>” means (a) in respect of the International Business Employees located in Singapore, Section 18A of the Singapore Employment Act, (b) in respect of the International Business Employees located in the United Kingdom, the UK Transfer of Undertaking (Protection of Employment) Regulation 2006 and (c) in respect of all other International Business Employees, any applicable Laws relating to the automatic transfer of employment or safeguarding of employees’ rights in the event of transfers of undertakings, businesses or parts of undertakings or businesses.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Transfer Tax</w:t>
      </w:r>
      <w:r>
        <w:rPr>
          <w:rFonts w:ascii="Times New Roman" w:hAnsi="Times New Roman"/>
          <w:color w:val="000000"/>
          <w:sz w:val="20"/>
        </w:rPr>
        <w:t>” means all United States, federal, state, local and foreign transfer, excise, goods, services, sales, use, real or personal property, transfer, documentary transfer, recording, registration, value-added, stamp, conveyance, filing and all other similar Taxes with respect to the transactions contemplated by this Agreement, including any penalties and interest imposed with respect thereto.</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Transferred Books and Records</w:t>
      </w:r>
      <w:r>
        <w:rPr>
          <w:rFonts w:ascii="Times New Roman" w:hAnsi="Times New Roman"/>
          <w:color w:val="000000"/>
          <w:sz w:val="20"/>
        </w:rPr>
        <w:t>” means all books, ledgers, files, reports, plans, records, manuals and other materials (in any form or medium) Related to the Business, but excluding any such items to the extent (a) they are included in or related to any Excluded Asset or Excluded Liability, (b) any Law prohibits their transfer or (c) any transfer thereof otherwise would subject Seller or any of its Subsidiaries to any material Liability.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Transferred Companies</w:t>
      </w:r>
      <w:r>
        <w:rPr>
          <w:rFonts w:ascii="Times New Roman" w:hAnsi="Times New Roman"/>
          <w:color w:val="000000"/>
          <w:sz w:val="20"/>
        </w:rPr>
        <w:t xml:space="preserve">” means those entities set forth on </w:t>
      </w:r>
      <w:r>
        <w:rPr>
          <w:rFonts w:ascii="Times New Roman" w:hAnsi="Times New Roman"/>
          <w:color w:val="000000"/>
          <w:sz w:val="20"/>
          <w:u w:val="single"/>
        </w:rPr>
        <w:t>Section 1.01(g)</w:t>
      </w:r>
      <w:r>
        <w:rPr>
          <w:rFonts w:ascii="Times New Roman" w:hAnsi="Times New Roman"/>
          <w:color w:val="000000"/>
          <w:sz w:val="20"/>
        </w:rPr>
        <w:t xml:space="preserve"> of the Disclosure Schedule, as such Section may be amended by Seller to reflect the ownership of Shares immediately prior to the Closing and/or any actions taken pursuant to </w:t>
      </w:r>
      <w:r>
        <w:rPr>
          <w:rFonts w:ascii="Times New Roman" w:hAnsi="Times New Roman"/>
          <w:color w:val="000000"/>
          <w:sz w:val="20"/>
          <w:u w:val="single"/>
        </w:rPr>
        <w:t>Section 5.07(g)</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that any Persons included in such amended Section shall be Seller Entities.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Transferred Data</w:t>
      </w:r>
      <w:r>
        <w:rPr>
          <w:rFonts w:ascii="Times New Roman" w:hAnsi="Times New Roman"/>
          <w:color w:val="000000"/>
          <w:sz w:val="20"/>
        </w:rPr>
        <w:t>” means copies of any data and information held or controlled by Seller or any of its Subsidiaries as of the Closing that are Related to the Business, but excluding any such items to the extent (a) they are included in or related to any Excluded Asset or Excluded Liability, (b) any Law prohibits their transfer, (c) any transfer thereof otherwise would subject Seller or any of its Subsidiaries to any material Liability or (d) they are included in or consist of any Transferred Books and Records.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Transferred Equipment</w:t>
      </w:r>
      <w:r>
        <w:rPr>
          <w:rFonts w:ascii="Times New Roman" w:hAnsi="Times New Roman"/>
          <w:color w:val="000000"/>
          <w:sz w:val="20"/>
        </w:rPr>
        <w:t xml:space="preserve">” means all Equipment Related to the Business, including the Equipment set forth on </w:t>
      </w:r>
      <w:r>
        <w:rPr>
          <w:rFonts w:ascii="Times New Roman" w:hAnsi="Times New Roman"/>
          <w:color w:val="000000"/>
          <w:sz w:val="20"/>
          <w:u w:val="single"/>
        </w:rPr>
        <w:t>Section 1.01(h)</w:t>
      </w:r>
      <w:r>
        <w:rPr>
          <w:rFonts w:ascii="Times New Roman" w:hAnsi="Times New Roman"/>
          <w:color w:val="000000"/>
          <w:sz w:val="20"/>
        </w:rPr>
        <w:t xml:space="preserve"> of the Disclosure Schedule.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Transferred Intellectual Property Assets</w:t>
      </w:r>
      <w:r>
        <w:rPr>
          <w:rFonts w:ascii="Times New Roman" w:hAnsi="Times New Roman"/>
          <w:color w:val="000000"/>
          <w:sz w:val="20"/>
        </w:rPr>
        <w:t xml:space="preserve">” means (a) the Patents set forth on </w:t>
      </w:r>
      <w:r>
        <w:rPr>
          <w:rFonts w:ascii="Times New Roman" w:hAnsi="Times New Roman"/>
          <w:color w:val="000000"/>
          <w:sz w:val="20"/>
          <w:u w:val="single"/>
        </w:rPr>
        <w:t>Section 1.01(i)</w:t>
      </w:r>
      <w:r>
        <w:rPr>
          <w:rFonts w:ascii="Times New Roman" w:hAnsi="Times New Roman"/>
          <w:color w:val="000000"/>
          <w:sz w:val="20"/>
        </w:rPr>
        <w:t xml:space="preserve"> of the Disclosure Schedule, (b) the registered Trademarks and Trademark applications set forth on </w:t>
      </w:r>
      <w:r>
        <w:rPr>
          <w:rFonts w:ascii="Times New Roman" w:hAnsi="Times New Roman"/>
          <w:color w:val="000000"/>
          <w:sz w:val="20"/>
          <w:u w:val="single"/>
        </w:rPr>
        <w:t>Section 1.01(j)</w:t>
      </w:r>
      <w:r>
        <w:rPr>
          <w:rFonts w:ascii="Times New Roman" w:hAnsi="Times New Roman"/>
          <w:color w:val="000000"/>
          <w:sz w:val="20"/>
        </w:rPr>
        <w:t xml:space="preserve"> of the Disclosure Schedule, (c) the registered Copyrights set forth on </w:t>
      </w:r>
      <w:r>
        <w:rPr>
          <w:rFonts w:ascii="Times New Roman" w:hAnsi="Times New Roman"/>
          <w:color w:val="000000"/>
          <w:sz w:val="20"/>
          <w:u w:val="single"/>
        </w:rPr>
        <w:t>Section 1.01(k)</w:t>
      </w:r>
      <w:r>
        <w:rPr>
          <w:rFonts w:ascii="Times New Roman" w:hAnsi="Times New Roman"/>
          <w:color w:val="000000"/>
          <w:sz w:val="20"/>
        </w:rPr>
        <w:t xml:space="preserve"> of the Disclosure Schedule (clauses (a) – (c) together, the “</w:t>
      </w:r>
      <w:r>
        <w:rPr>
          <w:rFonts w:ascii="Times New Roman" w:hAnsi="Times New Roman"/>
          <w:color w:val="000000"/>
          <w:sz w:val="20"/>
          <w:u w:val="single"/>
        </w:rPr>
        <w:t>Registered Intellectual Property Assets</w:t>
      </w:r>
      <w:r>
        <w:rPr>
          <w:rFonts w:ascii="Times New Roman" w:hAnsi="Times New Roman"/>
          <w:color w:val="000000"/>
          <w:sz w:val="20"/>
        </w:rPr>
        <w:t xml:space="preserve">”), (d) the Internet domain names set forth on </w:t>
      </w:r>
      <w:r>
        <w:rPr>
          <w:rFonts w:ascii="Times New Roman" w:hAnsi="Times New Roman"/>
          <w:color w:val="000000"/>
          <w:sz w:val="20"/>
          <w:u w:val="single"/>
        </w:rPr>
        <w:t>Section 1.01(l)</w:t>
      </w:r>
      <w:r>
        <w:rPr>
          <w:rFonts w:ascii="Times New Roman" w:hAnsi="Times New Roman"/>
          <w:color w:val="000000"/>
          <w:sz w:val="20"/>
        </w:rPr>
        <w:t xml:space="preserve"> of the Disclosure Schedule, (e) the Social Media Accounts and (f) all other Intellectual Property (other than Patents, registered Trademarks and Trademark applications, registered Copyrights, Internet domain names and Social Media Accounts), in each case of (a), (c) and (f), (i) owned in whole or in part by Seller or the Subsidiary Transferors and (ii) Related to the Business, and in each case of (b), (d) and (e), owned in whole or in part by Seller or the Subsidiary Transferors.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Transferred IT Assets</w:t>
      </w:r>
      <w:r>
        <w:rPr>
          <w:rFonts w:ascii="Times New Roman" w:hAnsi="Times New Roman"/>
          <w:color w:val="000000"/>
          <w:sz w:val="20"/>
        </w:rPr>
        <w:t>” means all IT Assets owned by a Seller Entity and Related to the Business.</w:t>
      </w:r>
    </w:p>
    <w:p>
      <w:pPr>
        <w:pStyle w:val="TextBody"/>
        <w:bidi w:val="0"/>
        <w:spacing w:before="0" w:after="0"/>
        <w:ind w:left="0" w:right="0" w:firstLine="72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Transferred Permits</w:t>
      </w:r>
      <w:r>
        <w:rPr>
          <w:rFonts w:ascii="Times New Roman" w:hAnsi="Times New Roman"/>
          <w:color w:val="000000"/>
          <w:sz w:val="20"/>
        </w:rPr>
        <w:t xml:space="preserve">” means all Permits that are primarily used in or primarily held for use in the Business, to the extent assignable under applicable Law, including the Permits set forth on </w:t>
      </w:r>
      <w:r>
        <w:rPr>
          <w:rFonts w:ascii="Times New Roman" w:hAnsi="Times New Roman"/>
          <w:color w:val="000000"/>
          <w:sz w:val="20"/>
          <w:u w:val="single"/>
        </w:rPr>
        <w:t>Section 1.01(m)</w:t>
      </w:r>
      <w:r>
        <w:rPr>
          <w:rFonts w:ascii="Times New Roman" w:hAnsi="Times New Roman"/>
          <w:color w:val="000000"/>
          <w:sz w:val="20"/>
        </w:rPr>
        <w:t xml:space="preserve"> of the Disclosure Schedule.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Transferred Software</w:t>
      </w:r>
      <w:r>
        <w:rPr>
          <w:rFonts w:ascii="Times New Roman" w:hAnsi="Times New Roman"/>
          <w:color w:val="000000"/>
          <w:sz w:val="20"/>
        </w:rPr>
        <w:t xml:space="preserve">” means the Software set forth on </w:t>
      </w:r>
      <w:r>
        <w:rPr>
          <w:rFonts w:ascii="Times New Roman" w:hAnsi="Times New Roman"/>
          <w:color w:val="000000"/>
          <w:sz w:val="20"/>
          <w:u w:val="single"/>
        </w:rPr>
        <w:t>Section 1.01(o)</w:t>
      </w:r>
      <w:r>
        <w:rPr>
          <w:rFonts w:ascii="Times New Roman" w:hAnsi="Times New Roman"/>
          <w:color w:val="000000"/>
          <w:sz w:val="20"/>
        </w:rPr>
        <w:t xml:space="preserve"> of the Disclosure Schedule.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TSA</w:t>
      </w:r>
      <w:r>
        <w:rPr>
          <w:rFonts w:ascii="Times New Roman" w:hAnsi="Times New Roman"/>
          <w:color w:val="000000"/>
          <w:sz w:val="20"/>
        </w:rPr>
        <w:t xml:space="preserve">” means a Transition Services Agreement, substantially in the form of </w:t>
      </w:r>
      <w:r>
        <w:rPr>
          <w:rFonts w:ascii="Times New Roman" w:hAnsi="Times New Roman"/>
          <w:color w:val="000000"/>
          <w:sz w:val="20"/>
          <w:u w:val="single"/>
        </w:rPr>
        <w:t>Exhibit E</w:t>
      </w:r>
      <w:r>
        <w:rPr>
          <w:rFonts w:ascii="Times New Roman" w:hAnsi="Times New Roman"/>
          <w:color w:val="000000"/>
          <w:sz w:val="20"/>
        </w:rPr>
        <w:t>, to be entered into between Seller and Buyer (or its designated Subsidiary) and to become effective upon the Closing.</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VDR</w:t>
      </w:r>
      <w:r>
        <w:rPr>
          <w:rFonts w:ascii="Times New Roman" w:hAnsi="Times New Roman"/>
          <w:color w:val="000000"/>
          <w:sz w:val="20"/>
        </w:rPr>
        <w:t>” means the Datasite electronic data room for Project Megalodon maintained by Seller.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Willful Breach</w:t>
      </w:r>
      <w:r>
        <w:rPr>
          <w:rFonts w:ascii="Times New Roman" w:hAnsi="Times New Roman"/>
          <w:color w:val="000000"/>
          <w:sz w:val="20"/>
        </w:rPr>
        <w:t>” means a deliberate act or a deliberate failure to act, taken or not taken with the actual knowledge that such act or failure to act would, or would reasonably be expected to, result in or constitute a material breach of this Agreement, regardless of whether breaching was the object of the act or failure to act.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Working Capital</w:t>
      </w:r>
      <w:r>
        <w:rPr>
          <w:rFonts w:ascii="Times New Roman" w:hAnsi="Times New Roman"/>
          <w:color w:val="000000"/>
          <w:sz w:val="20"/>
        </w:rPr>
        <w:t>” means, at any time of determination, all Current Assets minus all Current Liabilities as of such time.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1.02        </w:t>
      </w:r>
      <w:r>
        <w:rPr>
          <w:rFonts w:ascii="Times New Roman" w:hAnsi="Times New Roman"/>
          <w:color w:val="000000"/>
          <w:sz w:val="20"/>
          <w:u w:val="single"/>
        </w:rPr>
        <w:t>Other Definitions</w:t>
      </w:r>
      <w:r>
        <w:rPr>
          <w:rFonts w:ascii="Times New Roman" w:hAnsi="Times New Roman"/>
          <w:color w:val="000000"/>
          <w:sz w:val="20"/>
        </w:rPr>
        <w:t>. The following terms are defined in the Section of this Agreement set forth after such term below:</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 w:name="z611551cbe76c4936879460de9e4cc765"/>
      <w:bookmarkStart w:id="9" w:name="z611551cbe76c4936879460de9e4cc765"/>
      <w:bookmarkEnd w:id="9"/>
    </w:p>
    <w:tbl>
      <w:tblPr>
        <w:tblW w:w="5185" w:type="dxa"/>
        <w:jc w:val="left"/>
        <w:tblInd w:w="0" w:type="dxa"/>
        <w:tblLayout w:type="fixed"/>
        <w:tblCellMar>
          <w:top w:w="0" w:type="dxa"/>
          <w:left w:w="0" w:type="dxa"/>
          <w:bottom w:w="0" w:type="dxa"/>
          <w:right w:w="0" w:type="dxa"/>
        </w:tblCellMar>
      </w:tblPr>
      <w:tblGrid>
        <w:gridCol w:w="3635"/>
        <w:gridCol w:w="1550"/>
      </w:tblGrid>
      <w:tr>
        <w:trPr/>
        <w:tc>
          <w:tcPr>
            <w:tcW w:w="36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Term</w:t>
            </w:r>
          </w:p>
        </w:tc>
        <w:tc>
          <w:tcPr>
            <w:tcW w:w="1550" w:type="dxa"/>
            <w:tcBorders/>
            <w:vAlign w:val="center"/>
          </w:tcPr>
          <w:p>
            <w:pPr>
              <w:pStyle w:val="TableContents"/>
              <w:bidi w:val="0"/>
              <w:spacing w:before="0" w:after="0"/>
              <w:jc w:val="right"/>
              <w:rPr>
                <w:rFonts w:ascii="Times New Roman" w:hAnsi="Times New Roman"/>
                <w:b/>
                <w:sz w:val="20"/>
              </w:rPr>
            </w:pPr>
            <w:r>
              <w:rPr>
                <w:rFonts w:ascii="Times New Roman" w:hAnsi="Times New Roman"/>
                <w:b/>
                <w:sz w:val="20"/>
              </w:rPr>
              <w:t>Section</w:t>
            </w:r>
          </w:p>
        </w:tc>
      </w:tr>
      <w:tr>
        <w:trPr/>
        <w:tc>
          <w:tcPr>
            <w:tcW w:w="3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245A Election</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5.07(e)</w:t>
            </w:r>
          </w:p>
        </w:tc>
      </w:tr>
      <w:tr>
        <w:trPr/>
        <w:tc>
          <w:tcPr>
            <w:tcW w:w="3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Acceptable Confidentiality Agreement</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5.18(b)</w:t>
            </w:r>
          </w:p>
        </w:tc>
      </w:tr>
      <w:tr>
        <w:trPr/>
        <w:tc>
          <w:tcPr>
            <w:tcW w:w="3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Acquired Business</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5.20(a)(iii)</w:t>
            </w:r>
          </w:p>
        </w:tc>
      </w:tr>
      <w:tr>
        <w:trPr/>
        <w:tc>
          <w:tcPr>
            <w:tcW w:w="3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Acquired Competing Business</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5.20(a)(iii)</w:t>
            </w:r>
          </w:p>
        </w:tc>
      </w:tr>
      <w:tr>
        <w:trPr/>
        <w:tc>
          <w:tcPr>
            <w:tcW w:w="3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Additional Consideration</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2.12(a)</w:t>
            </w:r>
          </w:p>
        </w:tc>
      </w:tr>
      <w:tr>
        <w:trPr/>
        <w:tc>
          <w:tcPr>
            <w:tcW w:w="3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Additional Consideration Period</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2.12(a)</w:t>
            </w:r>
          </w:p>
        </w:tc>
      </w:tr>
      <w:tr>
        <w:trPr/>
        <w:tc>
          <w:tcPr>
            <w:tcW w:w="3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Agreement</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Preamble</w:t>
            </w:r>
          </w:p>
        </w:tc>
      </w:tr>
      <w:tr>
        <w:trPr/>
        <w:tc>
          <w:tcPr>
            <w:tcW w:w="3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Applicable Anti-bribery Law</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3.08(b)</w:t>
            </w:r>
          </w:p>
        </w:tc>
      </w:tr>
      <w:tr>
        <w:trPr/>
        <w:tc>
          <w:tcPr>
            <w:tcW w:w="3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Asset Sale</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2.01(b)</w:t>
            </w:r>
          </w:p>
        </w:tc>
      </w:tr>
      <w:tr>
        <w:trPr/>
        <w:tc>
          <w:tcPr>
            <w:tcW w:w="3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Assumed Liabilities</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2.03</w:t>
            </w:r>
          </w:p>
        </w:tc>
      </w:tr>
      <w:tr>
        <w:trPr/>
        <w:tc>
          <w:tcPr>
            <w:tcW w:w="3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Bankruptcy and Equity Exception</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3.04(a)</w:t>
            </w:r>
          </w:p>
        </w:tc>
      </w:tr>
      <w:tr>
        <w:trPr/>
        <w:tc>
          <w:tcPr>
            <w:tcW w:w="36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Base Seller Note</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2.08</w:t>
            </w:r>
          </w:p>
        </w:tc>
      </w:tr>
      <w:tr>
        <w:trPr/>
        <w:tc>
          <w:tcPr>
            <w:tcW w:w="3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Benefit Plan</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3.11(a)</w:t>
            </w:r>
          </w:p>
        </w:tc>
      </w:tr>
      <w:tr>
        <w:trPr/>
        <w:tc>
          <w:tcPr>
            <w:tcW w:w="3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Benefit Protection Period</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5.06(b)</w:t>
            </w:r>
          </w:p>
        </w:tc>
      </w:tr>
      <w:tr>
        <w:trPr/>
        <w:tc>
          <w:tcPr>
            <w:tcW w:w="3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Business Acquisition Proposal</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5.15(d)</w:t>
            </w:r>
          </w:p>
        </w:tc>
      </w:tr>
      <w:tr>
        <w:trPr/>
        <w:tc>
          <w:tcPr>
            <w:tcW w:w="3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Business Alternative Acquisition Agreement</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5.15(e)</w:t>
            </w:r>
          </w:p>
        </w:tc>
      </w:tr>
      <w:tr>
        <w:trPr/>
        <w:tc>
          <w:tcPr>
            <w:tcW w:w="3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Business Consultant Schedule</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3.14(b)</w:t>
            </w:r>
          </w:p>
        </w:tc>
      </w:tr>
      <w:tr>
        <w:trPr/>
        <w:tc>
          <w:tcPr>
            <w:tcW w:w="3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Business Employee Schedule</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3.14(a)</w:t>
            </w:r>
          </w:p>
        </w:tc>
      </w:tr>
      <w:tr>
        <w:trPr/>
        <w:tc>
          <w:tcPr>
            <w:tcW w:w="3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Business Financial Information</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3.06</w:t>
            </w:r>
          </w:p>
        </w:tc>
      </w:tr>
      <w:tr>
        <w:trPr/>
        <w:tc>
          <w:tcPr>
            <w:tcW w:w="3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Business Guarantees</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5.13</w:t>
            </w:r>
          </w:p>
        </w:tc>
      </w:tr>
      <w:tr>
        <w:trPr/>
        <w:tc>
          <w:tcPr>
            <w:tcW w:w="3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Business Intervening Event</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5.15(d)</w:t>
            </w:r>
          </w:p>
        </w:tc>
      </w:tr>
      <w:tr>
        <w:trPr/>
        <w:tc>
          <w:tcPr>
            <w:tcW w:w="3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Business Superior Proposal</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5.15(d)</w:t>
            </w:r>
          </w:p>
        </w:tc>
      </w:tr>
      <w:tr>
        <w:trPr/>
        <w:tc>
          <w:tcPr>
            <w:tcW w:w="3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Buyer</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Preamble</w:t>
            </w:r>
          </w:p>
        </w:tc>
      </w:tr>
      <w:tr>
        <w:trPr/>
        <w:tc>
          <w:tcPr>
            <w:tcW w:w="3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Buyer DC Plan</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5.06(h)</w:t>
            </w:r>
          </w:p>
        </w:tc>
      </w:tr>
      <w:tr>
        <w:trPr/>
        <w:tc>
          <w:tcPr>
            <w:tcW w:w="3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Buyer Fee Reimbursement</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7.02(b)</w:t>
            </w:r>
          </w:p>
        </w:tc>
      </w:tr>
      <w:tr>
        <w:trPr/>
        <w:tc>
          <w:tcPr>
            <w:tcW w:w="3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Buyer Indemnified Persons</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8.02(a)</w:t>
            </w:r>
          </w:p>
        </w:tc>
      </w:tr>
      <w:tr>
        <w:trPr/>
        <w:tc>
          <w:tcPr>
            <w:tcW w:w="3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Buyer’s Cafeteria Plan</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5.06(i)</w:t>
            </w:r>
          </w:p>
        </w:tc>
      </w:tr>
      <w:tr>
        <w:trPr/>
        <w:tc>
          <w:tcPr>
            <w:tcW w:w="3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 in Recommendation</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5.15(e)</w:t>
            </w:r>
          </w:p>
        </w:tc>
      </w:tr>
      <w:tr>
        <w:trPr/>
        <w:tc>
          <w:tcPr>
            <w:tcW w:w="3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Claim Notice</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8.03(a)</w:t>
            </w:r>
          </w:p>
        </w:tc>
      </w:tr>
      <w:tr>
        <w:trPr/>
        <w:tc>
          <w:tcPr>
            <w:tcW w:w="3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Closing</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2.05</w:t>
            </w:r>
          </w:p>
        </w:tc>
      </w:tr>
      <w:tr>
        <w:trPr/>
        <w:tc>
          <w:tcPr>
            <w:tcW w:w="3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Closing Date</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2.05</w:t>
            </w:r>
          </w:p>
        </w:tc>
      </w:tr>
      <w:tr>
        <w:trPr/>
        <w:tc>
          <w:tcPr>
            <w:tcW w:w="3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Closing Payment</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2.06</w:t>
            </w:r>
          </w:p>
        </w:tc>
      </w:tr>
      <w:tr>
        <w:trPr/>
        <w:tc>
          <w:tcPr>
            <w:tcW w:w="3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Company Benefit Plan</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3.11(a)</w:t>
            </w:r>
          </w:p>
        </w:tc>
      </w:tr>
      <w:tr>
        <w:trPr/>
        <w:tc>
          <w:tcPr>
            <w:tcW w:w="3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Competing Business</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5.20(a)</w:t>
            </w:r>
          </w:p>
        </w:tc>
      </w:tr>
      <w:tr>
        <w:trPr/>
        <w:tc>
          <w:tcPr>
            <w:tcW w:w="3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Consent</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3.05(b)</w:t>
            </w:r>
          </w:p>
        </w:tc>
      </w:tr>
      <w:tr>
        <w:trPr/>
        <w:tc>
          <w:tcPr>
            <w:tcW w:w="3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D&amp;O Indemnified Person</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5.05(a)</w:t>
            </w:r>
          </w:p>
        </w:tc>
      </w:tr>
      <w:tr>
        <w:trPr/>
        <w:tc>
          <w:tcPr>
            <w:tcW w:w="3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D&amp;O Tail Policy</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5.05(b)</w:t>
            </w:r>
          </w:p>
        </w:tc>
      </w:tr>
      <w:tr>
        <w:trPr/>
        <w:tc>
          <w:tcPr>
            <w:tcW w:w="3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Damage Estimate</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8.03(a)</w:t>
            </w:r>
          </w:p>
        </w:tc>
      </w:tr>
      <w:tr>
        <w:trPr/>
        <w:tc>
          <w:tcPr>
            <w:tcW w:w="3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DGCL</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5.05(a)</w:t>
            </w:r>
          </w:p>
        </w:tc>
      </w:tr>
      <w:tr>
        <w:trPr/>
        <w:tc>
          <w:tcPr>
            <w:tcW w:w="3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Disputed Amounts</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2.09(d)</w:t>
            </w:r>
          </w:p>
        </w:tc>
      </w:tr>
      <w:tr>
        <w:trPr/>
        <w:tc>
          <w:tcPr>
            <w:tcW w:w="3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Disputed Items</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2.09(c)</w:t>
            </w:r>
          </w:p>
        </w:tc>
      </w:tr>
      <w:tr>
        <w:trPr/>
        <w:tc>
          <w:tcPr>
            <w:tcW w:w="3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Environmental Law</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3.10(b)</w:t>
            </w:r>
          </w:p>
        </w:tc>
      </w:tr>
      <w:tr>
        <w:trPr/>
        <w:tc>
          <w:tcPr>
            <w:tcW w:w="3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ERISA</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3.11(a)</w:t>
            </w:r>
          </w:p>
        </w:tc>
      </w:tr>
    </w:tbl>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18</w:t>
      </w:r>
    </w:p>
    <w:p>
      <w:pPr>
        <w:pStyle w:val="HorizontalLine"/>
        <w:pBdr>
          <w:bottom w:val="single" w:sz="12" w:space="0" w:color="808080"/>
        </w:pBdr>
        <w:bidi w:val="0"/>
        <w:spacing w:before="200" w:after="200"/>
        <w:jc w:val="left"/>
        <w:rPr/>
      </w:pPr>
      <w:r>
        <w:rPr/>
      </w:r>
    </w:p>
    <w:tbl>
      <w:tblPr>
        <w:tblW w:w="5125" w:type="dxa"/>
        <w:jc w:val="left"/>
        <w:tblInd w:w="0" w:type="dxa"/>
        <w:tblLayout w:type="fixed"/>
        <w:tblCellMar>
          <w:top w:w="0" w:type="dxa"/>
          <w:left w:w="0" w:type="dxa"/>
          <w:bottom w:w="0" w:type="dxa"/>
          <w:right w:w="0" w:type="dxa"/>
        </w:tblCellMar>
      </w:tblPr>
      <w:tblGrid>
        <w:gridCol w:w="3575"/>
        <w:gridCol w:w="1550"/>
      </w:tblGrid>
      <w:tr>
        <w:trPr/>
        <w:tc>
          <w:tcPr>
            <w:tcW w:w="357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Estimated Closing Payment</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2.07</w:t>
            </w:r>
          </w:p>
        </w:tc>
      </w:tr>
      <w:tr>
        <w:trPr/>
        <w:tc>
          <w:tcPr>
            <w:tcW w:w="3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Estimated Closing Statement</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2.07</w:t>
            </w:r>
          </w:p>
        </w:tc>
      </w:tr>
      <w:tr>
        <w:trPr/>
        <w:tc>
          <w:tcPr>
            <w:tcW w:w="3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Excluded Assets</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2.02</w:t>
            </w:r>
          </w:p>
        </w:tc>
      </w:tr>
      <w:tr>
        <w:trPr/>
        <w:tc>
          <w:tcPr>
            <w:tcW w:w="3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Excluded Liabilities</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2.04</w:t>
            </w:r>
          </w:p>
        </w:tc>
      </w:tr>
      <w:tr>
        <w:trPr/>
        <w:tc>
          <w:tcPr>
            <w:tcW w:w="3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Final Closing Date Cash</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2.09(g)</w:t>
            </w:r>
          </w:p>
        </w:tc>
      </w:tr>
      <w:tr>
        <w:trPr/>
        <w:tc>
          <w:tcPr>
            <w:tcW w:w="3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Final Closing Date Indebtedness</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2.09(g)</w:t>
            </w:r>
          </w:p>
        </w:tc>
      </w:tr>
      <w:tr>
        <w:trPr/>
        <w:tc>
          <w:tcPr>
            <w:tcW w:w="3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Final Closing Date Working Capital</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2.09(g)</w:t>
            </w:r>
          </w:p>
        </w:tc>
      </w:tr>
      <w:tr>
        <w:trPr/>
        <w:tc>
          <w:tcPr>
            <w:tcW w:w="3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Final Closing Payment</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2.09(h)</w:t>
            </w:r>
          </w:p>
        </w:tc>
      </w:tr>
      <w:tr>
        <w:trPr/>
        <w:tc>
          <w:tcPr>
            <w:tcW w:w="3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Final Transaction Expenses</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2.09(g)</w:t>
            </w:r>
          </w:p>
        </w:tc>
      </w:tr>
      <w:tr>
        <w:trPr/>
        <w:tc>
          <w:tcPr>
            <w:tcW w:w="3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Forward-Looking Statements</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4.10(c)</w:t>
            </w:r>
          </w:p>
        </w:tc>
      </w:tr>
      <w:tr>
        <w:trPr/>
        <w:tc>
          <w:tcPr>
            <w:tcW w:w="3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Hazardous Substance</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3.10(c)</w:t>
            </w:r>
          </w:p>
        </w:tc>
      </w:tr>
      <w:tr>
        <w:trPr/>
        <w:tc>
          <w:tcPr>
            <w:tcW w:w="3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Inactive Business Employee</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5.06(a)(iii)</w:t>
            </w:r>
          </w:p>
        </w:tc>
      </w:tr>
      <w:tr>
        <w:trPr/>
        <w:tc>
          <w:tcPr>
            <w:tcW w:w="3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Indemnified Party</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8.03(a)</w:t>
            </w:r>
          </w:p>
        </w:tc>
      </w:tr>
      <w:tr>
        <w:trPr/>
        <w:tc>
          <w:tcPr>
            <w:tcW w:w="3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Indemnified Third-Party Claim Materials</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9.15(b)</w:t>
            </w:r>
          </w:p>
        </w:tc>
      </w:tr>
      <w:tr>
        <w:trPr/>
        <w:tc>
          <w:tcPr>
            <w:tcW w:w="3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Indemnifying Party</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8.03(a)</w:t>
            </w:r>
          </w:p>
        </w:tc>
      </w:tr>
      <w:tr>
        <w:trPr/>
        <w:tc>
          <w:tcPr>
            <w:tcW w:w="3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Independent Accountant</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2.09(d)</w:t>
            </w:r>
          </w:p>
        </w:tc>
      </w:tr>
      <w:tr>
        <w:trPr/>
        <w:tc>
          <w:tcPr>
            <w:tcW w:w="3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Initial Buyer Fee Reimbursement</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7.02(b)</w:t>
            </w:r>
          </w:p>
        </w:tc>
      </w:tr>
      <w:tr>
        <w:trPr/>
        <w:tc>
          <w:tcPr>
            <w:tcW w:w="3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Initial Buyer Fee Reimbursement Date</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7.02(b)</w:t>
            </w:r>
          </w:p>
        </w:tc>
      </w:tr>
      <w:tr>
        <w:trPr/>
        <w:tc>
          <w:tcPr>
            <w:tcW w:w="3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Latest Business Balance Sheet</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3.06</w:t>
            </w:r>
          </w:p>
        </w:tc>
      </w:tr>
      <w:tr>
        <w:trPr/>
        <w:tc>
          <w:tcPr>
            <w:tcW w:w="3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Leased Real Property</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3.17(b)</w:t>
            </w:r>
          </w:p>
        </w:tc>
      </w:tr>
      <w:tr>
        <w:trPr/>
        <w:tc>
          <w:tcPr>
            <w:tcW w:w="3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Legal Restraint</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6.01(b)</w:t>
            </w:r>
          </w:p>
        </w:tc>
      </w:tr>
      <w:tr>
        <w:trPr/>
        <w:tc>
          <w:tcPr>
            <w:tcW w:w="3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Local Transfer Documents</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2.14</w:t>
            </w:r>
          </w:p>
        </w:tc>
      </w:tr>
      <w:tr>
        <w:trPr/>
        <w:tc>
          <w:tcPr>
            <w:tcW w:w="3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Material Contract</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3.18(a)</w:t>
            </w:r>
          </w:p>
        </w:tc>
      </w:tr>
      <w:tr>
        <w:trPr/>
        <w:tc>
          <w:tcPr>
            <w:tcW w:w="3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Material Customer</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3.19(a)</w:t>
            </w:r>
          </w:p>
        </w:tc>
      </w:tr>
      <w:tr>
        <w:trPr/>
        <w:tc>
          <w:tcPr>
            <w:tcW w:w="3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Material Supplier</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3.19(b)</w:t>
            </w:r>
          </w:p>
        </w:tc>
      </w:tr>
      <w:tr>
        <w:trPr/>
        <w:tc>
          <w:tcPr>
            <w:tcW w:w="3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Microfluidics Divestiture Closing Date</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5.09(a)(i)</w:t>
            </w:r>
          </w:p>
        </w:tc>
      </w:tr>
      <w:tr>
        <w:trPr/>
        <w:tc>
          <w:tcPr>
            <w:tcW w:w="3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Negative Adjustment Amount</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2.09(h)(ii)</w:t>
            </w:r>
          </w:p>
        </w:tc>
      </w:tr>
      <w:tr>
        <w:trPr/>
        <w:tc>
          <w:tcPr>
            <w:tcW w:w="3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Non-Qualifying Transaction Dispute Notice</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2.12(f)</w:t>
            </w:r>
          </w:p>
        </w:tc>
      </w:tr>
      <w:tr>
        <w:trPr/>
        <w:tc>
          <w:tcPr>
            <w:tcW w:w="3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Non-Qualifying Transaction Notice</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2.12(e)</w:t>
            </w:r>
          </w:p>
        </w:tc>
      </w:tr>
      <w:tr>
        <w:trPr/>
        <w:tc>
          <w:tcPr>
            <w:tcW w:w="3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Non-U.S. Plan</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3.11(i)</w:t>
            </w:r>
          </w:p>
        </w:tc>
      </w:tr>
      <w:tr>
        <w:trPr/>
        <w:tc>
          <w:tcPr>
            <w:tcW w:w="3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Objections Notice</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2.10(b)</w:t>
            </w:r>
          </w:p>
        </w:tc>
      </w:tr>
      <w:tr>
        <w:trPr/>
        <w:tc>
          <w:tcPr>
            <w:tcW w:w="3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Offer Employee</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5.06(a)(ii)</w:t>
            </w:r>
          </w:p>
        </w:tc>
      </w:tr>
      <w:tr>
        <w:trPr/>
        <w:tc>
          <w:tcPr>
            <w:tcW w:w="3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Outside Date</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7.01(b)</w:t>
            </w:r>
          </w:p>
        </w:tc>
      </w:tr>
      <w:tr>
        <w:trPr/>
        <w:tc>
          <w:tcPr>
            <w:tcW w:w="3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Positive Adjustment Amount</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2.09(h)(i)</w:t>
            </w:r>
          </w:p>
        </w:tc>
      </w:tr>
      <w:tr>
        <w:trPr/>
        <w:tc>
          <w:tcPr>
            <w:tcW w:w="3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Post-Closing Statement</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2.09(a)</w:t>
            </w:r>
          </w:p>
        </w:tc>
      </w:tr>
      <w:tr>
        <w:trPr/>
        <w:tc>
          <w:tcPr>
            <w:tcW w:w="3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Pre-Closing Employment Liabilities</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5.06(m)</w:t>
            </w:r>
          </w:p>
        </w:tc>
      </w:tr>
      <w:tr>
        <w:trPr/>
        <w:tc>
          <w:tcPr>
            <w:tcW w:w="3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Pre-Closing Period</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5.01(a)</w:t>
            </w:r>
          </w:p>
        </w:tc>
      </w:tr>
      <w:tr>
        <w:trPr/>
        <w:tc>
          <w:tcPr>
            <w:tcW w:w="3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Pre-Closing Representation</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9.15(a)</w:t>
            </w:r>
          </w:p>
        </w:tc>
      </w:tr>
      <w:tr>
        <w:trPr/>
        <w:tc>
          <w:tcPr>
            <w:tcW w:w="3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Privacy Laws</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3.16(a)</w:t>
            </w:r>
          </w:p>
        </w:tc>
      </w:tr>
      <w:tr>
        <w:trPr/>
        <w:tc>
          <w:tcPr>
            <w:tcW w:w="3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Proxy Statement</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5.16(a)</w:t>
            </w:r>
          </w:p>
        </w:tc>
      </w:tr>
      <w:tr>
        <w:trPr/>
        <w:tc>
          <w:tcPr>
            <w:tcW w:w="3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Purchase Price</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2.06</w:t>
            </w:r>
          </w:p>
        </w:tc>
      </w:tr>
      <w:tr>
        <w:trPr/>
        <w:tc>
          <w:tcPr>
            <w:tcW w:w="3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Purchase Price Allocation Schedule</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2.10(b)</w:t>
            </w:r>
          </w:p>
        </w:tc>
      </w:tr>
      <w:tr>
        <w:trPr/>
        <w:tc>
          <w:tcPr>
            <w:tcW w:w="3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R&amp;W Policy</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5.08</w:t>
            </w:r>
          </w:p>
        </w:tc>
      </w:tr>
      <w:tr>
        <w:trPr/>
        <w:tc>
          <w:tcPr>
            <w:tcW w:w="3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Real Property</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3.17(b)</w:t>
            </w:r>
          </w:p>
        </w:tc>
      </w:tr>
      <w:tr>
        <w:trPr/>
        <w:tc>
          <w:tcPr>
            <w:tcW w:w="3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Real Property Lease</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3.17(c)</w:t>
            </w:r>
          </w:p>
        </w:tc>
      </w:tr>
      <w:tr>
        <w:trPr/>
        <w:tc>
          <w:tcPr>
            <w:tcW w:w="3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Recall</w:t>
            </w:r>
          </w:p>
        </w:tc>
        <w:tc>
          <w:tcPr>
            <w:tcW w:w="155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3.24</w:t>
            </w:r>
          </w:p>
        </w:tc>
      </w:tr>
    </w:tbl>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19</w:t>
      </w:r>
    </w:p>
    <w:p>
      <w:pPr>
        <w:pStyle w:val="HorizontalLine"/>
        <w:pBdr>
          <w:bottom w:val="single" w:sz="12" w:space="0" w:color="808080"/>
        </w:pBdr>
        <w:bidi w:val="0"/>
        <w:spacing w:before="200" w:after="200"/>
        <w:jc w:val="left"/>
        <w:rPr/>
      </w:pPr>
      <w:r>
        <w:rPr/>
      </w:r>
    </w:p>
    <w:tbl>
      <w:tblPr>
        <w:tblW w:w="4660" w:type="dxa"/>
        <w:jc w:val="left"/>
        <w:tblInd w:w="0" w:type="dxa"/>
        <w:tblLayout w:type="fixed"/>
        <w:tblCellMar>
          <w:top w:w="0" w:type="dxa"/>
          <w:left w:w="0" w:type="dxa"/>
          <w:bottom w:w="0" w:type="dxa"/>
          <w:right w:w="0" w:type="dxa"/>
        </w:tblCellMar>
      </w:tblPr>
      <w:tblGrid>
        <w:gridCol w:w="3230"/>
        <w:gridCol w:w="1430"/>
      </w:tblGrid>
      <w:tr>
        <w:trPr/>
        <w:tc>
          <w:tcPr>
            <w:tcW w:w="3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Receiving Party</w:t>
            </w:r>
          </w:p>
        </w:tc>
        <w:tc>
          <w:tcPr>
            <w:tcW w:w="14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2.09(c)</w:t>
            </w:r>
          </w:p>
        </w:tc>
      </w:tr>
      <w:tr>
        <w:trPr/>
        <w:tc>
          <w:tcPr>
            <w:tcW w:w="3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Registration Statement</w:t>
            </w:r>
          </w:p>
        </w:tc>
        <w:tc>
          <w:tcPr>
            <w:tcW w:w="14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5.17(a)</w:t>
            </w:r>
          </w:p>
        </w:tc>
      </w:tr>
      <w:tr>
        <w:trPr/>
        <w:tc>
          <w:tcPr>
            <w:tcW w:w="3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Release</w:t>
            </w:r>
          </w:p>
        </w:tc>
        <w:tc>
          <w:tcPr>
            <w:tcW w:w="14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3.10(d)</w:t>
            </w:r>
          </w:p>
        </w:tc>
      </w:tr>
      <w:tr>
        <w:trPr/>
        <w:tc>
          <w:tcPr>
            <w:tcW w:w="3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Resolution Period</w:t>
            </w:r>
          </w:p>
        </w:tc>
        <w:tc>
          <w:tcPr>
            <w:tcW w:w="14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2.09(d)</w:t>
            </w:r>
          </w:p>
        </w:tc>
      </w:tr>
      <w:tr>
        <w:trPr/>
        <w:tc>
          <w:tcPr>
            <w:tcW w:w="3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Restricted Contracts</w:t>
            </w:r>
          </w:p>
        </w:tc>
        <w:tc>
          <w:tcPr>
            <w:tcW w:w="14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2.13(a)</w:t>
            </w:r>
          </w:p>
        </w:tc>
      </w:tr>
      <w:tr>
        <w:trPr/>
        <w:tc>
          <w:tcPr>
            <w:tcW w:w="3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Retained Name Rights</w:t>
            </w:r>
          </w:p>
        </w:tc>
        <w:tc>
          <w:tcPr>
            <w:tcW w:w="14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5.09(b)</w:t>
            </w:r>
          </w:p>
        </w:tc>
      </w:tr>
      <w:tr>
        <w:trPr/>
        <w:tc>
          <w:tcPr>
            <w:tcW w:w="3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Retained Name Rights Period</w:t>
            </w:r>
          </w:p>
        </w:tc>
        <w:tc>
          <w:tcPr>
            <w:tcW w:w="14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5.09(b)</w:t>
            </w:r>
          </w:p>
        </w:tc>
      </w:tr>
      <w:tr>
        <w:trPr/>
        <w:tc>
          <w:tcPr>
            <w:tcW w:w="3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Review Period</w:t>
            </w:r>
          </w:p>
        </w:tc>
        <w:tc>
          <w:tcPr>
            <w:tcW w:w="14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2.09(c)</w:t>
            </w:r>
          </w:p>
        </w:tc>
      </w:tr>
      <w:tr>
        <w:trPr/>
        <w:tc>
          <w:tcPr>
            <w:tcW w:w="3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Sale</w:t>
            </w:r>
          </w:p>
        </w:tc>
        <w:tc>
          <w:tcPr>
            <w:tcW w:w="14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2.01(b)</w:t>
            </w:r>
          </w:p>
        </w:tc>
      </w:tr>
      <w:tr>
        <w:trPr/>
        <w:tc>
          <w:tcPr>
            <w:tcW w:w="3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Second Buyer Fee Reimbursement</w:t>
            </w:r>
          </w:p>
        </w:tc>
        <w:tc>
          <w:tcPr>
            <w:tcW w:w="14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7.02(b)</w:t>
            </w:r>
          </w:p>
        </w:tc>
      </w:tr>
      <w:tr>
        <w:trPr/>
        <w:tc>
          <w:tcPr>
            <w:tcW w:w="3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Second Buyer Fee Reimbursement Date</w:t>
            </w:r>
          </w:p>
        </w:tc>
        <w:tc>
          <w:tcPr>
            <w:tcW w:w="14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7.02(b)</w:t>
            </w:r>
          </w:p>
        </w:tc>
      </w:tr>
      <w:tr>
        <w:trPr/>
        <w:tc>
          <w:tcPr>
            <w:tcW w:w="3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Seller</w:t>
            </w:r>
          </w:p>
        </w:tc>
        <w:tc>
          <w:tcPr>
            <w:tcW w:w="14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Preamble</w:t>
            </w:r>
          </w:p>
        </w:tc>
      </w:tr>
      <w:tr>
        <w:trPr/>
        <w:tc>
          <w:tcPr>
            <w:tcW w:w="3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Seller Board</w:t>
            </w:r>
          </w:p>
        </w:tc>
        <w:tc>
          <w:tcPr>
            <w:tcW w:w="14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Recitals</w:t>
            </w:r>
          </w:p>
        </w:tc>
      </w:tr>
      <w:tr>
        <w:trPr/>
        <w:tc>
          <w:tcPr>
            <w:tcW w:w="3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Seller Board Recommendation</w:t>
            </w:r>
          </w:p>
        </w:tc>
        <w:tc>
          <w:tcPr>
            <w:tcW w:w="14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Recitals</w:t>
            </w:r>
          </w:p>
        </w:tc>
      </w:tr>
      <w:tr>
        <w:trPr/>
        <w:tc>
          <w:tcPr>
            <w:tcW w:w="3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Seller Counsel</w:t>
            </w:r>
          </w:p>
        </w:tc>
        <w:tc>
          <w:tcPr>
            <w:tcW w:w="14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9.15(a)</w:t>
            </w:r>
          </w:p>
        </w:tc>
      </w:tr>
      <w:tr>
        <w:trPr/>
        <w:tc>
          <w:tcPr>
            <w:tcW w:w="3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Seller DC Plan</w:t>
            </w:r>
          </w:p>
        </w:tc>
        <w:tc>
          <w:tcPr>
            <w:tcW w:w="14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5.06(h)</w:t>
            </w:r>
          </w:p>
        </w:tc>
      </w:tr>
      <w:tr>
        <w:trPr/>
        <w:tc>
          <w:tcPr>
            <w:tcW w:w="323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Seller Note Amount</w:t>
            </w:r>
          </w:p>
        </w:tc>
        <w:tc>
          <w:tcPr>
            <w:tcW w:w="14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2.08</w:t>
            </w:r>
          </w:p>
        </w:tc>
      </w:tr>
      <w:tr>
        <w:trPr/>
        <w:tc>
          <w:tcPr>
            <w:tcW w:w="3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Seller Preparation Period</w:t>
            </w:r>
          </w:p>
        </w:tc>
        <w:tc>
          <w:tcPr>
            <w:tcW w:w="14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2.09(a)</w:t>
            </w:r>
          </w:p>
        </w:tc>
      </w:tr>
      <w:tr>
        <w:trPr/>
        <w:tc>
          <w:tcPr>
            <w:tcW w:w="3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Seller Related Person</w:t>
            </w:r>
          </w:p>
        </w:tc>
        <w:tc>
          <w:tcPr>
            <w:tcW w:w="14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9.15(a)</w:t>
            </w:r>
          </w:p>
        </w:tc>
      </w:tr>
      <w:tr>
        <w:trPr/>
        <w:tc>
          <w:tcPr>
            <w:tcW w:w="3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Seller Return</w:t>
            </w:r>
          </w:p>
        </w:tc>
        <w:tc>
          <w:tcPr>
            <w:tcW w:w="14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5.07(a)(i)</w:t>
            </w:r>
          </w:p>
        </w:tc>
      </w:tr>
      <w:tr>
        <w:trPr/>
        <w:tc>
          <w:tcPr>
            <w:tcW w:w="3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Seller Stockholder Approval</w:t>
            </w:r>
          </w:p>
        </w:tc>
        <w:tc>
          <w:tcPr>
            <w:tcW w:w="14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3.04(c)</w:t>
            </w:r>
          </w:p>
        </w:tc>
      </w:tr>
      <w:tr>
        <w:trPr/>
        <w:tc>
          <w:tcPr>
            <w:tcW w:w="3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Seller Stockholders Meeting</w:t>
            </w:r>
          </w:p>
        </w:tc>
        <w:tc>
          <w:tcPr>
            <w:tcW w:w="14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5.17(a)</w:t>
            </w:r>
          </w:p>
        </w:tc>
      </w:tr>
      <w:tr>
        <w:trPr/>
        <w:tc>
          <w:tcPr>
            <w:tcW w:w="3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Seller Working Capital Note</w:t>
            </w:r>
          </w:p>
        </w:tc>
        <w:tc>
          <w:tcPr>
            <w:tcW w:w="14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5.19(b)</w:t>
            </w:r>
          </w:p>
        </w:tc>
      </w:tr>
      <w:tr>
        <w:trPr/>
        <w:tc>
          <w:tcPr>
            <w:tcW w:w="3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Seller’s Cafeteria Plan</w:t>
            </w:r>
          </w:p>
        </w:tc>
        <w:tc>
          <w:tcPr>
            <w:tcW w:w="14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5.06(i)</w:t>
            </w:r>
          </w:p>
        </w:tc>
      </w:tr>
      <w:tr>
        <w:trPr/>
        <w:tc>
          <w:tcPr>
            <w:tcW w:w="3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 Sale</w:t>
            </w:r>
          </w:p>
        </w:tc>
        <w:tc>
          <w:tcPr>
            <w:tcW w:w="14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2.01(a)</w:t>
            </w:r>
          </w:p>
        </w:tc>
      </w:tr>
      <w:tr>
        <w:trPr/>
        <w:tc>
          <w:tcPr>
            <w:tcW w:w="3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Shared Contract Transition Periods</w:t>
            </w:r>
          </w:p>
        </w:tc>
        <w:tc>
          <w:tcPr>
            <w:tcW w:w="14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5.12(a)</w:t>
            </w:r>
          </w:p>
        </w:tc>
      </w:tr>
      <w:tr>
        <w:trPr/>
        <w:tc>
          <w:tcPr>
            <w:tcW w:w="3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Shared Contracts</w:t>
            </w:r>
          </w:p>
        </w:tc>
        <w:tc>
          <w:tcPr>
            <w:tcW w:w="14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5.12(a)</w:t>
            </w:r>
          </w:p>
        </w:tc>
      </w:tr>
      <w:tr>
        <w:trPr/>
        <w:tc>
          <w:tcPr>
            <w:tcW w:w="3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Shares</w:t>
            </w:r>
          </w:p>
        </w:tc>
        <w:tc>
          <w:tcPr>
            <w:tcW w:w="14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Recitals</w:t>
            </w:r>
          </w:p>
        </w:tc>
      </w:tr>
      <w:tr>
        <w:trPr/>
        <w:tc>
          <w:tcPr>
            <w:tcW w:w="3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Specified Shared Contracts</w:t>
            </w:r>
          </w:p>
        </w:tc>
        <w:tc>
          <w:tcPr>
            <w:tcW w:w="14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5.12(b)</w:t>
            </w:r>
          </w:p>
        </w:tc>
      </w:tr>
      <w:tr>
        <w:trPr/>
        <w:tc>
          <w:tcPr>
            <w:tcW w:w="3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Statement of Objections</w:t>
            </w:r>
          </w:p>
        </w:tc>
        <w:tc>
          <w:tcPr>
            <w:tcW w:w="14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2.09(c)</w:t>
            </w:r>
          </w:p>
        </w:tc>
      </w:tr>
      <w:tr>
        <w:trPr/>
        <w:tc>
          <w:tcPr>
            <w:tcW w:w="3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Survival Period</w:t>
            </w:r>
          </w:p>
        </w:tc>
        <w:tc>
          <w:tcPr>
            <w:tcW w:w="14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8.01</w:t>
            </w:r>
          </w:p>
        </w:tc>
      </w:tr>
      <w:tr>
        <w:trPr/>
        <w:tc>
          <w:tcPr>
            <w:tcW w:w="3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Third-Party Claim</w:t>
            </w:r>
          </w:p>
        </w:tc>
        <w:tc>
          <w:tcPr>
            <w:tcW w:w="14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8.03(a)</w:t>
            </w:r>
          </w:p>
        </w:tc>
      </w:tr>
      <w:tr>
        <w:trPr/>
        <w:tc>
          <w:tcPr>
            <w:tcW w:w="3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Transferred Assets</w:t>
            </w:r>
          </w:p>
        </w:tc>
        <w:tc>
          <w:tcPr>
            <w:tcW w:w="14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2.01(b)</w:t>
            </w:r>
          </w:p>
        </w:tc>
      </w:tr>
      <w:tr>
        <w:trPr/>
        <w:tc>
          <w:tcPr>
            <w:tcW w:w="3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WARN Act</w:t>
            </w:r>
          </w:p>
        </w:tc>
        <w:tc>
          <w:tcPr>
            <w:tcW w:w="14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5.06(g)</w:t>
            </w:r>
          </w:p>
        </w:tc>
      </w:tr>
      <w:tr>
        <w:trPr/>
        <w:tc>
          <w:tcPr>
            <w:tcW w:w="3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Working Capital Debt Financing</w:t>
            </w:r>
          </w:p>
        </w:tc>
        <w:tc>
          <w:tcPr>
            <w:tcW w:w="143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Section 5.19(a)</w:t>
            </w:r>
          </w:p>
        </w:tc>
      </w:tr>
    </w:tbl>
    <w:p>
      <w:pPr>
        <w:pStyle w:val="TextBody"/>
        <w:bidi w:val="0"/>
        <w:spacing w:before="0" w:after="0"/>
        <w:ind w:left="720" w:right="0" w:hanging="0"/>
        <w:jc w:val="both"/>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1.03       </w:t>
      </w:r>
      <w:r>
        <w:rPr>
          <w:rFonts w:ascii="Times New Roman" w:hAnsi="Times New Roman"/>
          <w:color w:val="000000"/>
          <w:sz w:val="20"/>
          <w:u w:val="single"/>
        </w:rPr>
        <w:t>Terms Generally</w:t>
      </w:r>
      <w:r>
        <w:rPr>
          <w:rFonts w:ascii="Times New Roman" w:hAnsi="Times New Roman"/>
          <w:color w:val="000000"/>
          <w:sz w:val="20"/>
        </w:rPr>
        <w:t>. The Parties have participated jointly in the negotiating and drafting of this Agreement and agree that any rule of construction to the effect that ambiguities are to be resolved against the drafting Party shall not be applied in the construction or interpretation of this Agreement, and no presumption or burden of proof shall arise favoring or disfavoring any Party by virtue of the authorship of any provision of this Agreement. Unless the context otherwise requires expressly: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words in the singular shall include the plural and vice versa, and words of one gender shall include the other genders, in each case, as the context requires;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the terms “hereof,” “herein,” and “herewith” and words of similar import shall, unless otherwise stated, be construed to refer to this Agreement and not to any particular provision of this Agreement, and Article, Section, paragraph, clause, subclause, Exhibit and Schedule references are to the Articles, Sections, paragraphs, clauses or subclauses of, or Exhibits or Schedules to, this Agreement, as applicable, unless otherwise specified;</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the word “including” and words of similar import when used in this Agreement shall mean “including, without limitation,” unless otherwise specified;</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(d)         references herein to any Person shall include such Person’s heirs, executors, personal representatives, administrators, successors and assigns; </w:t>
      </w:r>
      <w:r>
        <w:rPr>
          <w:rFonts w:ascii="Times New Roman" w:hAnsi="Times New Roman"/>
          <w:color w:val="000000"/>
          <w:sz w:val="20"/>
          <w:u w:val="single"/>
        </w:rPr>
        <w:t>provided</w:t>
      </w:r>
      <w:r>
        <w:rPr>
          <w:rFonts w:ascii="Times New Roman" w:hAnsi="Times New Roman"/>
          <w:color w:val="000000"/>
          <w:sz w:val="20"/>
        </w:rPr>
        <w:t xml:space="preserve">, that nothing contained in this </w:t>
      </w:r>
      <w:r>
        <w:rPr>
          <w:rFonts w:ascii="Times New Roman" w:hAnsi="Times New Roman"/>
          <w:color w:val="000000"/>
          <w:sz w:val="20"/>
          <w:u w:val="single"/>
        </w:rPr>
        <w:t>Section 1.03</w:t>
      </w:r>
      <w:r>
        <w:rPr>
          <w:rFonts w:ascii="Times New Roman" w:hAnsi="Times New Roman"/>
          <w:color w:val="000000"/>
          <w:sz w:val="20"/>
        </w:rPr>
        <w:t xml:space="preserve"> is intended to authorize any assignment or transfer not otherwise permitted by </w:t>
      </w:r>
      <w:r>
        <w:rPr>
          <w:rFonts w:ascii="Times New Roman" w:hAnsi="Times New Roman"/>
          <w:color w:val="000000"/>
          <w:sz w:val="20"/>
          <w:u w:val="single"/>
        </w:rPr>
        <w:t>Section 9.08</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(e)        with respect to the determination of any period of time, the word “from” means “from and including” and the words “to” and “until” each means “to but excluding”;</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(f)         references to actions taken by, or omissions of, the Business shall be deemed to include any actions taken by, or omissions of, Seller and its Subsidiaries to the extent relating to the Business;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(g)        statements as to the compliance of the Business with certain facts or circumstances shall be deemed to include compliance of Seller and its Subsidiaries to the extent relating to the Business;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(h)         the term “dollars” and “$” mean United States Dollars, the lawful currency of the United States of America;</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(i)          the word “or” shall be disjunctive but not exclusive;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(j)          references herein to any Law shall be deemed to refer to such Law as amended, modified, codified, reenacted, supplemented or superseded in whole or in part and in effect from time to time, and also to all rules and regulations promulgated thereunder;</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(k)         references herein to any Contract mean such Contract as amended, supplemented or modified in accordance with the terms thereof;</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(l)          references to “made available” mean that such documents or information referenced shall have been (i) contained in the VDR on the calendar day immediately prior to the date of this Agreement, (ii) actually delivered (whether by physical or electronic delivery) upon request to the other Party or its representatives at least one day prior to the date of this Agreement or (iii) disclosed in the respective Party’s SEC documents filed with the SEC prior to the date hereof and publicly made available on the SEC’s Electronic Data Gathering Analysis and Retrieval System;</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(m)       except as otherwise indicated, references in this Agreement to “Sections,” “Articles,” “Exhibits,” and “Schedules” are intended to refer to Sections and Articles of this Agreements and Exhibits and Schedules of this Agreement, respectively and any capitalized terms used in any Exhibits or Schedules but not otherwise defined therein have the meanings ascribed to such terms as in this Agreement;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(n)        headings and table of contents contained in this Agreement are for convenience of reference only, shall not be deemed to be a part of this Agreement and shall not be referred to in connection with the construction or interpretation of this Agreement;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(o)         unless indicated otherwise, (i) any action required to be taken by or on a day or Business Day may be taken until 11:59 PM Eastern Time on such day or Business Day, (ii) all references to “days” shall be to calendar days unless otherwise indicated as a “Business Day” and (iii) all days, Business Days, times and time periods contemplated by this Agreement will be determined by reference to Eastern Time; and</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(p)         references herein to “as of the date hereof,” “as of the date of this Agreement” or words of similar import shall be deemed to mean “as of the date of the execution and delivery of this Agreement.”</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II</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PURCHASE AND SALE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2.01        </w:t>
      </w:r>
      <w:r>
        <w:rPr>
          <w:rFonts w:ascii="Times New Roman" w:hAnsi="Times New Roman"/>
          <w:color w:val="000000"/>
          <w:sz w:val="20"/>
          <w:u w:val="single"/>
        </w:rPr>
        <w:t>Purchase and Sale of the Shares and the Transferred Assets</w:t>
      </w:r>
      <w:r>
        <w:rPr>
          <w:rFonts w:ascii="Times New Roman" w:hAnsi="Times New Roman"/>
          <w:color w:val="000000"/>
          <w:sz w:val="20"/>
        </w:rPr>
        <w:t>. On the terms, and subject to the conditions, of this Agreement, at the Closing:</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Seller shall, or shall cause the applicable Subsidiary Share Transferor to, sell, transfer, assign, convey and deliver to Buyer (or, as applicable, one or more Subsidiaries of Buyer designated by Buyer in writing to Seller not less than three Business Days prior to the Closing Date), and Buyer shall (or, as applicable, shall cause such Subsidiaries of Buyer to) purchase and acquire from Seller or such Subsidiary Share Transferor, all of the Shares (such sale, the “</w:t>
      </w:r>
      <w:r>
        <w:rPr>
          <w:rFonts w:ascii="Times New Roman" w:hAnsi="Times New Roman"/>
          <w:color w:val="000000"/>
          <w:sz w:val="20"/>
          <w:u w:val="single"/>
        </w:rPr>
        <w:t>Share Sale</w:t>
      </w:r>
      <w:r>
        <w:rPr>
          <w:rFonts w:ascii="Times New Roman" w:hAnsi="Times New Roman"/>
          <w:color w:val="000000"/>
          <w:sz w:val="20"/>
        </w:rPr>
        <w:t xml:space="preserve">”), free and clear of all Liens, except Liens relating to the transferability of securities under applicable securities Laws; provided that the transfer of certain Transferred Companies organized in jurisdictions in which local Laws require specified formalities or other procedures to be observed to legally effect a transfer of such Transferred Company shall be effected pursuant to Local Transfer Documents as further described in </w:t>
      </w:r>
      <w:r>
        <w:rPr>
          <w:rFonts w:ascii="Times New Roman" w:hAnsi="Times New Roman"/>
          <w:color w:val="000000"/>
          <w:sz w:val="20"/>
          <w:u w:val="single"/>
        </w:rPr>
        <w:t>Section 2.14</w:t>
      </w:r>
      <w:r>
        <w:rPr>
          <w:rFonts w:ascii="Times New Roman" w:hAnsi="Times New Roman"/>
          <w:color w:val="000000"/>
          <w:sz w:val="20"/>
        </w:rPr>
        <w:t>; and</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Seller shall, or shall cause the applicable Subsidiary Asset Transferors to, sell, transfer, assign, convey and deliver to Buyer (or, as applicable, one or more Subsidiaries of Buyer designated by Buyer in writing to Seller not less than three Business Days prior to the Closing Date), and Buyer shall (or, as applicable, shall cause such Subsidiaries of Buyer to) purchase and acquire from Seller or such Subsidiary Asset Transferors, all right, title and interest in and to the following assets, properties and rights, of every kind and description, that are not Excluded Assets (such enumerated assets collectively, the “</w:t>
      </w:r>
      <w:r>
        <w:rPr>
          <w:rFonts w:ascii="Times New Roman" w:hAnsi="Times New Roman"/>
          <w:color w:val="000000"/>
          <w:sz w:val="20"/>
          <w:u w:val="single"/>
        </w:rPr>
        <w:t>Transferred Assets</w:t>
      </w:r>
      <w:r>
        <w:rPr>
          <w:rFonts w:ascii="Times New Roman" w:hAnsi="Times New Roman"/>
          <w:color w:val="000000"/>
          <w:sz w:val="20"/>
        </w:rPr>
        <w:t>” and such sale, the “</w:t>
      </w:r>
      <w:r>
        <w:rPr>
          <w:rFonts w:ascii="Times New Roman" w:hAnsi="Times New Roman"/>
          <w:color w:val="000000"/>
          <w:sz w:val="20"/>
          <w:u w:val="single"/>
        </w:rPr>
        <w:t>Asset Sale</w:t>
      </w:r>
      <w:r>
        <w:rPr>
          <w:rFonts w:ascii="Times New Roman" w:hAnsi="Times New Roman"/>
          <w:color w:val="000000"/>
          <w:sz w:val="20"/>
        </w:rPr>
        <w:t>” and, together with the Share Sale and the other transactions contemplated by this Agreement, the “</w:t>
      </w:r>
      <w:r>
        <w:rPr>
          <w:rFonts w:ascii="Times New Roman" w:hAnsi="Times New Roman"/>
          <w:color w:val="000000"/>
          <w:sz w:val="20"/>
          <w:u w:val="single"/>
        </w:rPr>
        <w:t>Sale</w:t>
      </w:r>
      <w:r>
        <w:rPr>
          <w:rFonts w:ascii="Times New Roman" w:hAnsi="Times New Roman"/>
          <w:color w:val="000000"/>
          <w:sz w:val="20"/>
        </w:rPr>
        <w:t>”), in each case solely to the extent they are in the possession of a Seller Entity and not already owned by a Business Company and transferred and conveyed indirectly to Buyer in the Share Sale: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22</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         the Transferred Intellectual Property Assets, which, solely with respect to the Trademarks, Internet domain names and Social Media Accounts included therein, shall be transferred and assigned subject to the Retained Name Rights;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(ii)        the Transferred Software;</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(iii)       the Assigned Contracts;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(iv)       the Transferred Equipment;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(v)         all instrument inventory, finished goods, spare parts inventory and service tooling Related to the Products;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(vi)       all Actions, being pursued by or pursuable by Seller or any of its Subsidiaries, whether arising by counterclaim or otherwise, prior to Closing, to the extent Related to the Business or any Assumed Liability;</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(vii)      all Transferred Books and Records (</w:t>
      </w:r>
      <w:r>
        <w:rPr>
          <w:rFonts w:ascii="Times New Roman" w:hAnsi="Times New Roman"/>
          <w:color w:val="000000"/>
          <w:sz w:val="20"/>
          <w:u w:val="single"/>
        </w:rPr>
        <w:t>provided</w:t>
      </w:r>
      <w:r>
        <w:rPr>
          <w:rFonts w:ascii="Times New Roman" w:hAnsi="Times New Roman"/>
          <w:color w:val="000000"/>
          <w:sz w:val="20"/>
        </w:rPr>
        <w:t xml:space="preserve"> that Seller shall be entitled to retain copies of all Transferred Books and Records);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(viii)     the Transferred Data;</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(ix)       the Transferred IT Assets;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(x)        all goodwill Related to the Business;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(xi)       any assets of or relating to any Company Benefit Plan;</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(xii)      the Transferred Permits;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(xiii)    all credits, prepaid expenses, deferred charges, advance payments, refunds, security deposits, prepaid items and duties to the extent exclusively related to a Transferred Asset;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(xiv)     any and all accounts and notes receivable (other than Intracompany Receivables) to the extent Related to the Business (or otherwise taken into account in the determination of the Final Closing Date Working Capital); and</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(xv)      all assets, properties and rights that are Related to the Business and are not of the type described in the foregoing clauses </w:t>
      </w:r>
      <w:r>
        <w:rPr>
          <w:rFonts w:ascii="Times New Roman" w:hAnsi="Times New Roman"/>
          <w:color w:val="000000"/>
          <w:sz w:val="20"/>
          <w:u w:val="single"/>
        </w:rPr>
        <w:t>(i)</w:t>
      </w:r>
      <w:r>
        <w:rPr>
          <w:rFonts w:ascii="Times New Roman" w:hAnsi="Times New Roman"/>
          <w:color w:val="000000"/>
          <w:sz w:val="20"/>
        </w:rPr>
        <w:t xml:space="preserve"> through </w:t>
      </w:r>
      <w:r>
        <w:rPr>
          <w:rFonts w:ascii="Times New Roman" w:hAnsi="Times New Roman"/>
          <w:color w:val="000000"/>
          <w:sz w:val="20"/>
          <w:u w:val="single"/>
        </w:rPr>
        <w:t>(xiv)</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2.02       </w:t>
      </w:r>
      <w:r>
        <w:rPr>
          <w:rFonts w:ascii="Times New Roman" w:hAnsi="Times New Roman"/>
          <w:color w:val="000000"/>
          <w:sz w:val="20"/>
          <w:u w:val="single"/>
        </w:rPr>
        <w:t>Excluded Assets</w:t>
      </w:r>
      <w:r>
        <w:rPr>
          <w:rFonts w:ascii="Times New Roman" w:hAnsi="Times New Roman"/>
          <w:color w:val="000000"/>
          <w:sz w:val="20"/>
        </w:rPr>
        <w:t>. Notwithstanding anything to the contrary set forth in this Agreement, except for the assets and properties of the Business Companies that are transferred and conveyed to Buyer in the Share Sale and the Transferred Assets that are transferred and conveyed to Buyer in the Asset Sale, Seller and the other Seller Entities shall retain all of their right, title and interest in and to, and there shall be excluded from the Sale to Buyer hereunder, all assets, properties and rights of every nature, kind and description, whether tangible or intangible, real, personal or mixed, accrued or contingent (including goodwill) of Seller and its Affiliates, in each case that are not Transferred Assets (collectively, the “</w:t>
      </w:r>
      <w:r>
        <w:rPr>
          <w:rFonts w:ascii="Times New Roman" w:hAnsi="Times New Roman"/>
          <w:color w:val="000000"/>
          <w:sz w:val="20"/>
          <w:u w:val="single"/>
        </w:rPr>
        <w:t>Excluded Assets</w:t>
      </w:r>
      <w:r>
        <w:rPr>
          <w:rFonts w:ascii="Times New Roman" w:hAnsi="Times New Roman"/>
          <w:color w:val="000000"/>
          <w:sz w:val="20"/>
        </w:rPr>
        <w:t>”). Solely for purpose of non-exhaustive illustration, the Excluded Assets shall include: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all minute books, stock ledgers and Tax records of Seller and its Affiliates, including Tax Returns, and any Tax related work papers or other Tax data (other than Tax records that are Transferred Assets) of a Seller Consolidated Group;</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all claims, causes of action and rights of Seller or its Affiliates against any third party to the extent relating to any Excluded Liability (including rights of set-off, rights to refunds and rights of recoupment from or against any such third party);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all Contracts to which Seller or any of its Affiliates is a party, other than the Assigned Contracts and Transferred Permits;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(d)        all rights to refunds of Taxes, credits, offsets, rebates, recoveries, Tax losses, loss and credit carry-forwards and similar benefits related to Taxes of Seller or its Affiliates arising out of, relating to, or in respect of (i) the Transferred Assets or the Business to the extent attributable to Pre-Closing Tax Periods or (ii) the Excluded Assets for all periods;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(e)         all rights of Seller or any of its Affiliates under this Agreement and the Ancillary Agreements;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(f)         all assets, properties and rights (including Intellectual Property) used for the purpose of providing Overhead and Shared Services and, other than as provided in the TSA, all rights of the Business to receive from Seller or any of its Affiliates any Overhead and Shared Services;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(g)         all personal computers (including laptops), mobile telephones and any other personal Equipment used by any Business Employee (other than Continuing Employees);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(h)         any Intellectual Property (including Excluded Names) other than the Transferred Intellectual Property Assets;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(i)          all cash, cash equivalents and marketable securities and all bank accounts (other than those held by the Business Companies);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(j)          all Intracompany Receivables;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(k)          all stock or other equity interests in any Person (other than the Shares);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(l)          all Shared Contracts;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(m)        all insurance policies of Seller or its Affiliates, including the rights to receive any proceeds thereunder;</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(n)        any assets of or relating to any Benefit Plan (other than any assets of or relating to any Company Benefit Plan and as expressly provided pursuant to </w:t>
      </w:r>
      <w:r>
        <w:rPr>
          <w:rFonts w:ascii="Times New Roman" w:hAnsi="Times New Roman"/>
          <w:color w:val="000000"/>
          <w:sz w:val="20"/>
          <w:u w:val="single"/>
        </w:rPr>
        <w:t>Section 5.06</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(o)         all attorney-client privilege and attorney work-product protection related to communications between Seller, its Affiliates and their respective representatives and Seller Counsel made in connection with the negotiation, preparation, execution, delivery and closing under, or any dispute or Action arising under or in connection with, this Agreement, any Ancillary Agreement or any of the transactions contemplated hereby or thereby, which, immediately prior to the Closing, would be deemed to be privileged communications between Seller or its Affiliates and Seller Counsel; and</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(p)         all right, title and interest in and to the assets set forth on </w:t>
      </w:r>
      <w:r>
        <w:rPr>
          <w:rFonts w:ascii="Times New Roman" w:hAnsi="Times New Roman"/>
          <w:color w:val="000000"/>
          <w:sz w:val="20"/>
          <w:u w:val="single"/>
        </w:rPr>
        <w:t>Section 2.02(p)</w:t>
      </w:r>
      <w:r>
        <w:rPr>
          <w:rFonts w:ascii="Times New Roman" w:hAnsi="Times New Roman"/>
          <w:color w:val="000000"/>
          <w:sz w:val="20"/>
        </w:rPr>
        <w:t xml:space="preserve"> of the Disclosure Schedule.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2.03       </w:t>
      </w:r>
      <w:r>
        <w:rPr>
          <w:rFonts w:ascii="Times New Roman" w:hAnsi="Times New Roman"/>
          <w:color w:val="000000"/>
          <w:sz w:val="20"/>
          <w:u w:val="single"/>
        </w:rPr>
        <w:t>Assumption of Assumed Liabilities</w:t>
      </w:r>
      <w:r>
        <w:rPr>
          <w:rFonts w:ascii="Times New Roman" w:hAnsi="Times New Roman"/>
          <w:color w:val="000000"/>
          <w:sz w:val="20"/>
        </w:rPr>
        <w:t xml:space="preserve">. On the terms, and subject to the conditions of, this Agreement, and subject to </w:t>
      </w:r>
      <w:r>
        <w:rPr>
          <w:rFonts w:ascii="Times New Roman" w:hAnsi="Times New Roman"/>
          <w:color w:val="000000"/>
          <w:sz w:val="20"/>
          <w:u w:val="single"/>
        </w:rPr>
        <w:t>Section 2.04</w:t>
      </w:r>
      <w:r>
        <w:rPr>
          <w:rFonts w:ascii="Times New Roman" w:hAnsi="Times New Roman"/>
          <w:color w:val="000000"/>
          <w:sz w:val="20"/>
        </w:rPr>
        <w:t>, at the Closing, Buyer shall assume and become responsible for, and pay, perform and discharge when due, effective as of the Closing, all Liabilities to the extent relating to, arising out of or in connection with the Business, the Business Companies or the Transferred Assets, whether accrued or fixed, known or unknown, determined or determinable, absolute or contingent, matured or unmatured or disputed or undisputed, whether arising prior to, on or after the Closing, in each case that are not Excluded Liabilities (“</w:t>
      </w:r>
      <w:r>
        <w:rPr>
          <w:rFonts w:ascii="Times New Roman" w:hAnsi="Times New Roman"/>
          <w:color w:val="000000"/>
          <w:sz w:val="20"/>
          <w:u w:val="single"/>
        </w:rPr>
        <w:t>Assumed Liabilities</w:t>
      </w:r>
      <w:r>
        <w:rPr>
          <w:rFonts w:ascii="Times New Roman" w:hAnsi="Times New Roman"/>
          <w:color w:val="000000"/>
          <w:sz w:val="20"/>
        </w:rPr>
        <w:t>”); it being understood that the assumption of the applicable Assumed Liabilities to which a Business Company is subject shall occur through the transfer of the Shares. Buyer hereby guarantees the performance and discharge when due and/or payable of all Assumed Liabilities assumed by any Affiliate of Buyer. Solely for purpose of non-exhaustive illustration, the Assumed Liabilities shall include: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all Liabilities of Seller and its Subsidiaries arising under or in connection with the Assigned Contracts and Transferred Permits, whether arising prior to, at or after the Closing;</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all Liabilities to the extent relating to, arising out of or in connection with products and services manufactured, sold, delivered or otherwise provided by the Business, at any time prior to, on or after the Closing Date, including any warranty claims related thereto;</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all Liabilities under any Permitted Lien to the extent related to any Transferred Asset;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(d)         all Liabilities relating to, arising out of or in connection with Business Guarantees;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(e)        all Liabilities for which Buyer or any of its Affiliates (including the Business Companies following the Closing) is responsible pursuant to </w:t>
      </w:r>
      <w:r>
        <w:rPr>
          <w:rFonts w:ascii="Times New Roman" w:hAnsi="Times New Roman"/>
          <w:color w:val="000000"/>
          <w:sz w:val="20"/>
          <w:u w:val="single"/>
        </w:rPr>
        <w:t>Section 5.06</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(f)         all Liabilities for Taxes related to the ownership, operation or conduct of the Business or the Transferred Assets, in each case, for Post-Closing Tax Periods;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(g)         any Transfer Taxes;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(h)         all accrued expenses of Seller or any of its Subsidiaries to the extent related to the Business;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(i)         all accounts payable (other than Intracompany Payables) to the extent Related to the Business or any Assumed Liability (or otherwise taken into account in the determination of the Final Closing Date Working Capital); and</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(j)          all other Liabilities set forth in </w:t>
      </w:r>
      <w:r>
        <w:rPr>
          <w:rFonts w:ascii="Times New Roman" w:hAnsi="Times New Roman"/>
          <w:color w:val="000000"/>
          <w:sz w:val="20"/>
          <w:u w:val="single"/>
        </w:rPr>
        <w:t>Section 2.03(j)</w:t>
      </w:r>
      <w:r>
        <w:rPr>
          <w:rFonts w:ascii="Times New Roman" w:hAnsi="Times New Roman"/>
          <w:color w:val="000000"/>
          <w:sz w:val="20"/>
        </w:rPr>
        <w:t xml:space="preserve"> of the Disclosure Schedule.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2.04       </w:t>
      </w:r>
      <w:r>
        <w:rPr>
          <w:rFonts w:ascii="Times New Roman" w:hAnsi="Times New Roman"/>
          <w:color w:val="000000"/>
          <w:sz w:val="20"/>
          <w:u w:val="single"/>
        </w:rPr>
        <w:t>Excluded Liabilities</w:t>
      </w:r>
      <w:r>
        <w:rPr>
          <w:rFonts w:ascii="Times New Roman" w:hAnsi="Times New Roman"/>
          <w:color w:val="000000"/>
          <w:sz w:val="20"/>
        </w:rPr>
        <w:t>. Notwithstanding anything to the contrary set forth in this Agreement. Seller and its Affiliates (other than the Business Companies) shall retain, and Buyer shall not assume, any Liabilities of Seller and its Affiliates (other than the Business Companies) to the extent relating to, arising out of or resulting from the conduct, ownership or operation of the Retained Businesses (“</w:t>
      </w:r>
      <w:r>
        <w:rPr>
          <w:rFonts w:ascii="Times New Roman" w:hAnsi="Times New Roman"/>
          <w:color w:val="000000"/>
          <w:sz w:val="20"/>
          <w:u w:val="single"/>
        </w:rPr>
        <w:t>Excluded Liabilities</w:t>
      </w:r>
      <w:r>
        <w:rPr>
          <w:rFonts w:ascii="Times New Roman" w:hAnsi="Times New Roman"/>
          <w:color w:val="000000"/>
          <w:sz w:val="20"/>
        </w:rPr>
        <w:t xml:space="preserve">”), and, as between Buyer and Seller, Seller and its Affiliates shall be responsible for, and shall discharge and perform when due or payable, all Excluded Liabilities, except as otherwise provided in </w:t>
      </w:r>
      <w:r>
        <w:rPr>
          <w:rFonts w:ascii="Times New Roman" w:hAnsi="Times New Roman"/>
          <w:color w:val="000000"/>
          <w:sz w:val="20"/>
          <w:u w:val="single"/>
        </w:rPr>
        <w:t>Section 5.06</w:t>
      </w:r>
      <w:r>
        <w:rPr>
          <w:rFonts w:ascii="Times New Roman" w:hAnsi="Times New Roman"/>
          <w:color w:val="000000"/>
          <w:sz w:val="20"/>
        </w:rPr>
        <w:t xml:space="preserve"> or </w:t>
      </w:r>
      <w:r>
        <w:rPr>
          <w:rFonts w:ascii="Times New Roman" w:hAnsi="Times New Roman"/>
          <w:color w:val="000000"/>
          <w:sz w:val="20"/>
          <w:u w:val="single"/>
        </w:rPr>
        <w:t>Article VIII</w:t>
      </w:r>
      <w:r>
        <w:rPr>
          <w:rFonts w:ascii="Times New Roman" w:hAnsi="Times New Roman"/>
          <w:color w:val="000000"/>
          <w:sz w:val="20"/>
        </w:rPr>
        <w:t>. Solely for purpose of non-exhaustive illustration, the Excluded Liabilities shall include: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all Liabilities expressly retained by Seller pursuant to </w:t>
      </w:r>
      <w:r>
        <w:rPr>
          <w:rFonts w:ascii="Times New Roman" w:hAnsi="Times New Roman"/>
          <w:color w:val="000000"/>
          <w:sz w:val="20"/>
          <w:u w:val="single"/>
        </w:rPr>
        <w:t>Section 5.06</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all Liabilities for Taxes (other than Transfer Taxes) (A) of Seller and its Affiliates or (B) to the extent arising out of or relating to the ownership, operation or conduct of (x) the Business or the Transferred Assets for Pre-Closing Tax Periods or (y) the Excluded Assets or Excluded Liabilities;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all Liabilities for Transaction Expenses;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(d)        any Liabilities to the extent relating to the Excluded Assets, except to the extent otherwise provided in </w:t>
      </w:r>
      <w:r>
        <w:rPr>
          <w:rFonts w:ascii="Times New Roman" w:hAnsi="Times New Roman"/>
          <w:color w:val="000000"/>
          <w:sz w:val="20"/>
          <w:u w:val="single"/>
        </w:rPr>
        <w:t>Section 5.06</w:t>
      </w:r>
      <w:r>
        <w:rPr>
          <w:rFonts w:ascii="Times New Roman" w:hAnsi="Times New Roman"/>
          <w:color w:val="000000"/>
          <w:sz w:val="20"/>
        </w:rPr>
        <w:t xml:space="preserve"> with respect to Benefit Plans;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(e)         all Liabilities of Seller and its Affiliates arising under this Agreement or the Ancillary Agreements; and</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(f)          the Liabilities set forth on </w:t>
      </w:r>
      <w:r>
        <w:rPr>
          <w:rFonts w:ascii="Times New Roman" w:hAnsi="Times New Roman"/>
          <w:color w:val="000000"/>
          <w:sz w:val="20"/>
          <w:u w:val="single"/>
        </w:rPr>
        <w:t>Section 2.04(f)</w:t>
      </w:r>
      <w:r>
        <w:rPr>
          <w:rFonts w:ascii="Times New Roman" w:hAnsi="Times New Roman"/>
          <w:color w:val="000000"/>
          <w:sz w:val="20"/>
        </w:rPr>
        <w:t xml:space="preserve"> of the Disclosure Schedule.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2.05      </w:t>
      </w:r>
      <w:r>
        <w:rPr>
          <w:rFonts w:ascii="Times New Roman" w:hAnsi="Times New Roman"/>
          <w:color w:val="000000"/>
          <w:sz w:val="20"/>
          <w:u w:val="single"/>
        </w:rPr>
        <w:t>Closing</w:t>
      </w:r>
      <w:r>
        <w:rPr>
          <w:rFonts w:ascii="Times New Roman" w:hAnsi="Times New Roman"/>
          <w:color w:val="000000"/>
          <w:sz w:val="20"/>
        </w:rPr>
        <w:t>. The closing of the transactions contemplated by this Agreement (including the Sale) (the “</w:t>
      </w:r>
      <w:r>
        <w:rPr>
          <w:rFonts w:ascii="Times New Roman" w:hAnsi="Times New Roman"/>
          <w:color w:val="000000"/>
          <w:sz w:val="20"/>
          <w:u w:val="single"/>
        </w:rPr>
        <w:t>Closing</w:t>
      </w:r>
      <w:r>
        <w:rPr>
          <w:rFonts w:ascii="Times New Roman" w:hAnsi="Times New Roman"/>
          <w:color w:val="000000"/>
          <w:sz w:val="20"/>
        </w:rPr>
        <w:t xml:space="preserve">”) shall take place by teleconference or through electronic exchange of transaction documents on (a) the second Business Day after the date that all of the conditions to the Closing set forth in </w:t>
      </w:r>
      <w:r>
        <w:rPr>
          <w:rFonts w:ascii="Times New Roman" w:hAnsi="Times New Roman"/>
          <w:color w:val="000000"/>
          <w:sz w:val="20"/>
          <w:u w:val="single"/>
        </w:rPr>
        <w:t>Article VI</w:t>
      </w:r>
      <w:r>
        <w:rPr>
          <w:rFonts w:ascii="Times New Roman" w:hAnsi="Times New Roman"/>
          <w:color w:val="000000"/>
          <w:sz w:val="20"/>
        </w:rPr>
        <w:t xml:space="preserve"> (other than those conditions that, by their terms, are to be satisfied or waived at the Closing, but subject to the satisfaction or waiver of such conditions at the Closing) shall have been satisfied or waived by the Party entitled to waive the same or (b) such other date as the Parties may agree in writing. The date upon which the Closing actually occurs is referred to herein as the “</w:t>
      </w:r>
      <w:r>
        <w:rPr>
          <w:rFonts w:ascii="Times New Roman" w:hAnsi="Times New Roman"/>
          <w:color w:val="000000"/>
          <w:sz w:val="20"/>
          <w:u w:val="single"/>
        </w:rPr>
        <w:t>Closing Date</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2.06       </w:t>
      </w:r>
      <w:r>
        <w:rPr>
          <w:rFonts w:ascii="Times New Roman" w:hAnsi="Times New Roman"/>
          <w:color w:val="000000"/>
          <w:sz w:val="20"/>
          <w:u w:val="single"/>
        </w:rPr>
        <w:t>Purchase Price</w:t>
      </w:r>
      <w:r>
        <w:rPr>
          <w:rFonts w:ascii="Times New Roman" w:hAnsi="Times New Roman"/>
          <w:color w:val="000000"/>
          <w:sz w:val="20"/>
        </w:rPr>
        <w:t>. On the terms, and subject to the conditions, set forth in this Agreement, the aggregate purchase price to be paid by Buyer to Seller or its designated Affiliates (the “</w:t>
      </w:r>
      <w:r>
        <w:rPr>
          <w:rFonts w:ascii="Times New Roman" w:hAnsi="Times New Roman"/>
          <w:color w:val="000000"/>
          <w:sz w:val="20"/>
          <w:u w:val="single"/>
        </w:rPr>
        <w:t>Purchase Price</w:t>
      </w:r>
      <w:r>
        <w:rPr>
          <w:rFonts w:ascii="Times New Roman" w:hAnsi="Times New Roman"/>
          <w:color w:val="000000"/>
          <w:sz w:val="20"/>
        </w:rPr>
        <w:t xml:space="preserve">”) for the Transferred Assets and the Shares, in addition to the assumption of the Assumed Liabilities, shall equal, without duplication, (a) $5,000,000, </w:t>
      </w:r>
      <w:r>
        <w:rPr>
          <w:rFonts w:ascii="Times New Roman" w:hAnsi="Times New Roman"/>
          <w:color w:val="000000"/>
          <w:sz w:val="20"/>
          <w:u w:val="single"/>
        </w:rPr>
        <w:t>plus</w:t>
      </w:r>
      <w:r>
        <w:rPr>
          <w:rFonts w:ascii="Times New Roman" w:hAnsi="Times New Roman"/>
          <w:color w:val="000000"/>
          <w:sz w:val="20"/>
        </w:rPr>
        <w:t xml:space="preserve"> (b) the Closing Date Cash, </w:t>
      </w:r>
      <w:r>
        <w:rPr>
          <w:rFonts w:ascii="Times New Roman" w:hAnsi="Times New Roman"/>
          <w:color w:val="000000"/>
          <w:sz w:val="20"/>
          <w:u w:val="single"/>
        </w:rPr>
        <w:t>minus</w:t>
      </w:r>
      <w:r>
        <w:rPr>
          <w:rFonts w:ascii="Times New Roman" w:hAnsi="Times New Roman"/>
          <w:color w:val="000000"/>
          <w:sz w:val="20"/>
        </w:rPr>
        <w:t xml:space="preserve"> (c) the Closing Date Indebtedness, </w:t>
      </w:r>
      <w:r>
        <w:rPr>
          <w:rFonts w:ascii="Times New Roman" w:hAnsi="Times New Roman"/>
          <w:color w:val="000000"/>
          <w:sz w:val="20"/>
          <w:u w:val="single"/>
        </w:rPr>
        <w:t>minus</w:t>
      </w:r>
      <w:r>
        <w:rPr>
          <w:rFonts w:ascii="Times New Roman" w:hAnsi="Times New Roman"/>
          <w:color w:val="000000"/>
          <w:sz w:val="20"/>
        </w:rPr>
        <w:t xml:space="preserve"> (d) the Negative Working Capital Amount, if any, </w:t>
      </w:r>
      <w:r>
        <w:rPr>
          <w:rFonts w:ascii="Times New Roman" w:hAnsi="Times New Roman"/>
          <w:color w:val="000000"/>
          <w:sz w:val="20"/>
          <w:u w:val="single"/>
        </w:rPr>
        <w:t>plus</w:t>
      </w:r>
      <w:r>
        <w:rPr>
          <w:rFonts w:ascii="Times New Roman" w:hAnsi="Times New Roman"/>
          <w:color w:val="000000"/>
          <w:sz w:val="20"/>
        </w:rPr>
        <w:t xml:space="preserve"> (e) the Positive Working Capital Amount, if any, </w:t>
      </w:r>
      <w:r>
        <w:rPr>
          <w:rFonts w:ascii="Times New Roman" w:hAnsi="Times New Roman"/>
          <w:color w:val="000000"/>
          <w:sz w:val="20"/>
          <w:u w:val="single"/>
        </w:rPr>
        <w:t>minus</w:t>
      </w:r>
      <w:r>
        <w:rPr>
          <w:rFonts w:ascii="Times New Roman" w:hAnsi="Times New Roman"/>
          <w:color w:val="000000"/>
          <w:sz w:val="20"/>
        </w:rPr>
        <w:t xml:space="preserve"> (f) the Transaction Expenses (the foregoing, the “</w:t>
      </w:r>
      <w:r>
        <w:rPr>
          <w:rFonts w:ascii="Times New Roman" w:hAnsi="Times New Roman"/>
          <w:color w:val="000000"/>
          <w:sz w:val="20"/>
          <w:u w:val="single"/>
        </w:rPr>
        <w:t>Closing Payment</w:t>
      </w:r>
      <w:r>
        <w:rPr>
          <w:rFonts w:ascii="Times New Roman" w:hAnsi="Times New Roman"/>
          <w:color w:val="000000"/>
          <w:sz w:val="20"/>
        </w:rPr>
        <w:t xml:space="preserve">”), </w:t>
      </w:r>
      <w:r>
        <w:rPr>
          <w:rFonts w:ascii="Times New Roman" w:hAnsi="Times New Roman"/>
          <w:color w:val="000000"/>
          <w:sz w:val="20"/>
          <w:u w:val="single"/>
        </w:rPr>
        <w:t>plus</w:t>
      </w:r>
      <w:r>
        <w:rPr>
          <w:rFonts w:ascii="Times New Roman" w:hAnsi="Times New Roman"/>
          <w:color w:val="000000"/>
          <w:sz w:val="20"/>
        </w:rPr>
        <w:t xml:space="preserve"> (g) the Additional Consideration, if any.</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2.07       </w:t>
      </w:r>
      <w:r>
        <w:rPr>
          <w:rFonts w:ascii="Times New Roman" w:hAnsi="Times New Roman"/>
          <w:color w:val="000000"/>
          <w:sz w:val="20"/>
          <w:u w:val="single"/>
        </w:rPr>
        <w:t>Determination of Estimated Purchase Price</w:t>
      </w:r>
      <w:r>
        <w:rPr>
          <w:rFonts w:ascii="Times New Roman" w:hAnsi="Times New Roman"/>
          <w:color w:val="000000"/>
          <w:sz w:val="20"/>
        </w:rPr>
        <w:t xml:space="preserve">. No fewer than two Business Days prior to the Closing Date, Seller shall deliver, or cause to be delivered, to Buyer a statement, substantially in the form of </w:t>
      </w:r>
      <w:r>
        <w:rPr>
          <w:rFonts w:ascii="Times New Roman" w:hAnsi="Times New Roman"/>
          <w:color w:val="000000"/>
          <w:sz w:val="20"/>
          <w:u w:val="single"/>
        </w:rPr>
        <w:t>Exhibit F</w:t>
      </w:r>
      <w:r>
        <w:rPr>
          <w:rFonts w:ascii="Times New Roman" w:hAnsi="Times New Roman"/>
          <w:color w:val="000000"/>
          <w:sz w:val="20"/>
        </w:rPr>
        <w:t xml:space="preserve"> (the “</w:t>
      </w:r>
      <w:r>
        <w:rPr>
          <w:rFonts w:ascii="Times New Roman" w:hAnsi="Times New Roman"/>
          <w:color w:val="000000"/>
          <w:sz w:val="20"/>
          <w:u w:val="single"/>
        </w:rPr>
        <w:t>Estimated Closing Statement</w:t>
      </w:r>
      <w:r>
        <w:rPr>
          <w:rFonts w:ascii="Times New Roman" w:hAnsi="Times New Roman"/>
          <w:color w:val="000000"/>
          <w:sz w:val="20"/>
        </w:rPr>
        <w:t>”) that sets forth Seller’s good-faith estimates of (a) the Closing Date Cash, (b) the Closing Date Indebtedness, (c) the Closing Date Working Capital, (d) the Transaction Expenses and (e) the calculation of the Closing Payment based on the foregoing estimates (the “</w:t>
      </w:r>
      <w:r>
        <w:rPr>
          <w:rFonts w:ascii="Times New Roman" w:hAnsi="Times New Roman"/>
          <w:color w:val="000000"/>
          <w:sz w:val="20"/>
          <w:u w:val="single"/>
        </w:rPr>
        <w:t>Estimated Closing Payment</w:t>
      </w:r>
      <w:r>
        <w:rPr>
          <w:rFonts w:ascii="Times New Roman" w:hAnsi="Times New Roman"/>
          <w:color w:val="000000"/>
          <w:sz w:val="20"/>
        </w:rPr>
        <w:t xml:space="preserve">”), in each case prepared in accordance with the applicable definitions set forth in this Agreement and, to the extent applicable, in accordance with the Accounting Rules, together with reasonably detailed supporting documentation used to calculate the foregoing amounts. No fewer than five Business Days prior to the Closing Date, Seller shall deliver, or cause to be delivered, to Buyer a preliminary Estimated Closing Statement for information purposes only (which shall not be considered the Estimated Closing Statement for any purpose hereunder), and, in its preparation of the Estimated Closing Statement to be finally delivered as set forth in the immediately preceding sentence, Seller shall consider any good faith, written comments provided by Buyer to such preliminary Estimated Closing Statement no fewer than three Business Days prior to the Closing Date; </w:t>
      </w:r>
      <w:r>
        <w:rPr>
          <w:rFonts w:ascii="Times New Roman" w:hAnsi="Times New Roman"/>
          <w:color w:val="000000"/>
          <w:sz w:val="20"/>
          <w:u w:val="single"/>
        </w:rPr>
        <w:t>provided</w:t>
      </w:r>
      <w:r>
        <w:rPr>
          <w:rFonts w:ascii="Times New Roman" w:hAnsi="Times New Roman"/>
          <w:color w:val="000000"/>
          <w:sz w:val="20"/>
        </w:rPr>
        <w:t xml:space="preserve"> that (i) Buyer shall not have any right to delay or prevent the Closing or the issuance of the Base Seller Note as a result of any disagreement with Seller’s estimates set forth in the Estimated Closing Statement and (ii) Seller shall not be required to accept any comment made by Buyer and Seller shall be entitled to determine the contents of the Estimated Closing Statement in its sole discretion (it being understood that any such determination of the contents of the Estimated Closing Statement by Seller or issuance of the Base Seller Note by Buyer shall be without prejudice to the rights of any Party under </w:t>
      </w:r>
      <w:r>
        <w:rPr>
          <w:rFonts w:ascii="Times New Roman" w:hAnsi="Times New Roman"/>
          <w:color w:val="000000"/>
          <w:sz w:val="20"/>
          <w:u w:val="single"/>
        </w:rPr>
        <w:t>Section 2.09</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2.08      </w:t>
      </w:r>
      <w:r>
        <w:rPr>
          <w:rFonts w:ascii="Times New Roman" w:hAnsi="Times New Roman"/>
          <w:color w:val="000000"/>
          <w:sz w:val="20"/>
          <w:u w:val="single"/>
        </w:rPr>
        <w:t>Base Seller Note</w:t>
      </w:r>
      <w:r>
        <w:rPr>
          <w:rFonts w:ascii="Times New Roman" w:hAnsi="Times New Roman"/>
          <w:color w:val="000000"/>
          <w:sz w:val="20"/>
        </w:rPr>
        <w:t xml:space="preserve">. At the Closing, Buyer shall duly execute and deliver to Seller, or to such Affiliate of Seller as Seller shall designate by written notice to Buyer prior to the Closing Date, a promissory note substantially in the form attached hereto as </w:t>
      </w:r>
      <w:r>
        <w:rPr>
          <w:rFonts w:ascii="Times New Roman" w:hAnsi="Times New Roman"/>
          <w:color w:val="000000"/>
          <w:sz w:val="20"/>
          <w:u w:val="single"/>
        </w:rPr>
        <w:t>Exhibit G</w:t>
      </w:r>
      <w:r>
        <w:rPr>
          <w:rFonts w:ascii="Times New Roman" w:hAnsi="Times New Roman"/>
          <w:color w:val="000000"/>
          <w:sz w:val="20"/>
        </w:rPr>
        <w:t xml:space="preserve"> (the “</w:t>
      </w:r>
      <w:r>
        <w:rPr>
          <w:rFonts w:ascii="Times New Roman" w:hAnsi="Times New Roman"/>
          <w:color w:val="000000"/>
          <w:sz w:val="20"/>
          <w:u w:val="single"/>
        </w:rPr>
        <w:t>Base Seller Note</w:t>
      </w:r>
      <w:r>
        <w:rPr>
          <w:rFonts w:ascii="Times New Roman" w:hAnsi="Times New Roman"/>
          <w:color w:val="000000"/>
          <w:sz w:val="20"/>
        </w:rPr>
        <w:t xml:space="preserve">”), with a the principal amount equal to the Closing Payment (as adjusted pursuant to </w:t>
      </w:r>
      <w:r>
        <w:rPr>
          <w:rFonts w:ascii="Times New Roman" w:hAnsi="Times New Roman"/>
          <w:color w:val="000000"/>
          <w:sz w:val="20"/>
          <w:u w:val="single"/>
        </w:rPr>
        <w:t>Section 2.09(h)</w:t>
      </w:r>
      <w:r>
        <w:rPr>
          <w:rFonts w:ascii="Times New Roman" w:hAnsi="Times New Roman"/>
          <w:color w:val="000000"/>
          <w:sz w:val="20"/>
        </w:rPr>
        <w:t>, the “</w:t>
      </w:r>
      <w:r>
        <w:rPr>
          <w:rFonts w:ascii="Times New Roman" w:hAnsi="Times New Roman"/>
          <w:color w:val="000000"/>
          <w:sz w:val="20"/>
          <w:u w:val="single"/>
        </w:rPr>
        <w:t>Seller Note Amount</w:t>
      </w:r>
      <w:r>
        <w:rPr>
          <w:rFonts w:ascii="Times New Roman" w:hAnsi="Times New Roman"/>
          <w:color w:val="000000"/>
          <w:sz w:val="20"/>
        </w:rPr>
        <w:t>”). Delivery of the duly executed Base Seller Note in the Seller Note Amount shall constitute full satisfaction and delivery of the Closing Payment.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2.09        </w:t>
      </w:r>
      <w:r>
        <w:rPr>
          <w:rFonts w:ascii="Times New Roman" w:hAnsi="Times New Roman"/>
          <w:color w:val="000000"/>
          <w:sz w:val="20"/>
          <w:u w:val="single"/>
        </w:rPr>
        <w:t>Purchase Price Adjustment</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As promptly as practicable and in any event within 45 days following the Closing Date, Buyer shall prepare and deliver to Seller a statement, substantially in the form of </w:t>
      </w:r>
      <w:r>
        <w:rPr>
          <w:rFonts w:ascii="Times New Roman" w:hAnsi="Times New Roman"/>
          <w:color w:val="000000"/>
          <w:sz w:val="20"/>
          <w:u w:val="single"/>
        </w:rPr>
        <w:t>Exhibit H</w:t>
      </w:r>
      <w:r>
        <w:rPr>
          <w:rFonts w:ascii="Times New Roman" w:hAnsi="Times New Roman"/>
          <w:color w:val="000000"/>
          <w:sz w:val="20"/>
        </w:rPr>
        <w:t xml:space="preserve"> (the “</w:t>
      </w:r>
      <w:r>
        <w:rPr>
          <w:rFonts w:ascii="Times New Roman" w:hAnsi="Times New Roman"/>
          <w:color w:val="000000"/>
          <w:sz w:val="20"/>
          <w:u w:val="single"/>
        </w:rPr>
        <w:t>Post-Closing Statement</w:t>
      </w:r>
      <w:r>
        <w:rPr>
          <w:rFonts w:ascii="Times New Roman" w:hAnsi="Times New Roman"/>
          <w:color w:val="000000"/>
          <w:sz w:val="20"/>
        </w:rPr>
        <w:t>”) that sets forth Buyer’s calculation of (i) the Closing Date Cash, (ii) the Closing Date Indebtedness, (iii) the Closing Date Working Capital, (iv) the Transaction Expenses and (v) the calculation of the Closing Payment based on the foregoing elements, in each case prepared in accordance with the applicable definitions set forth in this Agreement and, to the extent applicable, in accordance with the Accounting Rules. Buyer and Seller acknowledge and agree that no adjustment shall be made to the Target Working Capital. If Buyer fails to deliver the Post-Closing Statement within the time-period specified above, then, at Seller’s sole option, either (A) the Estimated Closing Statement shall be final and binding on the Parties and shall constitute the Final Closing Statement and shall not be subject to any further claim or challenge by any Party or (B) Seller will have 60 days from and after the deadline for the delivery of the Post-Closing Statement by Buyer (the “</w:t>
      </w:r>
      <w:r>
        <w:rPr>
          <w:rFonts w:ascii="Times New Roman" w:hAnsi="Times New Roman"/>
          <w:color w:val="000000"/>
          <w:sz w:val="20"/>
          <w:u w:val="single"/>
        </w:rPr>
        <w:t>Seller Preparation Period</w:t>
      </w:r>
      <w:r>
        <w:rPr>
          <w:rFonts w:ascii="Times New Roman" w:hAnsi="Times New Roman"/>
          <w:color w:val="000000"/>
          <w:sz w:val="20"/>
        </w:rPr>
        <w:t xml:space="preserve">”) to prepare and deliver to Buyer the Post-Closing Statement; </w:t>
      </w:r>
      <w:r>
        <w:rPr>
          <w:rFonts w:ascii="Times New Roman" w:hAnsi="Times New Roman"/>
          <w:color w:val="000000"/>
          <w:sz w:val="20"/>
          <w:u w:val="single"/>
        </w:rPr>
        <w:t>provided</w:t>
      </w:r>
      <w:r>
        <w:rPr>
          <w:rFonts w:ascii="Times New Roman" w:hAnsi="Times New Roman"/>
          <w:color w:val="000000"/>
          <w:sz w:val="20"/>
        </w:rPr>
        <w:t xml:space="preserve"> that the Seller Preparation Period shall be extended by one day for each day of delay by Buyer or any Business Company in delivering information reasonably requested by Seller for purposes of preparing the Post-Closing Statement. The Parties agree that the purpose of preparing the Post-Closing Statement is solely to (x) accurately measure the Final Closing Date Cash, Final Closing Date Indebtedness, Final Closing Date Working Capital and Final Transaction Expenses, (y) measure the difference, if any, in the Final Closing Date Working Capital from the Target Working Capital and (z) calculate the Closing Payment, and not to (I) permit the introduction of different accounting policies, principles, procedures, practices, methodologies, estimates, judgments (including any management judgment) for the purpose of calculating these items and the Purchase Price or (II) adjust for any errors or omission that may be found with respect to the Business Financial information or any inconsistencies between the Business Financial information and GAAP.</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After delivery of the Post-Closing Statement by Buyer or during the Seller Preparation Period, as applicable, Buyer and the Business Companies shall reasonably cooperate with and shall provide Seller and its authorized officers, employees and other Representatives with reasonable access during normal business hours, upon reasonable prior notice, to the books and records (including accountants’ work papers, schedules, memoranda and other documents; </w:t>
      </w:r>
      <w:r>
        <w:rPr>
          <w:rFonts w:ascii="Times New Roman" w:hAnsi="Times New Roman"/>
          <w:color w:val="000000"/>
          <w:sz w:val="20"/>
          <w:u w:val="single"/>
        </w:rPr>
        <w:t>provided</w:t>
      </w:r>
      <w:r>
        <w:rPr>
          <w:rFonts w:ascii="Times New Roman" w:hAnsi="Times New Roman"/>
          <w:color w:val="000000"/>
          <w:sz w:val="20"/>
        </w:rPr>
        <w:t xml:space="preserve"> that Buyer and its advisors may require, as a condition of such access, the execution of customary access letters) and supporting data of Buyer and the Business Companies used in connection with the preparation of the Post-Closing Statement or reasonably necessary for Seller to prepare the Post-Closing Statement (if applicable); </w:t>
      </w:r>
      <w:r>
        <w:rPr>
          <w:rFonts w:ascii="Times New Roman" w:hAnsi="Times New Roman"/>
          <w:color w:val="000000"/>
          <w:sz w:val="20"/>
          <w:u w:val="single"/>
        </w:rPr>
        <w:t>provided</w:t>
      </w:r>
      <w:r>
        <w:rPr>
          <w:rFonts w:ascii="Times New Roman" w:hAnsi="Times New Roman"/>
          <w:color w:val="000000"/>
          <w:sz w:val="20"/>
        </w:rPr>
        <w:t> </w:t>
      </w:r>
      <w:r>
        <w:rPr>
          <w:rFonts w:ascii="Times New Roman" w:hAnsi="Times New Roman"/>
          <w:color w:val="000000"/>
          <w:sz w:val="20"/>
          <w:u w:val="single"/>
        </w:rPr>
        <w:t>further</w:t>
      </w:r>
      <w:r>
        <w:rPr>
          <w:rFonts w:ascii="Times New Roman" w:hAnsi="Times New Roman"/>
          <w:color w:val="000000"/>
          <w:sz w:val="20"/>
        </w:rPr>
        <w:t xml:space="preserve"> that such access does not unreasonably interfere with the business and operations of Buyer and the Business Companies.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On or prior to the date that is 30 days following the applicable Party’s receipt of the Post-Closing Statement (such period, the “</w:t>
      </w:r>
      <w:r>
        <w:rPr>
          <w:rFonts w:ascii="Times New Roman" w:hAnsi="Times New Roman"/>
          <w:color w:val="000000"/>
          <w:sz w:val="20"/>
          <w:u w:val="single"/>
        </w:rPr>
        <w:t>Review Period</w:t>
      </w:r>
      <w:r>
        <w:rPr>
          <w:rFonts w:ascii="Times New Roman" w:hAnsi="Times New Roman"/>
          <w:color w:val="000000"/>
          <w:sz w:val="20"/>
        </w:rPr>
        <w:t>” and such Party, the “</w:t>
      </w:r>
      <w:r>
        <w:rPr>
          <w:rFonts w:ascii="Times New Roman" w:hAnsi="Times New Roman"/>
          <w:color w:val="000000"/>
          <w:sz w:val="20"/>
          <w:u w:val="single"/>
        </w:rPr>
        <w:t>Receiving Party</w:t>
      </w:r>
      <w:r>
        <w:rPr>
          <w:rFonts w:ascii="Times New Roman" w:hAnsi="Times New Roman"/>
          <w:color w:val="000000"/>
          <w:sz w:val="20"/>
        </w:rPr>
        <w:t>”), the Receiving Party may object to any calculation contained in the Post-Closing Statement by delivering to the other Party a written statement (the “</w:t>
      </w:r>
      <w:r>
        <w:rPr>
          <w:rFonts w:ascii="Times New Roman" w:hAnsi="Times New Roman"/>
          <w:color w:val="000000"/>
          <w:sz w:val="20"/>
          <w:u w:val="single"/>
        </w:rPr>
        <w:t>Statement of Objections</w:t>
      </w:r>
      <w:r>
        <w:rPr>
          <w:rFonts w:ascii="Times New Roman" w:hAnsi="Times New Roman"/>
          <w:color w:val="000000"/>
          <w:sz w:val="20"/>
        </w:rPr>
        <w:t>”) setting forth any such objection in reasonable detail, indicating each disputed item (the “</w:t>
      </w:r>
      <w:r>
        <w:rPr>
          <w:rFonts w:ascii="Times New Roman" w:hAnsi="Times New Roman"/>
          <w:color w:val="000000"/>
          <w:sz w:val="20"/>
          <w:u w:val="single"/>
        </w:rPr>
        <w:t>Disputed Items</w:t>
      </w:r>
      <w:r>
        <w:rPr>
          <w:rFonts w:ascii="Times New Roman" w:hAnsi="Times New Roman"/>
          <w:color w:val="000000"/>
          <w:sz w:val="20"/>
        </w:rPr>
        <w:t xml:space="preserve">”) and including the Receiving Party’s calculation thereof to the extent practicable; </w:t>
      </w:r>
      <w:r>
        <w:rPr>
          <w:rFonts w:ascii="Times New Roman" w:hAnsi="Times New Roman"/>
          <w:color w:val="000000"/>
          <w:sz w:val="20"/>
          <w:u w:val="single"/>
        </w:rPr>
        <w:t>provided</w:t>
      </w:r>
      <w:r>
        <w:rPr>
          <w:rFonts w:ascii="Times New Roman" w:hAnsi="Times New Roman"/>
          <w:color w:val="000000"/>
          <w:sz w:val="20"/>
        </w:rPr>
        <w:t xml:space="preserve"> that the Review Period shall be extended by one day for each day of delay by the applicable Party in delivering information reasonably requested by the Receiving Party as soon as reasonably practicable in connection with its review of the Post-Closing Statement. After the Closing, Buyer and the Business Companies shall be deemed to be a single Party for the purposes of this </w:t>
      </w:r>
      <w:r>
        <w:rPr>
          <w:rFonts w:ascii="Times New Roman" w:hAnsi="Times New Roman"/>
          <w:color w:val="000000"/>
          <w:sz w:val="20"/>
          <w:u w:val="single"/>
        </w:rPr>
        <w:t>Section 2.09</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(d)         If the Receiving Party does not deliver the Statement of Objections during the Review Period, then the Post-Closing Statement shall constitute the Final Closing Statement, and the calculation of the Closing Payment based thereon shall be final and binding on all Parties. If the Receiving Party delivers the Statement of Objections during the Review Period, the Parties shall negotiate in good faith to resolve each Disputed Item set forth in the Statement of Objections within 30 days after the delivery of the Statement of Objections (such period, as may be extended by written agreement of the Parties in their respective sole discretions, the “</w:t>
      </w:r>
      <w:r>
        <w:rPr>
          <w:rFonts w:ascii="Times New Roman" w:hAnsi="Times New Roman"/>
          <w:color w:val="000000"/>
          <w:sz w:val="20"/>
          <w:u w:val="single"/>
        </w:rPr>
        <w:t>Resolution Period</w:t>
      </w:r>
      <w:r>
        <w:rPr>
          <w:rFonts w:ascii="Times New Roman" w:hAnsi="Times New Roman"/>
          <w:color w:val="000000"/>
          <w:sz w:val="20"/>
        </w:rPr>
        <w:t xml:space="preserve">”), and in connection with such good-faith negotiations, each Party shall provide the other Party and its authorized officers, employees and other Representatives with reasonable access during normal business hours, upon reasonable prior notice, to the books, records (including accountants’ work papers, schedules, memoranda and other documents; </w:t>
      </w:r>
      <w:r>
        <w:rPr>
          <w:rFonts w:ascii="Times New Roman" w:hAnsi="Times New Roman"/>
          <w:color w:val="000000"/>
          <w:sz w:val="20"/>
          <w:u w:val="single"/>
        </w:rPr>
        <w:t>provided</w:t>
      </w:r>
      <w:r>
        <w:rPr>
          <w:rFonts w:ascii="Times New Roman" w:hAnsi="Times New Roman"/>
          <w:color w:val="000000"/>
          <w:sz w:val="20"/>
        </w:rPr>
        <w:t xml:space="preserve"> that a Party and its advisors may require, as a condition of such access, the execution of customary access letters) and supporting data of such Party prepared or reviewed in connection with the preparation of the Post-Closing Statement and the Statement of Objections, as applicable, and, if each Disputed Item in the Statement of Objections is resolved by written agreement of the Parties within the Resolution Period, the Post-Closing Statement, modified to reflect such changes as have been agreed in writing by the Parties with respect to the Disputed Items set forth in the Statement of Objections, shall constitute the Final Closing Statement, and the calculation of the Closing Payment based thereon (as so modified) shall be final and binding on the Parties. All discussions related to such negotiations within the Resolution Period shall (unless otherwise agreed by the Parties in their respective sole discretions) be governed by Rule 408 of the Federal Rules of Evidence (in effect as of the date of this Agreement) and similar state rules. If the Parties fail to reach an agreement with respect to all of the Disputed Items set forth in the Statement of Objections before expiration of the Resolution Period, then the Parties shall, as promptly as practicable and, in any event, within 10 Business Days following the end of the Resolution Period, refer the calculation of any Disputed Item remaining in dispute (the “</w:t>
      </w:r>
      <w:r>
        <w:rPr>
          <w:rFonts w:ascii="Times New Roman" w:hAnsi="Times New Roman"/>
          <w:color w:val="000000"/>
          <w:sz w:val="20"/>
          <w:u w:val="single"/>
        </w:rPr>
        <w:t>Disputed Amounts</w:t>
      </w:r>
      <w:r>
        <w:rPr>
          <w:rFonts w:ascii="Times New Roman" w:hAnsi="Times New Roman"/>
          <w:color w:val="000000"/>
          <w:sz w:val="20"/>
        </w:rPr>
        <w:t>”) for resolution to an independent nationally recognized consulting, dispute resolution or accounting firm in the United States to be mutually agreed by the Parties in good faith (the “</w:t>
      </w:r>
      <w:r>
        <w:rPr>
          <w:rFonts w:ascii="Times New Roman" w:hAnsi="Times New Roman"/>
          <w:color w:val="000000"/>
          <w:sz w:val="20"/>
          <w:u w:val="single"/>
        </w:rPr>
        <w:t>Independent Accountant</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(e)      Buyer and Seller shall execute a customary engagement letter with the Independent Accountant, shall reasonably cooperate with the Independent Accountant during the term of its engagement, and shall provide the Independent Accountant, at the time of such engagement, with the Post-Closing Statement, the Statement of Objections and each of Buyer’s and Seller’s calculations (together with supporting documentation) of any Disputed Amounts. Seller and Buyer shall also furnish the Independent Accountant with such other information and documents as the Independent Accountant may reasonably request in order for it to resolve the Disputed Amounts. Buyer and Seller shall request that the Independent Accountant, within 30 days of its referral, make a final, written determination as to the Disputed Amounts. Neither Buyer nor Seller nor any of their respective Affiliates or Representatives shall have or conduct any communication, whether written or oral, with the Independent Accountant without the other Party either being present or concurrently receiving a written copy of any such communication. Neither Buyer nor Seller or any of their respective Affiliates or Representatives shall disclose to the Independent Accountant, and the Independent Accountant shall not consider for any purpose, any settlement discussion or settlement offer made by or on behalf of Buyer or Seller, unless otherwise agreed in writing by Buyer and Seller. Seller and Buyer shall instruct the Independent Accountant to only resolve the Disputed Amounts and the decision of the Independent Accountant for each Disputed Amount must be within the range of values assigned to such Disputed Amount in the Post-Closing Statement and the Statement of Objections, respectively. The Independent Accountant shall act as expert, and not as arbitrator. Buyer and Seller shall instruct the Independent Accountant to make its determination based solely on written submissions by Buyer and Seller (to the extent such submissions are in accordance with this Agreement) and only in accordance with the terms of this Agreement and to the extent applicable, the Accounting Rules (</w:t>
      </w:r>
      <w:r>
        <w:rPr>
          <w:rFonts w:ascii="Times New Roman" w:hAnsi="Times New Roman"/>
          <w:i/>
          <w:color w:val="000000"/>
          <w:sz w:val="20"/>
        </w:rPr>
        <w:t>i.e.</w:t>
      </w:r>
      <w:r>
        <w:rPr>
          <w:rFonts w:ascii="Times New Roman" w:hAnsi="Times New Roman"/>
          <w:color w:val="000000"/>
          <w:sz w:val="20"/>
        </w:rPr>
        <w:t xml:space="preserve">, not on the basis of an independent review). The Post-Closing Statement, as modified based on any applicable agreement of Seller and Buyer and the determination of the Independent Accountant in accordance with this </w:t>
      </w:r>
      <w:r>
        <w:rPr>
          <w:rFonts w:ascii="Times New Roman" w:hAnsi="Times New Roman"/>
          <w:color w:val="000000"/>
          <w:sz w:val="20"/>
          <w:u w:val="single"/>
        </w:rPr>
        <w:t>Section 2.09</w:t>
      </w:r>
      <w:r>
        <w:rPr>
          <w:rFonts w:ascii="Times New Roman" w:hAnsi="Times New Roman"/>
          <w:color w:val="000000"/>
          <w:sz w:val="20"/>
        </w:rPr>
        <w:t xml:space="preserve"> with respect to any Disputed Amounts, shall constitute the Final Closing Statement, and the calculation of the Closing Payment based thereon shall be final and binding upon all Parties, on the date the Independent Accountant delivers its final determination in writing to Buyer and to Seller. The final determination of the Independent Accountant shall be enforceable to the same extent as an arbitral award pursuant to the Federal Arbitration Act in any court of competent jurisdiction.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(f)          The fees, costs and expenses of the Independent Accountant incurred in the resolution of the Disputed Amounts shall be allocated to and paid by Buyer, on the one hand, and Seller, on the other hand, based on the percentage which the portion of the contested Disputed Amounts not awarded to each Party bears to the amount actually contested by such Party. For example, if closing accounts receivable is the only Disputed Amount, Buyer claims that closing accounts receivable is $500 less than the amount determined by Seller, and if the Independent Accountant ultimately resolves the dispute by awarding Buyer $300 of the $500 contested, then the costs and expenses of arbitration shall be allocated 60% (</w:t>
      </w:r>
      <w:r>
        <w:rPr>
          <w:rFonts w:ascii="Times New Roman" w:hAnsi="Times New Roman"/>
          <w:i/>
          <w:color w:val="000000"/>
          <w:sz w:val="20"/>
        </w:rPr>
        <w:t>i.e.</w:t>
      </w:r>
      <w:r>
        <w:rPr>
          <w:rFonts w:ascii="Times New Roman" w:hAnsi="Times New Roman"/>
          <w:color w:val="000000"/>
          <w:sz w:val="20"/>
        </w:rPr>
        <w:t>, 300 ÷ 500) to Seller and 40% (</w:t>
      </w:r>
      <w:r>
        <w:rPr>
          <w:rFonts w:ascii="Times New Roman" w:hAnsi="Times New Roman"/>
          <w:i/>
          <w:color w:val="000000"/>
          <w:sz w:val="20"/>
        </w:rPr>
        <w:t>i.e.</w:t>
      </w:r>
      <w:r>
        <w:rPr>
          <w:rFonts w:ascii="Times New Roman" w:hAnsi="Times New Roman"/>
          <w:color w:val="000000"/>
          <w:sz w:val="20"/>
        </w:rPr>
        <w:t>, 200 ÷ 500) to Buyer and paid by the Parties in such proportions.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(g)        For purposes of this Agreement, the “</w:t>
      </w:r>
      <w:r>
        <w:rPr>
          <w:rFonts w:ascii="Times New Roman" w:hAnsi="Times New Roman"/>
          <w:color w:val="000000"/>
          <w:sz w:val="20"/>
          <w:u w:val="single"/>
        </w:rPr>
        <w:t>Final Closing Date Cash</w:t>
      </w:r>
      <w:r>
        <w:rPr>
          <w:rFonts w:ascii="Times New Roman" w:hAnsi="Times New Roman"/>
          <w:color w:val="000000"/>
          <w:sz w:val="20"/>
        </w:rPr>
        <w:t>”, “</w:t>
      </w:r>
      <w:r>
        <w:rPr>
          <w:rFonts w:ascii="Times New Roman" w:hAnsi="Times New Roman"/>
          <w:color w:val="000000"/>
          <w:sz w:val="20"/>
          <w:u w:val="single"/>
        </w:rPr>
        <w:t>Final Closing Date Indebtedness</w:t>
      </w:r>
      <w:r>
        <w:rPr>
          <w:rFonts w:ascii="Times New Roman" w:hAnsi="Times New Roman"/>
          <w:color w:val="000000"/>
          <w:sz w:val="20"/>
        </w:rPr>
        <w:t>”, “</w:t>
      </w:r>
      <w:r>
        <w:rPr>
          <w:rFonts w:ascii="Times New Roman" w:hAnsi="Times New Roman"/>
          <w:color w:val="000000"/>
          <w:sz w:val="20"/>
          <w:u w:val="single"/>
        </w:rPr>
        <w:t>Final Closing Date Working Capital</w:t>
      </w:r>
      <w:r>
        <w:rPr>
          <w:rFonts w:ascii="Times New Roman" w:hAnsi="Times New Roman"/>
          <w:color w:val="000000"/>
          <w:sz w:val="20"/>
        </w:rPr>
        <w:t>” and “</w:t>
      </w:r>
      <w:r>
        <w:rPr>
          <w:rFonts w:ascii="Times New Roman" w:hAnsi="Times New Roman"/>
          <w:color w:val="000000"/>
          <w:sz w:val="20"/>
          <w:u w:val="single"/>
        </w:rPr>
        <w:t>Final Transaction Expenses</w:t>
      </w:r>
      <w:r>
        <w:rPr>
          <w:rFonts w:ascii="Times New Roman" w:hAnsi="Times New Roman"/>
          <w:color w:val="000000"/>
          <w:sz w:val="20"/>
        </w:rPr>
        <w:t xml:space="preserve">” means the Closing Date Cash, Closing Date Indebtedness, Closing Date Working Capital and Transaction Expenses, respectively, as finally agreed or determined in accordance with this </w:t>
      </w:r>
      <w:r>
        <w:rPr>
          <w:rFonts w:ascii="Times New Roman" w:hAnsi="Times New Roman"/>
          <w:color w:val="000000"/>
          <w:sz w:val="20"/>
          <w:u w:val="single"/>
        </w:rPr>
        <w:t>Section 2.09</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(h)        No later than three Business Days after the Purchase Price has been finally determined based on the Final Closing Statement pursuant to this </w:t>
      </w:r>
      <w:r>
        <w:rPr>
          <w:rFonts w:ascii="Times New Roman" w:hAnsi="Times New Roman"/>
          <w:color w:val="000000"/>
          <w:sz w:val="20"/>
          <w:u w:val="single"/>
        </w:rPr>
        <w:t>Section 2.09</w:t>
      </w:r>
      <w:r>
        <w:rPr>
          <w:rFonts w:ascii="Times New Roman" w:hAnsi="Times New Roman"/>
          <w:color w:val="000000"/>
          <w:sz w:val="20"/>
        </w:rPr>
        <w:t xml:space="preserve"> (as so finally determined, the “</w:t>
      </w:r>
      <w:r>
        <w:rPr>
          <w:rFonts w:ascii="Times New Roman" w:hAnsi="Times New Roman"/>
          <w:color w:val="000000"/>
          <w:sz w:val="20"/>
          <w:u w:val="single"/>
        </w:rPr>
        <w:t>Final Closing Payment</w:t>
      </w:r>
      <w:r>
        <w:rPr>
          <w:rFonts w:ascii="Times New Roman" w:hAnsi="Times New Roman"/>
          <w:color w:val="000000"/>
          <w:sz w:val="20"/>
        </w:rPr>
        <w:t>”), the following actions shall be taken:</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         If the Final Closing Payment is greater than the Estimated Closing Payment (the amount by which the Final Closing Payment exceeds the Estimated Closing Payment, the “</w:t>
      </w:r>
      <w:r>
        <w:rPr>
          <w:rFonts w:ascii="Times New Roman" w:hAnsi="Times New Roman"/>
          <w:color w:val="000000"/>
          <w:sz w:val="20"/>
          <w:u w:val="single"/>
        </w:rPr>
        <w:t>Positive Adjustment Amount</w:t>
      </w:r>
      <w:r>
        <w:rPr>
          <w:rFonts w:ascii="Times New Roman" w:hAnsi="Times New Roman"/>
          <w:color w:val="000000"/>
          <w:sz w:val="20"/>
        </w:rPr>
        <w:t>”), the Seller Note Amount shall be deemed increased by an amount equal to the Positive Adjustment Amount.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(ii)       If the Estimated Closing Payment is greater than the Final Closing Payment (the amount by which the Estimated Closing Payment exceeds the Final Closing Payment, the “</w:t>
      </w:r>
      <w:r>
        <w:rPr>
          <w:rFonts w:ascii="Times New Roman" w:hAnsi="Times New Roman"/>
          <w:color w:val="000000"/>
          <w:sz w:val="20"/>
          <w:u w:val="single"/>
        </w:rPr>
        <w:t>Negative Adjustment Amount</w:t>
      </w:r>
      <w:r>
        <w:rPr>
          <w:rFonts w:ascii="Times New Roman" w:hAnsi="Times New Roman"/>
          <w:color w:val="000000"/>
          <w:sz w:val="20"/>
        </w:rPr>
        <w:t xml:space="preserve">”), the Seller Note Amount shall be deemed decreased by an amount equal to the Negative Adjustment Amount; </w:t>
      </w:r>
      <w:r>
        <w:rPr>
          <w:rFonts w:ascii="Times New Roman" w:hAnsi="Times New Roman"/>
          <w:color w:val="000000"/>
          <w:sz w:val="20"/>
          <w:u w:val="single"/>
        </w:rPr>
        <w:t>provided</w:t>
      </w:r>
      <w:r>
        <w:rPr>
          <w:rFonts w:ascii="Times New Roman" w:hAnsi="Times New Roman"/>
          <w:color w:val="000000"/>
          <w:sz w:val="20"/>
        </w:rPr>
        <w:t xml:space="preserve"> that if the Negative Adjustment Amount exceeds the Seller Note Amount at the relevant time of determination, any Additional Consideration payable pursuant to </w:t>
      </w:r>
      <w:r>
        <w:rPr>
          <w:rFonts w:ascii="Times New Roman" w:hAnsi="Times New Roman"/>
          <w:color w:val="000000"/>
          <w:sz w:val="20"/>
          <w:u w:val="single"/>
        </w:rPr>
        <w:t>Section 2.12</w:t>
      </w:r>
      <w:r>
        <w:rPr>
          <w:rFonts w:ascii="Times New Roman" w:hAnsi="Times New Roman"/>
          <w:color w:val="000000"/>
          <w:sz w:val="20"/>
        </w:rPr>
        <w:t xml:space="preserve"> shall be reduced by the amount of such excess.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(iii)       If the Final Closing Payment is equal to the Estimated Closing Payment, then no adjustment shall be made to the Seller Note Amount pursuant to this </w:t>
      </w:r>
      <w:r>
        <w:rPr>
          <w:rFonts w:ascii="Times New Roman" w:hAnsi="Times New Roman"/>
          <w:color w:val="000000"/>
          <w:sz w:val="20"/>
          <w:u w:val="single"/>
        </w:rPr>
        <w:t>Section 2.09(h)</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(i)        On adjustment of the Seller Note Amount provided in </w:t>
      </w:r>
      <w:r>
        <w:rPr>
          <w:rFonts w:ascii="Times New Roman" w:hAnsi="Times New Roman"/>
          <w:color w:val="000000"/>
          <w:sz w:val="20"/>
          <w:u w:val="single"/>
        </w:rPr>
        <w:t>Section 2.09(h)</w:t>
      </w:r>
      <w:r>
        <w:rPr>
          <w:rFonts w:ascii="Times New Roman" w:hAnsi="Times New Roman"/>
          <w:color w:val="000000"/>
          <w:sz w:val="20"/>
        </w:rPr>
        <w:t xml:space="preserve">, no Party may make or assert any claim under this </w:t>
      </w:r>
      <w:r>
        <w:rPr>
          <w:rFonts w:ascii="Times New Roman" w:hAnsi="Times New Roman"/>
          <w:color w:val="000000"/>
          <w:sz w:val="20"/>
          <w:u w:val="single"/>
        </w:rPr>
        <w:t>Section 2.09</w:t>
      </w:r>
      <w:r>
        <w:rPr>
          <w:rFonts w:ascii="Times New Roman" w:hAnsi="Times New Roman"/>
          <w:color w:val="000000"/>
          <w:sz w:val="20"/>
        </w:rPr>
        <w:t xml:space="preserve"> or otherwise for any matter finally agreed or determined in accordance with this </w:t>
      </w:r>
      <w:r>
        <w:rPr>
          <w:rFonts w:ascii="Times New Roman" w:hAnsi="Times New Roman"/>
          <w:color w:val="000000"/>
          <w:sz w:val="20"/>
          <w:u w:val="single"/>
        </w:rPr>
        <w:t>Section 2.09</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(j)          Notwithstanding anything to the contrary contained in this Agreement, (i) the process and adjustment set forth in this </w:t>
      </w:r>
      <w:r>
        <w:rPr>
          <w:rFonts w:ascii="Times New Roman" w:hAnsi="Times New Roman"/>
          <w:color w:val="000000"/>
          <w:sz w:val="20"/>
          <w:u w:val="single"/>
        </w:rPr>
        <w:t>Section 2.09</w:t>
      </w:r>
      <w:r>
        <w:rPr>
          <w:rFonts w:ascii="Times New Roman" w:hAnsi="Times New Roman"/>
          <w:color w:val="000000"/>
          <w:sz w:val="20"/>
        </w:rPr>
        <w:t xml:space="preserve"> shall be the sole and exclusive remedy of the Parties with respect to items required hereunder to be included or reflected in the calculation of the Final Closing Payment and (ii) without limiting the generality of the foregoing, adjustments to the Seller Note Amount and the amount of the Additional Consideration (provided that under no circumstances shall the amount of the Additional Consideration be reduced to less than zero) pursuant to </w:t>
      </w:r>
      <w:r>
        <w:rPr>
          <w:rFonts w:ascii="Times New Roman" w:hAnsi="Times New Roman"/>
          <w:color w:val="000000"/>
          <w:sz w:val="20"/>
          <w:u w:val="single"/>
        </w:rPr>
        <w:t>Section 2.09(h)(ii)</w:t>
      </w:r>
      <w:r>
        <w:rPr>
          <w:rFonts w:ascii="Times New Roman" w:hAnsi="Times New Roman"/>
          <w:color w:val="000000"/>
          <w:sz w:val="20"/>
        </w:rPr>
        <w:t xml:space="preserve"> shall be Buyer’s sole and exclusive remedy in the event that the Estimated Closing Payment is greater than the Final Closing Payment (and no adjustment shall be made in excess of the sum of the amount of the Seller Note Amount and any Additional Consideration that may be payable under </w:t>
      </w:r>
      <w:r>
        <w:rPr>
          <w:rFonts w:ascii="Times New Roman" w:hAnsi="Times New Roman"/>
          <w:color w:val="000000"/>
          <w:sz w:val="20"/>
          <w:u w:val="single"/>
        </w:rPr>
        <w:t>Section 2.12</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(k)         Buyer and Seller shall treat any payment under this </w:t>
      </w:r>
      <w:r>
        <w:rPr>
          <w:rFonts w:ascii="Times New Roman" w:hAnsi="Times New Roman"/>
          <w:color w:val="000000"/>
          <w:sz w:val="20"/>
          <w:u w:val="single"/>
        </w:rPr>
        <w:t>Section 2.09</w:t>
      </w:r>
      <w:r>
        <w:rPr>
          <w:rFonts w:ascii="Times New Roman" w:hAnsi="Times New Roman"/>
          <w:color w:val="000000"/>
          <w:sz w:val="20"/>
        </w:rPr>
        <w:t xml:space="preserve"> as an adjustment to the Purchase Price for U.S. federal Income Tax purposes (and relevant state, local and foreign Income Tax purposes) to the extent permitted by applicable Law and shall take such payment into account in the Purchase Price Allocation Schedule pursuant to </w:t>
      </w:r>
      <w:r>
        <w:rPr>
          <w:rFonts w:ascii="Times New Roman" w:hAnsi="Times New Roman"/>
          <w:color w:val="000000"/>
          <w:sz w:val="20"/>
          <w:u w:val="single"/>
        </w:rPr>
        <w:t>Section 2.10</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2.10        </w:t>
      </w:r>
      <w:r>
        <w:rPr>
          <w:rFonts w:ascii="Times New Roman" w:hAnsi="Times New Roman"/>
          <w:color w:val="000000"/>
          <w:sz w:val="20"/>
          <w:u w:val="single"/>
        </w:rPr>
        <w:t>Purchase Price Allocation</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w:t>
      </w:r>
      <w:r>
        <w:rPr>
          <w:rFonts w:ascii="Times New Roman" w:hAnsi="Times New Roman"/>
          <w:color w:val="000000"/>
          <w:sz w:val="20"/>
          <w:u w:val="single"/>
        </w:rPr>
        <w:t>Exhibit I</w:t>
      </w:r>
      <w:r>
        <w:rPr>
          <w:rFonts w:ascii="Times New Roman" w:hAnsi="Times New Roman"/>
          <w:color w:val="000000"/>
          <w:sz w:val="20"/>
        </w:rPr>
        <w:t xml:space="preserve"> sets forth the allocation of the Purchase Price and any additional amounts treated as consideration under this Agreement, including among the applicable Shares and the Transferred Assets.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Buyer shall prepare and deliver to Seller no later than 60 days following the determination of the Final Closing Statement a proposed allocation (to the extent required by applicable Tax Law) of the Purchase Price and any additional amounts treated as consideration for U.S. federal Income Tax purposes, prepared in a manner consistent with the schedule set forth in </w:t>
      </w:r>
      <w:r>
        <w:rPr>
          <w:rFonts w:ascii="Times New Roman" w:hAnsi="Times New Roman"/>
          <w:color w:val="000000"/>
          <w:sz w:val="20"/>
          <w:u w:val="single"/>
        </w:rPr>
        <w:t>Exhibit I</w:t>
      </w:r>
      <w:r>
        <w:rPr>
          <w:rFonts w:ascii="Times New Roman" w:hAnsi="Times New Roman"/>
          <w:color w:val="000000"/>
          <w:sz w:val="20"/>
        </w:rPr>
        <w:t>, Section 1060 of the Code and the Treasury Regulations promulgated thereunder and other applicable Tax Law (the “</w:t>
      </w:r>
      <w:r>
        <w:rPr>
          <w:rFonts w:ascii="Times New Roman" w:hAnsi="Times New Roman"/>
          <w:color w:val="000000"/>
          <w:sz w:val="20"/>
          <w:u w:val="single"/>
        </w:rPr>
        <w:t>Purchase Price Allocation Schedule</w:t>
      </w:r>
      <w:r>
        <w:rPr>
          <w:rFonts w:ascii="Times New Roman" w:hAnsi="Times New Roman"/>
          <w:color w:val="000000"/>
          <w:sz w:val="20"/>
        </w:rPr>
        <w:t>”). Seller shall have a period of 30 days after the delivery of the Purchase Price Allocation Schedule to present in writing to Buyer a notice of any objections that Seller may have to the allocations set forth therein (an “</w:t>
      </w:r>
      <w:r>
        <w:rPr>
          <w:rFonts w:ascii="Times New Roman" w:hAnsi="Times New Roman"/>
          <w:color w:val="000000"/>
          <w:sz w:val="20"/>
          <w:u w:val="single"/>
        </w:rPr>
        <w:t>Objections Notice</w:t>
      </w:r>
      <w:r>
        <w:rPr>
          <w:rFonts w:ascii="Times New Roman" w:hAnsi="Times New Roman"/>
          <w:color w:val="000000"/>
          <w:sz w:val="20"/>
        </w:rPr>
        <w:t xml:space="preserve">”). The Parties shall negotiate in good faith and use their reasonable best efforts to resolve such dispute. If the Parties fail to agree within 15 Business Days after the delivery of the Objections Notice, then the disputed items shall be resolved by the Independent Accountant. All of the corresponding costs, fees and expenses of the Independent Accountant shall be borne in accordance with </w:t>
      </w:r>
      <w:r>
        <w:rPr>
          <w:rFonts w:ascii="Times New Roman" w:hAnsi="Times New Roman"/>
          <w:color w:val="000000"/>
          <w:sz w:val="20"/>
          <w:u w:val="single"/>
        </w:rPr>
        <w:t>Section 2.09(f)</w:t>
      </w:r>
      <w:r>
        <w:rPr>
          <w:rFonts w:ascii="Times New Roman" w:hAnsi="Times New Roman"/>
          <w:color w:val="000000"/>
          <w:sz w:val="20"/>
        </w:rPr>
        <w:t xml:space="preserve">. No Party shall take, or permit any of its Affiliates to take, any position inconsistent with the Purchase Price Allocation Schedule (as agreed or deemed final) for any applicable Tax purpose, unless required to do so pursuant to a “determination” within the meaning of Section 1313(a) of the Code (or any analogous provision of state, local or foreign Law); </w:t>
      </w:r>
      <w:r>
        <w:rPr>
          <w:rFonts w:ascii="Times New Roman" w:hAnsi="Times New Roman"/>
          <w:color w:val="000000"/>
          <w:sz w:val="20"/>
          <w:u w:val="single"/>
        </w:rPr>
        <w:t>provided</w:t>
      </w:r>
      <w:r>
        <w:rPr>
          <w:rFonts w:ascii="Times New Roman" w:hAnsi="Times New Roman"/>
          <w:color w:val="000000"/>
          <w:sz w:val="20"/>
        </w:rPr>
        <w:t> </w:t>
      </w:r>
      <w:r>
        <w:rPr>
          <w:rFonts w:ascii="Times New Roman" w:hAnsi="Times New Roman"/>
          <w:color w:val="000000"/>
          <w:sz w:val="20"/>
          <w:u w:val="single"/>
        </w:rPr>
        <w:t>however</w:t>
      </w:r>
      <w:r>
        <w:rPr>
          <w:rFonts w:ascii="Times New Roman" w:hAnsi="Times New Roman"/>
          <w:color w:val="000000"/>
          <w:sz w:val="20"/>
        </w:rPr>
        <w:t xml:space="preserve"> that no such determination shall have any effect on the Purchase Price and the Parties hereby agree that no adjustment shall be made to any such payment. To the extent that any payments are made under this Agreement after the Purchase Price Allocation Schedule is finalized that are treated as additional consideration or an adjustment to consideration paid for applicable Tax purposes, such amounts shall be allocated consistently with the Purchase Price Allocation Schedule.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2.11        </w:t>
      </w:r>
      <w:r>
        <w:rPr>
          <w:rFonts w:ascii="Times New Roman" w:hAnsi="Times New Roman"/>
          <w:color w:val="000000"/>
          <w:sz w:val="20"/>
          <w:u w:val="single"/>
        </w:rPr>
        <w:t>Closing Deliverables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w:t>
      </w:r>
      <w:r>
        <w:rPr>
          <w:rFonts w:ascii="Times New Roman" w:hAnsi="Times New Roman"/>
          <w:color w:val="000000"/>
          <w:sz w:val="20"/>
          <w:u w:val="single"/>
        </w:rPr>
        <w:t>Closing Deliverables of Seller</w:t>
      </w:r>
      <w:r>
        <w:rPr>
          <w:rFonts w:ascii="Times New Roman" w:hAnsi="Times New Roman"/>
          <w:color w:val="000000"/>
          <w:sz w:val="20"/>
        </w:rPr>
        <w:t>. At or prior to the Closing, Seller shall deliver, or cause to be delivered, to Buyer:</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31</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       with respect to Shares of the Transferred Companies organized in the United States, (A) if any of such Shares are certificated, certificates representing such Shares, duly endorsed in blank or accompanied by a stock power duly endorsed in blank in proper form for transfer or (B) if any of such Shares are uncertificated, appropriate instruments of transfer with respect thereto;</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(ii)        a counterpart of each of the Ancillary Agreements, executed by each of Seller and any of its Subsidiaries that is a party thereto;</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(iii)      the certificate, duly executed on behalf of Seller by an authorized officer of Seller, dated as of the Closing Date, contemplated by </w:t>
      </w:r>
      <w:r>
        <w:rPr>
          <w:rFonts w:ascii="Times New Roman" w:hAnsi="Times New Roman"/>
          <w:color w:val="000000"/>
          <w:sz w:val="20"/>
          <w:u w:val="single"/>
        </w:rPr>
        <w:t>Section 6.02(c)</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(iv)       a duly completed and executed IRS Form W-9 of Seller; and</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(v)       such other bills of sale, assignments and other customary instruments of assignment, transfer or conveyance, in form and substance reasonably satisfactory to Buyer, as Buyer may reasonably request or as may be otherwise reasonably necessary or desirable to evidence and effect the sale, assignment, transfer, conveyance and delivery of the Transferred Assets to Buyer.</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w:t>
      </w:r>
      <w:r>
        <w:rPr>
          <w:rFonts w:ascii="Times New Roman" w:hAnsi="Times New Roman"/>
          <w:color w:val="000000"/>
          <w:sz w:val="20"/>
          <w:u w:val="single"/>
        </w:rPr>
        <w:t>Closing Deliverables of Buyer</w:t>
      </w:r>
      <w:r>
        <w:rPr>
          <w:rFonts w:ascii="Times New Roman" w:hAnsi="Times New Roman"/>
          <w:color w:val="000000"/>
          <w:sz w:val="20"/>
        </w:rPr>
        <w:t>. At or prior to the Closing, Buyer shall deliver, or cause to be delivered, to Seller (or its designated Affiliate):</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          a duly executed Base Seller Note;</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(ii)       the certificate, duly executed on behalf of Buyer by an authorized officer of Buyer, dated as of the Closing Date, contemplated by </w:t>
      </w:r>
      <w:r>
        <w:rPr>
          <w:rFonts w:ascii="Times New Roman" w:hAnsi="Times New Roman"/>
          <w:color w:val="000000"/>
          <w:sz w:val="20"/>
          <w:u w:val="single"/>
        </w:rPr>
        <w:t>Section 6.03(c)</w:t>
      </w:r>
      <w:r>
        <w:rPr>
          <w:rFonts w:ascii="Times New Roman" w:hAnsi="Times New Roman"/>
          <w:color w:val="000000"/>
          <w:sz w:val="20"/>
        </w:rPr>
        <w:t>; and</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(iii)       a counterpart of each of the Ancillary Agreements, executed by each of Buyer and any of its Affiliates that is a party thereto.</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2.12        </w:t>
      </w:r>
      <w:r>
        <w:rPr>
          <w:rFonts w:ascii="Times New Roman" w:hAnsi="Times New Roman"/>
          <w:color w:val="000000"/>
          <w:sz w:val="20"/>
          <w:u w:val="single"/>
        </w:rPr>
        <w:t>Additional Consideration</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If, prior to the tenth anniversary of the Closing Date (the “</w:t>
      </w:r>
      <w:r>
        <w:rPr>
          <w:rFonts w:ascii="Times New Roman" w:hAnsi="Times New Roman"/>
          <w:color w:val="000000"/>
          <w:sz w:val="20"/>
          <w:u w:val="single"/>
        </w:rPr>
        <w:t>Additional Consideration Period</w:t>
      </w:r>
      <w:r>
        <w:rPr>
          <w:rFonts w:ascii="Times New Roman" w:hAnsi="Times New Roman"/>
          <w:color w:val="000000"/>
          <w:sz w:val="20"/>
        </w:rPr>
        <w:t>”), Buyer consummates a Qualifying Exit, Buyer shall pay, or cause to be paid, to Seller an amount equal to $5,000,000 (the “</w:t>
      </w:r>
      <w:r>
        <w:rPr>
          <w:rFonts w:ascii="Times New Roman" w:hAnsi="Times New Roman"/>
          <w:color w:val="000000"/>
          <w:sz w:val="20"/>
          <w:u w:val="single"/>
        </w:rPr>
        <w:t>Additional Consideration</w:t>
      </w:r>
      <w:r>
        <w:rPr>
          <w:rFonts w:ascii="Times New Roman" w:hAnsi="Times New Roman"/>
          <w:color w:val="000000"/>
          <w:sz w:val="20"/>
        </w:rPr>
        <w:t>”) substantially concurrently with the consummation of such Qualifying Exit, and in any event no later than five Business Days following such consummation, by wire transfer of immediately available funds to an account designated in writing by Seller.</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Buyer shall use commercially reasonable efforts to pursue and consummate a Qualifying Exit during the Additional Consideration Period;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if no Qualifying Exit is consummated prior to the expiration of the Additional Consideration Period, Buyer shall have no obligation to pay the Additional Consideration.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Buyer shall provide Seller with written notice of the anticipated closing date of any Qualifying Exit no later than ten Business Days prior to such anticipated closing date.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(d)       During the Additional Consideration Period, Buyer shall not take any action, or fail to take any action, the primary purpose of which is to structure any transaction so as to avoid the characterization of such transaction as a Qualifying Exit.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(e)        If, during the Additional Consideration Period, Buyer consummates any transaction that would be a Qualifying Exit but for the fact that the Aggregate Transaction Value is less than $[***], as determined by Buyer in good faith, Buyer shall deliver written notice of such determination to Seller no later than ten Business Days prior to the consummation of such transaction (a “</w:t>
      </w:r>
      <w:r>
        <w:rPr>
          <w:rFonts w:ascii="Times New Roman" w:hAnsi="Times New Roman"/>
          <w:color w:val="000000"/>
          <w:sz w:val="20"/>
          <w:u w:val="single"/>
        </w:rPr>
        <w:t>Non-Qualifying Transaction Notice</w:t>
      </w:r>
      <w:r>
        <w:rPr>
          <w:rFonts w:ascii="Times New Roman" w:hAnsi="Times New Roman"/>
          <w:color w:val="000000"/>
          <w:sz w:val="20"/>
        </w:rPr>
        <w:t>”). Each Non-Qualifying Transaction Notice shall (i) describe the applicable transaction in reasonable detail, (ii) set forth Buyer’s determination of the Aggregate Transaction Value for such transaction and (iii) explain in reasonable detail the basis for such determination, including by providing reasonable supporting documentation of such determination.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(f)       Upon receipt of a Non-Qualifying Transaction Notice, Seller shall have thirty days to deliver written notice to Buyer contesting Buyer’s determination of the Aggregate Transaction Value set forth therein (a “</w:t>
      </w:r>
      <w:r>
        <w:rPr>
          <w:rFonts w:ascii="Times New Roman" w:hAnsi="Times New Roman"/>
          <w:color w:val="000000"/>
          <w:sz w:val="20"/>
          <w:u w:val="single"/>
        </w:rPr>
        <w:t>Non-Qualifying Transaction Dispute Notice</w:t>
      </w:r>
      <w:r>
        <w:rPr>
          <w:rFonts w:ascii="Times New Roman" w:hAnsi="Times New Roman"/>
          <w:color w:val="000000"/>
          <w:sz w:val="20"/>
        </w:rPr>
        <w:t>”). If Seller does not deliver a Non-Qualifying Transaction Dispute Notice to Buyer within such thirty day period, Seller shall be deemed to have accepted Buyer’s determination as set forth in the applicable Non-Qualifying Transaction Notice, and such determination shall be final and binding on the parties. If Seller timely delivers a Non-Qualifying Transaction Dispute Notice, the Parties shall negotiate in good faith to resolve the dispute set forth therein. If the Parties determine that the applicable transaction constitutes a Qualifying Exit, Buyer shall pay, or cause to be paid, to Seller the Additional Consideration by wire transfer of immediately available funds to an account designated in writing by Seller no later than five Business Days following the date of such determination.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2.13        </w:t>
      </w:r>
      <w:r>
        <w:rPr>
          <w:rFonts w:ascii="Times New Roman" w:hAnsi="Times New Roman"/>
          <w:color w:val="000000"/>
          <w:sz w:val="20"/>
          <w:u w:val="single"/>
        </w:rPr>
        <w:t>Restricted Contracts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Notwithstanding any other provision in this Agreement to the contrary, no Assigned Contract shall be assigned or transferred at the Closing if such assignment or transfer (or attempt to make such an assignment or transfer) without the Consent of a third party would constitute a breach, violation or other contravention of the rights of such third party (such Contracts being collectively referred to herein as “</w:t>
      </w:r>
      <w:r>
        <w:rPr>
          <w:rFonts w:ascii="Times New Roman" w:hAnsi="Times New Roman"/>
          <w:color w:val="000000"/>
          <w:sz w:val="20"/>
          <w:u w:val="single"/>
        </w:rPr>
        <w:t>Restricted Contracts</w:t>
      </w:r>
      <w:r>
        <w:rPr>
          <w:rFonts w:ascii="Times New Roman" w:hAnsi="Times New Roman"/>
          <w:color w:val="000000"/>
          <w:sz w:val="20"/>
        </w:rPr>
        <w:t>”) until such Consent or approval is obtained, at which time such Restricted Contract shall be automatically assigned or transferred to Buyer (or, as applicable, one or more Subsidiaries of Buyer) for no additional consideration, where such assignment or transfer shall be deemed to have occurred as of the Closing, except to the extent the date of such third party Consent is deemed by applicable Law to have occurred on another date, in which case, such assignment or transfer shall be deemed to have occurred as of such date.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From the date hereof until the earlier of (x) the expiration or termination of the relevant Restricted Contract and (y) the date on which the Consent or approval of the relevant third party with respect to the assignment of such Restricted Contract is obtained, each of Seller and Buyer shall use commercially reasonable efforts to coordinate with each other in attempting to obtain any such Consent or approval; </w:t>
      </w:r>
      <w:r>
        <w:rPr>
          <w:rFonts w:ascii="Times New Roman" w:hAnsi="Times New Roman"/>
          <w:color w:val="000000"/>
          <w:sz w:val="20"/>
          <w:u w:val="single"/>
        </w:rPr>
        <w:t>provided</w:t>
      </w:r>
      <w:r>
        <w:rPr>
          <w:rFonts w:ascii="Times New Roman" w:hAnsi="Times New Roman"/>
          <w:color w:val="000000"/>
          <w:sz w:val="20"/>
        </w:rPr>
        <w:t xml:space="preserve"> that neither Party shall be required to deliver anything of value to obtain any such Consent or approval;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for the avoidance of doubt, nothing in this </w:t>
      </w:r>
      <w:r>
        <w:rPr>
          <w:rFonts w:ascii="Times New Roman" w:hAnsi="Times New Roman"/>
          <w:color w:val="000000"/>
          <w:sz w:val="20"/>
          <w:u w:val="single"/>
        </w:rPr>
        <w:t>Section 2.13(b)</w:t>
      </w:r>
      <w:r>
        <w:rPr>
          <w:rFonts w:ascii="Times New Roman" w:hAnsi="Times New Roman"/>
          <w:color w:val="000000"/>
          <w:sz w:val="20"/>
        </w:rPr>
        <w:t xml:space="preserve"> shall require Seller or any of its Affiliates to renew any Restricted Contract that is otherwise expiring or terminating in accordance with its terms.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From and after the Closing until the earlier of (x) the expiration or termination of the relevant Restricted Contract and (y) the date on which the Consent or approval of the relevant third party with respect to the assignment of such Restricted Contract is obtained, Seller shall use commercially reasonable efforts to provide Buyer with the monies, goods or other benefits under each Restricted Contract as if such Restricted Contract had been assigned to Buyer (including by means of any licensing, subcontracting, sublicensing or subleasing arrangement), if the same is permitted under the applicable Restricted Contract.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(d)         Buyer shall bear all the Liabilities (other than Excluded Liabilities) and performance obligations with respect to any such Restricted Contract, if the same is permitted under the applicable Restricted Contract.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2.14       </w:t>
      </w:r>
      <w:r>
        <w:rPr>
          <w:rFonts w:ascii="Times New Roman" w:hAnsi="Times New Roman"/>
          <w:color w:val="000000"/>
          <w:sz w:val="20"/>
          <w:u w:val="single"/>
        </w:rPr>
        <w:t>Local Transfer Documents</w:t>
      </w:r>
      <w:r>
        <w:rPr>
          <w:rFonts w:ascii="Times New Roman" w:hAnsi="Times New Roman"/>
          <w:color w:val="000000"/>
          <w:sz w:val="20"/>
        </w:rPr>
        <w:t>. The Parties shall negotiate in good faith prior to the Closing to enter into any agreement, transfer document or other instrument necessary to give effect to the transfer of title of any Shares or Transferred Assets, or to effectuate the assumption of the Assumed Liabilities, in any jurisdictions outside of the United States (the “</w:t>
      </w:r>
      <w:r>
        <w:rPr>
          <w:rFonts w:ascii="Times New Roman" w:hAnsi="Times New Roman"/>
          <w:color w:val="000000"/>
          <w:sz w:val="20"/>
          <w:u w:val="single"/>
        </w:rPr>
        <w:t>Local Transfer Documents</w:t>
      </w:r>
      <w:r>
        <w:rPr>
          <w:rFonts w:ascii="Times New Roman" w:hAnsi="Times New Roman"/>
          <w:color w:val="000000"/>
          <w:sz w:val="20"/>
        </w:rPr>
        <w:t>”). The Parties agree that any Local Transfer Document shall include only such provisions as are required by applicable Law to give effect to such transfer and assumption and serve purely to effect the legal transfer of the applicable Transferred Company, Transferred Assets or Assumed Liabilities in a jurisdiction outside of the United States, and shall not enlarge, affect, amend, waive or modify the rights or remedies of the Parties with regard to such transfers and assumptions or any other rights and obligations of the Parties set forth in this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2.15        </w:t>
      </w:r>
      <w:r>
        <w:rPr>
          <w:rFonts w:ascii="Times New Roman" w:hAnsi="Times New Roman"/>
          <w:color w:val="000000"/>
          <w:sz w:val="20"/>
          <w:u w:val="single"/>
        </w:rPr>
        <w:t>Wrong Pockets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To the extent that after the Closing until the first anniversary of the Closing, but subject to the TSA, Buyer, Seller or any of their respective Affiliates determine that Buyer or any of its Affiliates received any Excluded Asset that should have been retained by Seller or its Affiliates hereunder, or that any Excluded Liability was erroneously assumed by Buyer or its Affiliates, Buyer shall (or shall cause such Affiliate to) promptly transfer such Excluded Asset (and any related Excluded Liability) to Seller or its designee or cause such Excluded Liability to be assumed by Seller or its designee, in each case for no consideration.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To the extent that after the Closing until the first anniversary of the Closing, but subject to the TSA and excluding any assets in respect of Overhead and Shared Services, Buyer, Seller or any of their respective Affiliates determine that Seller or any of its Affiliates hold any Transferred Asset that should have been transferred to Buyer or any of its designated Subsidiaries hereunder, or that any Assumed Liability has not been assumed by Buyer or its Affiliates, Seller shall (or shall cause such Affiliate to) promptly transfer such Transferred Asset (and any related Assumed Liability) to Buyer or its designee or cause such Assumed Liability to be assumed by Buyer or its designee, in each case for no consideration.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2.16        </w:t>
      </w:r>
      <w:r>
        <w:rPr>
          <w:rFonts w:ascii="Times New Roman" w:hAnsi="Times New Roman"/>
          <w:color w:val="000000"/>
          <w:sz w:val="20"/>
          <w:u w:val="single"/>
        </w:rPr>
        <w:t>Non-Assignability of Assets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Notwithstanding anything to the contrary set forth in this Agreement, to the extent that the transfer or attempted transfer to Buyer of any asset that would be a Transferred Asset is (i) prohibited by any applicable Law or (ii) without a Permit or Consent would (A) constitute a breach or other contravention of Law or Contract, (B) subject any Seller Party or Buyer Party to civil or criminal liability, (C) be ineffective, void or voidable or (D) adversely affect the rights thereunder of any Seller Party or Buyer Party and such Consent has not been obtained prior to the Closing, then in each case the Closing shall proceed without the transfer of such asset. In the event the Closing proceeds without the transfer of any such asset, then such asset shall still be regarded as a Transferred Asset for purposes of the calculations required under </w:t>
      </w:r>
      <w:r>
        <w:rPr>
          <w:rFonts w:ascii="Times New Roman" w:hAnsi="Times New Roman"/>
          <w:color w:val="000000"/>
          <w:sz w:val="20"/>
          <w:u w:val="single"/>
        </w:rPr>
        <w:t>Section 2.09</w:t>
      </w:r>
      <w:r>
        <w:rPr>
          <w:rFonts w:ascii="Times New Roman" w:hAnsi="Times New Roman"/>
          <w:color w:val="000000"/>
          <w:sz w:val="20"/>
        </w:rPr>
        <w:t xml:space="preserve">, and in no event shall the Seller Note Amount be reduced or deferred in respect of any asset. For a period of twelve months after the Closing (which twelve-month period may be extended by an additional six months with the prior written consent of each of the Parties, not to be unreasonably withheld), the Parties shall use their commercially reasonable efforts to promptly obtain such Permit or Consent. Pending obtaining such Permit or Consent, Seller and Buyer shall use their commercially reasonable efforts to cooperate with each other to agree to any reasonable and lawful arrangements designed to provide Buyer with the economic claims, rights and benefits under such asset and assume the economic burdens and obligations with respect thereto in accordance with this Agreement, including by subcontracting, sublicensing or subleasing to Buyer to the extent contractually permissible. Once the required Permit or Consent is obtained, Seller shall, or shall cause its applicable Subsidiaries to, transfer such asset to Buyer at no additional cost to Buyer. No Seller Entity shall have any Liability to Buyer arising out of or relating to the failure to obtain any such Permit or Consent that may be required in connection with the transactions contemplated by this Agreement or the other Transaction Documents or any circumstances or consequences resulting therefrom (including any failure to transfer of any assets). For so long as Seller holds any Transferred Assets and provides to Buyer any claims, rights and benefits of any such Transferred Assets pursuant to an arrangement described in this </w:t>
      </w:r>
      <w:r>
        <w:rPr>
          <w:rFonts w:ascii="Times New Roman" w:hAnsi="Times New Roman"/>
          <w:color w:val="000000"/>
          <w:sz w:val="20"/>
          <w:u w:val="single"/>
        </w:rPr>
        <w:t>Section 2.16</w:t>
      </w:r>
      <w:r>
        <w:rPr>
          <w:rFonts w:ascii="Times New Roman" w:hAnsi="Times New Roman"/>
          <w:color w:val="000000"/>
          <w:sz w:val="20"/>
        </w:rPr>
        <w:t>, Buyer shall indemnify and hold harmless Seller from and against all Losses incurred or asserted as a result of Seller’s post-Closing direct or indirect ownership, management or operation of any such Transferred Assets. To the extent permitted by Law and contractually permissible, the conveyance, transfer, assignment, delivery, subcontract or allocation of any such Transferred Asset to Buyer shall be treated as occurring immediately prior to the Closing.</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In furtherance of the covenants of the Parties set forth in </w:t>
      </w:r>
      <w:r>
        <w:rPr>
          <w:rFonts w:ascii="Times New Roman" w:hAnsi="Times New Roman"/>
          <w:color w:val="000000"/>
          <w:sz w:val="20"/>
          <w:u w:val="single"/>
        </w:rPr>
        <w:t>Section 2.16(a)</w:t>
      </w:r>
      <w:r>
        <w:rPr>
          <w:rFonts w:ascii="Times New Roman" w:hAnsi="Times New Roman"/>
          <w:color w:val="000000"/>
          <w:sz w:val="20"/>
        </w:rPr>
        <w:t>, Buyer shall, and shall cause its Affiliates to, take all actions and execute, acknowledge and deliver all documents as are reasonably necessary to facilitate the transfer of the Transferred Assets and assumption of the Assumed Liabilities, whether before or after the Closing Date, including the establishment and registration of legal entities in applicable jurisdictions as may be reasonably necessary to operate the Business from and following the Closing Date.</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III</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REPRESENTATIONS AND WARRANTIES OF SELLER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Except (a) as set forth in the Disclosure Schedule (and subject to </w:t>
      </w:r>
      <w:r>
        <w:rPr>
          <w:rFonts w:ascii="Times New Roman" w:hAnsi="Times New Roman"/>
          <w:color w:val="000000"/>
          <w:sz w:val="20"/>
          <w:u w:val="single"/>
        </w:rPr>
        <w:t>Section 9.11</w:t>
      </w:r>
      <w:r>
        <w:rPr>
          <w:rFonts w:ascii="Times New Roman" w:hAnsi="Times New Roman"/>
          <w:color w:val="000000"/>
          <w:sz w:val="20"/>
        </w:rPr>
        <w:t>), (b) as set forth in any report, schedule, form, statement or other document (including exhibits) filed with, or furnished to, the SEC by Seller and publicly available prior to the date of this Agreement (other than any disclosure contained therein under the heading “Risk Factor” or “Forward-Looking Statements” that is not a statement of historical fact) and (c) with respect to any Excluded Asset or Excluded Liability, Seller hereby represents and warrants to Buyer as follows: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3.01        </w:t>
      </w:r>
      <w:r>
        <w:rPr>
          <w:rFonts w:ascii="Times New Roman" w:hAnsi="Times New Roman"/>
          <w:color w:val="000000"/>
          <w:sz w:val="20"/>
          <w:u w:val="single"/>
        </w:rPr>
        <w:t>Organization, Good Standing and Power; Qualifications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Each of Seller, each Transferred Company and each Subsidiary Transferor is duly organized, validly existing and in good standing under the Laws of its state of jurisdiction of incorporation or organization, as applicable. Each of Seller, each Transferred Company and each Subsidiary Transferor has all requisite power and authority and possesses all governmental franchises, licenses, permits, authorizations and approvals necessary (a) to enable it to own, lease or otherwise hold the Transferred Assets and (b) to conduct the Business as it is now conducted, except for any such failures to be so qualified or licensed and in good standing that, individually or in the aggregate, would not reasonably be expected to be material to the Business or prevent or materially impair or delay the ability of Seller, such Transferred Company or such Subsidiary Transferor to perform its obligations under this Agreement and the Ancillary Agreements or to consummate the transactions contemplated hereby or thereby. Each of Seller, each Transferred Company and each Subsidiary Transferor is duly qualified or licensed as a foreign corporation to do business, and is in good standing, in each jurisdiction where the ownership or operation of the Transferred Assets or the conduct of the Business makes such qualification or licensing necessary, except for any such failures to be so qualified or licensed and in good standing that, individually or in the aggregate, would not reasonably be expected to be material to the Business or prevent or materially impair or delay the ability of Seller, such Transferred Company or such Subsidiary Transferor to perform its obligations under this Agreement and the Ancillary Agreements or to consummate the transactions contemplated hereby or thereby.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Seller has made available to Buyer true, correct and complete copies of each of the Transferred Companies’ Organizational Documents as in effect as of the date hereof. The Transferred Companies’ Organizational Documents are in full force and effect, and the Transferred Companies are not in violation of their Organizational Documents, in each case, except as would not, individually or in the aggregate, reasonably be expected to have a Business Material Adverse Effect.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3.02        </w:t>
      </w:r>
      <w:r>
        <w:rPr>
          <w:rFonts w:ascii="Times New Roman" w:hAnsi="Times New Roman"/>
          <w:color w:val="000000"/>
          <w:sz w:val="20"/>
          <w:u w:val="single"/>
        </w:rPr>
        <w:t>Capitalization of the Transferred Companies</w:t>
      </w:r>
      <w:r>
        <w:rPr>
          <w:rFonts w:ascii="Times New Roman" w:hAnsi="Times New Roman"/>
          <w:color w:val="000000"/>
          <w:sz w:val="20"/>
        </w:rPr>
        <w:t xml:space="preserve">. Each Transferred Company’s authorized and outstanding capital stock as of the date hereof is as set forth on </w:t>
      </w:r>
      <w:r>
        <w:rPr>
          <w:rFonts w:ascii="Times New Roman" w:hAnsi="Times New Roman"/>
          <w:color w:val="000000"/>
          <w:sz w:val="20"/>
          <w:u w:val="single"/>
        </w:rPr>
        <w:t>Section 3.02</w:t>
      </w:r>
      <w:r>
        <w:rPr>
          <w:rFonts w:ascii="Times New Roman" w:hAnsi="Times New Roman"/>
          <w:color w:val="000000"/>
          <w:sz w:val="20"/>
        </w:rPr>
        <w:t xml:space="preserve"> of the Disclosure Schedule. At the Closing, Seller will deliver or cause to be delivered to Buyer good, valid and marketable title to the Shares, free and clear of all Liens (other than transfer restrictions under applicable securities Laws). The Shares are duly authorized, validly issued, (to the extent such concepts are recognized) fully paid and non-assessable and have not been issued in violation of any preemptive rights, subscription rights, rights of first refusal or first offer or other similar rights. Except for this Agreement, there are no outstanding or authorized subscriptions, options, warrants, convertible or exchangeable securities, puts, calls, commitments (contingent or otherwise) or Contracts (a) requiring the issuance, sale, transfer, repurchase, redemption or other acquisition of any Equity Securities of the Transferred Companies, (b) restricting the transfer of any Equity Securities of the Transferred Companies, (c) relating to the voting of any Equity Securities of the Transferred Companies or (d) subjecting the Shares to any outstanding Liens. There are no outstanding or authorized profits interests, stock appreciation, phantom stock or similar rights with respect to the Equity Securities of the Transferred Companies to which any Transferred Company is a party or by which it is bound. The Transferred Companies have no authorized or outstanding bonds, debentures, notes or other Indebtedness the holders of which have the right to vote (or convertible into, exchangeable for or evidencing the right to subscribe for or acquire securities having the right to vote) on any matter.</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3.03        </w:t>
      </w:r>
      <w:r>
        <w:rPr>
          <w:rFonts w:ascii="Times New Roman" w:hAnsi="Times New Roman"/>
          <w:color w:val="000000"/>
          <w:sz w:val="20"/>
          <w:u w:val="single"/>
        </w:rPr>
        <w:t>Business Subsidiaries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w:t>
      </w:r>
      <w:r>
        <w:rPr>
          <w:rFonts w:ascii="Times New Roman" w:hAnsi="Times New Roman"/>
          <w:color w:val="000000"/>
          <w:sz w:val="20"/>
          <w:u w:val="single"/>
        </w:rPr>
        <w:t>Section 3.03</w:t>
      </w:r>
      <w:r>
        <w:rPr>
          <w:rFonts w:ascii="Times New Roman" w:hAnsi="Times New Roman"/>
          <w:color w:val="000000"/>
          <w:sz w:val="20"/>
        </w:rPr>
        <w:t xml:space="preserve"> of the Disclosure Schedule contains a true, correct and complete list as of the date hereof of each of the Business Subsidiaries, together with its jurisdiction of organization and the percentage of the outstanding Equity Securities in such Subsidiary owned, directly or indirectly, by the applicable Transferred Company. All of the issued and outstanding Equity Securities of the Business Subsidiaries are duly authorized, validly issued, (to the extent such concepts are recognized) fully paid and non-assessable and have not been issued in violation of any preemptive rights, subscription rights, rights of first refusal or first offer or other similar rights. The Equity Securities of the Business Subsidiaries set forth on </w:t>
      </w:r>
      <w:r>
        <w:rPr>
          <w:rFonts w:ascii="Times New Roman" w:hAnsi="Times New Roman"/>
          <w:color w:val="000000"/>
          <w:sz w:val="20"/>
          <w:u w:val="single"/>
        </w:rPr>
        <w:t>Section 3.03</w:t>
      </w:r>
      <w:r>
        <w:rPr>
          <w:rFonts w:ascii="Times New Roman" w:hAnsi="Times New Roman"/>
          <w:color w:val="000000"/>
          <w:sz w:val="20"/>
        </w:rPr>
        <w:t xml:space="preserve"> of the Disclosure Schedule are owned, directly or indirectly, of record and beneficially by the applicable Transferred Company, as set forth therein, free and clear of all Liens (other than transfer restrictions under applicable securities Laws). Except as set forth in </w:t>
      </w:r>
      <w:r>
        <w:rPr>
          <w:rFonts w:ascii="Times New Roman" w:hAnsi="Times New Roman"/>
          <w:color w:val="000000"/>
          <w:sz w:val="20"/>
          <w:u w:val="single"/>
        </w:rPr>
        <w:t>Section 3.03</w:t>
      </w:r>
      <w:r>
        <w:rPr>
          <w:rFonts w:ascii="Times New Roman" w:hAnsi="Times New Roman"/>
          <w:color w:val="000000"/>
          <w:sz w:val="20"/>
        </w:rPr>
        <w:t xml:space="preserve"> of the Disclosure Schedule, the Transferred Companies do not own, directly or indirectly, any Equity Securities of any Person other than the Business Subsidiaries.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Except for this Agreement, there are no outstanding or authorized subscriptions, options, warrants, convertible or exchangeable securities, puts, calls, commitments (contingent or otherwise) or Contracts (i) requiring the issuance, sale, transfer, repurchase, redemption or other acquisition of any Equity Securities of any Business Subsidiary, (ii) restricting the transfer of any Equity Securities of any Business Subsidiary, (iii) relating to the voting of any Equity Securities of any Business Subsidiary or (iv) subjecting the Equity Securities of any Business Subsidiary to any outstanding Liens.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Each of the Business Subsidiaries (i) is duly organized, validly existing and in good standing under the Laws of the jurisdiction in which it is organized (to the extent such concept is recognized), (ii) has the requisite legal entity power and authority to own, lease and operate its properties and assets and to carry on its business as it is now conducted and (iii) is duly qualified to do business as a foreign entity in each jurisdiction where the ownership, leasing or operation of its properties or assets or the conduct of the Business requires such qualification, in each case, except as would not, individually or in the aggregate, reasonably be expected to have a Business Material Adverse Effect.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3.04        </w:t>
      </w:r>
      <w:r>
        <w:rPr>
          <w:rFonts w:ascii="Times New Roman" w:hAnsi="Times New Roman"/>
          <w:color w:val="000000"/>
          <w:sz w:val="20"/>
          <w:u w:val="single"/>
        </w:rPr>
        <w:t>Authority; Execution and Delivery; Enforceability</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Each of Seller, each Transferred Company and each Subsidiary Transferor, as applicable, has all requisite corporate power and authority and full legal capacity to execute this Agreement and the Ancillary Agreements to which it is, or is specified to be, a party, to fully perform its obligations hereunder or thereunder, as applicable, and, with respect to Seller, subject to receipt of the Seller Stockholder Approval, to consummate the Sale and the other transactions contemplated hereby or thereby. The execution and delivery by each of Seller, each Transferred Company and each Subsidiary Transferor, as applicable, of this Agreement and the Ancillary Agreements to which it is, or is specified to be, a party and the consummation by Seller, the Transferred Companies and the Subsidiary Transferors of the Sale and the other transactions contemplated hereby or thereby have been duly authorized by all necessary action on the part of Seller, the Transferred Companies and the Subsidiary Transferors, as applicable, other than, with respect to Seller, the Seller Stockholder Approval, and no other action on the part of Seller, the Transferred Companies or the Subsidiary Transferors is necessary to authorize this Agreement or the Ancillary Agreements or the consummation of the Sale or the other transactions contemplated hereby or thereby. Seller has duly executed and delivered this Agreement and, prior to the Closing, each of Seller, each Transferred Company and each Subsidiary Transferor will have duly executed and delivered each Ancillary Agreement to which it is, or is specified to be, a party, and, assuming the due execution and delivery by Buyer, this Agreement, and each Ancillary Agreement to which Seller and/or a Transferred Company and/or a Subsidiary Transferor is, or is specified to be, a party, will, after execution and delivery by Seller and/or such Transferred Company and/or such Subsidiary Transferor, as applicable, constitute Seller’s and/or such Transferred Company’s and/or such Subsidiary Transferor’s legal, valid and binding obligation, enforceable against it in accordance with its terms, subject to applicable bankruptcy, insolvency, reorganization, moratorium or other Laws affecting creditors’ rights generally and subject to general principles of equity, regardless of whether considered in a proceeding in equity or at Law (collectively, the “</w:t>
      </w:r>
      <w:r>
        <w:rPr>
          <w:rFonts w:ascii="Times New Roman" w:hAnsi="Times New Roman"/>
          <w:color w:val="000000"/>
          <w:sz w:val="20"/>
          <w:u w:val="single"/>
        </w:rPr>
        <w:t>Bankruptcy and Equity Exception</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At a meeting duly called and held, the Seller Board has unanimously (i) determined that the Sale is expedient for and in the best interests of Seller and its stockholders, (ii) approved and declared advisable this Agreement and the Sale and (iii) resolved to make the Seller Board Recommendation.  As of the date of this Agreement, such resolutions have not been amended or withdrawn.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Except for the approval of the Sale by the affirmative vote of a majority of the voting power of the shares of Seller’s capital stock entitled to vote on such matter (the “</w:t>
      </w:r>
      <w:r>
        <w:rPr>
          <w:rFonts w:ascii="Times New Roman" w:hAnsi="Times New Roman"/>
          <w:color w:val="000000"/>
          <w:sz w:val="20"/>
          <w:u w:val="single"/>
        </w:rPr>
        <w:t>Seller Stockholder Approval</w:t>
      </w:r>
      <w:r>
        <w:rPr>
          <w:rFonts w:ascii="Times New Roman" w:hAnsi="Times New Roman"/>
          <w:color w:val="000000"/>
          <w:sz w:val="20"/>
        </w:rPr>
        <w:t>”), no other corporate proceedings on the part of the Seller stockholders are necessary to authorize, adopt or approve, as applicable, this Agreement or the Sale.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3.05     </w:t>
      </w:r>
      <w:r>
        <w:rPr>
          <w:rFonts w:ascii="Times New Roman" w:hAnsi="Times New Roman"/>
          <w:color w:val="000000"/>
          <w:sz w:val="20"/>
          <w:u w:val="single"/>
        </w:rPr>
        <w:t>No Conflicts; Consents and Approvals</w:t>
      </w:r>
      <w:r>
        <w:rPr>
          <w:rFonts w:ascii="Times New Roman" w:hAnsi="Times New Roman"/>
          <w:color w:val="000000"/>
          <w:sz w:val="20"/>
        </w:rPr>
        <w:t xml:space="preserve">. Subject to receipt of the Consents, approvals and waivers, and the making of the filings and notifications, in each case listed in </w:t>
      </w:r>
      <w:r>
        <w:rPr>
          <w:rFonts w:ascii="Times New Roman" w:hAnsi="Times New Roman"/>
          <w:color w:val="000000"/>
          <w:sz w:val="20"/>
          <w:u w:val="single"/>
        </w:rPr>
        <w:t>Section 3.05</w:t>
      </w:r>
      <w:r>
        <w:rPr>
          <w:rFonts w:ascii="Times New Roman" w:hAnsi="Times New Roman"/>
          <w:color w:val="000000"/>
          <w:sz w:val="20"/>
        </w:rPr>
        <w:t xml:space="preserve"> of the Disclosure Schedule, none of (i) the execution and delivery by Seller, any Transferred Company or any of the Subsidiary Transferors, as applicable, of this Agreement and each Ancillary Agreement to which it is or will be a party, (ii) the consummation by Seller, the Transferred Companies or the Subsidiary Transferors of the Sale or the other transactions contemplated hereby or thereby or (iii) the compliance by Seller, the Transferred Companies or the Subsidiary Transferors with any of the provisions hereof or thereof, as the case may be, will:</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conflict with, violate or result in the breach of any provision of the Organizational Documents of Seller, any Transferred Company or any Subsidiary Transferor;</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require Seller, any Transferred Company or any Subsidiary Transferor to make any filing with, or obtain any Permit, authorization, clearance, consent or approval (each, a “</w:t>
      </w:r>
      <w:r>
        <w:rPr>
          <w:rFonts w:ascii="Times New Roman" w:hAnsi="Times New Roman"/>
          <w:color w:val="000000"/>
          <w:sz w:val="20"/>
          <w:u w:val="single"/>
        </w:rPr>
        <w:t>Consent</w:t>
      </w:r>
      <w:r>
        <w:rPr>
          <w:rFonts w:ascii="Times New Roman" w:hAnsi="Times New Roman"/>
          <w:color w:val="000000"/>
          <w:sz w:val="20"/>
        </w:rPr>
        <w:t>”) from any Governmental Entity, except as may be required (i) solely by reason of Buyer’s (as opposed to any third party’s) participation in the Sale and the other transactions contemplated by this Agreement or the Ancillary Agreements or (ii) in order to prevent the termination of any right, privilege, license or qualification of or affecting the Business or the Transferred Assets;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conflict with, violate, or result in the breach of any Law applicable to Seller, any Transferred Company, any Subsidiary Transferor, the Business or any of the Transferred Assets or by which Seller, any Transferred Company, any Subsidiary Transferor, the Business or any of the Transferred Assets may be bound or affected;</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(d)       conflict with, violate, result in the breach or termination of, or constitute (with or without notice or lapse of time or both) a default under, require Seller, any Transferred Company or any Subsidiary Transferor to obtain any Consent or give any notice to any Person under any Material Contract; or</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(e)        result in the creation or imposition of any Lien (other than any Permitted Lien or any Lien created by or through Buyer or this Agreement) upon any of the Transferred Assets;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except, in the case of each of </w:t>
      </w:r>
      <w:r>
        <w:rPr>
          <w:rFonts w:ascii="Times New Roman" w:hAnsi="Times New Roman"/>
          <w:color w:val="000000"/>
          <w:sz w:val="20"/>
          <w:u w:val="single"/>
        </w:rPr>
        <w:t>(b)</w:t>
      </w:r>
      <w:r>
        <w:rPr>
          <w:rFonts w:ascii="Times New Roman" w:hAnsi="Times New Roman"/>
          <w:color w:val="000000"/>
          <w:sz w:val="20"/>
        </w:rPr>
        <w:t xml:space="preserve">, </w:t>
      </w:r>
      <w:r>
        <w:rPr>
          <w:rFonts w:ascii="Times New Roman" w:hAnsi="Times New Roman"/>
          <w:color w:val="000000"/>
          <w:sz w:val="20"/>
          <w:u w:val="single"/>
        </w:rPr>
        <w:t>(c)</w:t>
      </w:r>
      <w:r>
        <w:rPr>
          <w:rFonts w:ascii="Times New Roman" w:hAnsi="Times New Roman"/>
          <w:color w:val="000000"/>
          <w:sz w:val="20"/>
        </w:rPr>
        <w:t xml:space="preserve">, </w:t>
      </w:r>
      <w:r>
        <w:rPr>
          <w:rFonts w:ascii="Times New Roman" w:hAnsi="Times New Roman"/>
          <w:color w:val="000000"/>
          <w:sz w:val="20"/>
          <w:u w:val="single"/>
        </w:rPr>
        <w:t>(d)</w:t>
      </w:r>
      <w:r>
        <w:rPr>
          <w:rFonts w:ascii="Times New Roman" w:hAnsi="Times New Roman"/>
          <w:color w:val="000000"/>
          <w:sz w:val="20"/>
        </w:rPr>
        <w:t xml:space="preserve"> and </w:t>
      </w:r>
      <w:r>
        <w:rPr>
          <w:rFonts w:ascii="Times New Roman" w:hAnsi="Times New Roman"/>
          <w:color w:val="000000"/>
          <w:sz w:val="20"/>
          <w:u w:val="single"/>
        </w:rPr>
        <w:t>(e)</w:t>
      </w:r>
      <w:r>
        <w:rPr>
          <w:rFonts w:ascii="Times New Roman" w:hAnsi="Times New Roman"/>
          <w:color w:val="000000"/>
          <w:sz w:val="20"/>
        </w:rPr>
        <w:t>, as would not reasonably be expected, individually or in the aggregate, to have a Business Material Adverse Effect or to prevent or materially impair or delay the ability of Seller, such Transferred Company or such Subsidiary Transferor to perform its obligations under this Agreement and the Ancillary Agreements or to consummate the transactions contemplated hereby or thereby.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3.06       </w:t>
      </w:r>
      <w:r>
        <w:rPr>
          <w:rFonts w:ascii="Times New Roman" w:hAnsi="Times New Roman"/>
          <w:color w:val="000000"/>
          <w:sz w:val="20"/>
          <w:u w:val="single"/>
        </w:rPr>
        <w:t>Financial Information</w:t>
      </w:r>
      <w:r>
        <w:rPr>
          <w:rFonts w:ascii="Times New Roman" w:hAnsi="Times New Roman"/>
          <w:color w:val="000000"/>
          <w:sz w:val="20"/>
        </w:rPr>
        <w:t xml:space="preserve">. Set forth in </w:t>
      </w:r>
      <w:r>
        <w:rPr>
          <w:rFonts w:ascii="Times New Roman" w:hAnsi="Times New Roman"/>
          <w:color w:val="000000"/>
          <w:sz w:val="20"/>
          <w:u w:val="single"/>
        </w:rPr>
        <w:t>Section 3.06</w:t>
      </w:r>
      <w:r>
        <w:rPr>
          <w:rFonts w:ascii="Times New Roman" w:hAnsi="Times New Roman"/>
          <w:color w:val="000000"/>
          <w:sz w:val="20"/>
        </w:rPr>
        <w:t xml:space="preserve"> of the Disclosure Schedule are (a) the unaudited carve-out balance sheets of the Business as of December 31, 2025 and December 31, 2024 and the related carve-out income statements of the Business for the 12-month periods then ended and (b) the unaudited carve-out interim balance sheet of the Business as of March 31, 2026 (the “</w:t>
      </w:r>
      <w:r>
        <w:rPr>
          <w:rFonts w:ascii="Times New Roman" w:hAnsi="Times New Roman"/>
          <w:color w:val="000000"/>
          <w:sz w:val="20"/>
          <w:u w:val="single"/>
        </w:rPr>
        <w:t>Latest Business Balance Sheet</w:t>
      </w:r>
      <w:r>
        <w:rPr>
          <w:rFonts w:ascii="Times New Roman" w:hAnsi="Times New Roman"/>
          <w:color w:val="000000"/>
          <w:sz w:val="20"/>
        </w:rPr>
        <w:t>”) and the related carve-out interim income statement of the Business for the three-month period then ended (the financial information referred to in clauses (a) and (b), collectively, the “</w:t>
      </w:r>
      <w:r>
        <w:rPr>
          <w:rFonts w:ascii="Times New Roman" w:hAnsi="Times New Roman"/>
          <w:color w:val="000000"/>
          <w:sz w:val="20"/>
          <w:u w:val="single"/>
        </w:rPr>
        <w:t>Business Financial Information</w:t>
      </w:r>
      <w:r>
        <w:rPr>
          <w:rFonts w:ascii="Times New Roman" w:hAnsi="Times New Roman"/>
          <w:color w:val="000000"/>
          <w:sz w:val="20"/>
        </w:rPr>
        <w:t xml:space="preserve">”). The Business Financial Information (i) has been extracted from the financial statements of Seller, which were prepared in all material respects in accordance with GAAP and (ii) taking into account the purposes for which it was prepared and subject to the remainder of this </w:t>
      </w:r>
      <w:r>
        <w:rPr>
          <w:rFonts w:ascii="Times New Roman" w:hAnsi="Times New Roman"/>
          <w:color w:val="000000"/>
          <w:sz w:val="20"/>
          <w:u w:val="single"/>
        </w:rPr>
        <w:t>Section 3.06</w:t>
      </w:r>
      <w:r>
        <w:rPr>
          <w:rFonts w:ascii="Times New Roman" w:hAnsi="Times New Roman"/>
          <w:color w:val="000000"/>
          <w:sz w:val="20"/>
        </w:rPr>
        <w:t xml:space="preserve">, presents fairly in all material respects the financial condition and results of operations of the Business as of the times and for the periods referred to therein. Notwithstanding anything to the contrary in this </w:t>
      </w:r>
      <w:r>
        <w:rPr>
          <w:rFonts w:ascii="Times New Roman" w:hAnsi="Times New Roman"/>
          <w:color w:val="000000"/>
          <w:sz w:val="20"/>
          <w:u w:val="single"/>
        </w:rPr>
        <w:t>Section 3.06</w:t>
      </w:r>
      <w:r>
        <w:rPr>
          <w:rFonts w:ascii="Times New Roman" w:hAnsi="Times New Roman"/>
          <w:color w:val="000000"/>
          <w:sz w:val="20"/>
        </w:rPr>
        <w:t>, Buyer acknowledges that the Business has not been operated as a separate stand-alone entity but rather has been operated within Seller and has been reporting its results as part of the consolidated financial statements of Seller. As a result, Buyer acknowledges that the Business Financial Information (x) includes certain costs incurred by Seller that have been allocated to the Business, (y) does not include certain costs necessary to operate the Business on a stand-alone basis and (z) is not necessarily indicative of what the financial position or results of operations of the Business on a stand-alone basis have been in any past period or at any past date or will be in the future.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3.07        </w:t>
      </w:r>
      <w:r>
        <w:rPr>
          <w:rFonts w:ascii="Times New Roman" w:hAnsi="Times New Roman"/>
          <w:color w:val="000000"/>
          <w:sz w:val="20"/>
          <w:u w:val="single"/>
        </w:rPr>
        <w:t>No Undisclosed Liabilities; No Material Adverse Effect; Absence of Changes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Since the date of the Latest Business Balance Sheet through the date hereof, there has not been any event, change or circumstance that, individually or in the aggregate, has had or would reasonably be expected to have a Business Material Adverse Effect.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Since the date of the Latest Business Balance Sheet through the date hereof, the Business has been conducted in the ordinary course of business in all material respects.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The Business has no Liabilities of a nature required to be reflected or reserved against on a balance sheet prepared in accordance with GAAP, other than (i) Liabilities reflected or reserved against on the Latest Business Balance Sheet, (ii) Liabilities incurred in the ordinary course of business since the date of the Latest Business Balance Sheet, (iii) Liabilities incurred in connection with the transactions contemplated by this Agreement and (iv) Excluded Liabilities.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3.08        </w:t>
      </w:r>
      <w:r>
        <w:rPr>
          <w:rFonts w:ascii="Times New Roman" w:hAnsi="Times New Roman"/>
          <w:color w:val="000000"/>
          <w:sz w:val="20"/>
          <w:u w:val="single"/>
        </w:rPr>
        <w:t>Compliance with Laws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Seller and its Subsidiaries are operating and have, since the Lookback Date, operated the Business in compliance in all material respects with all applicable Laws and Governmental Orders. Since the Lookback Date, neither Seller nor any of its Subsidiaries has received any written notice or other written communication from a Governmental Entity that alleges that Seller or any of its Subsidiaries is in material violation of any Law applicable to the Business.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Seller and its Subsidiaries do not operate the Business in violation of any applicable Law relating to bribery or corruption (“</w:t>
      </w:r>
      <w:r>
        <w:rPr>
          <w:rFonts w:ascii="Times New Roman" w:hAnsi="Times New Roman"/>
          <w:color w:val="000000"/>
          <w:sz w:val="20"/>
          <w:u w:val="single"/>
        </w:rPr>
        <w:t>Applicable Anti-bribery Law</w:t>
      </w:r>
      <w:r>
        <w:rPr>
          <w:rFonts w:ascii="Times New Roman" w:hAnsi="Times New Roman"/>
          <w:color w:val="000000"/>
          <w:sz w:val="20"/>
        </w:rPr>
        <w:t>”), and have not offered, paid, promised to pay or authorized the payment of any money or anything else of value, whether directly or through another Person, to (i) any Governmental Official in order to (A) unlawfully influence any act or decision of any Governmental Official or (B) induce such Governmental Official to unlawfully use his or its influence with a Governmental Entity; (ii) any foreign political party or official thereof or any candidate for foreign political office, in violation of any Applicable Anti-bribery Law; or (iii) any other Person, in each case, in any manner that would violate any Applicable Anti-bribery Law in any material respect.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3.09        </w:t>
      </w:r>
      <w:r>
        <w:rPr>
          <w:rFonts w:ascii="Times New Roman" w:hAnsi="Times New Roman"/>
          <w:color w:val="000000"/>
          <w:sz w:val="20"/>
          <w:u w:val="single"/>
        </w:rPr>
        <w:t>Governmental Licenses and Permits</w:t>
      </w:r>
      <w:r>
        <w:rPr>
          <w:rFonts w:ascii="Times New Roman" w:hAnsi="Times New Roman"/>
          <w:color w:val="000000"/>
          <w:sz w:val="20"/>
        </w:rPr>
        <w:t xml:space="preserve">. </w:t>
      </w:r>
      <w:r>
        <w:rPr>
          <w:rFonts w:ascii="Times New Roman" w:hAnsi="Times New Roman"/>
          <w:color w:val="000000"/>
          <w:sz w:val="20"/>
          <w:u w:val="single"/>
        </w:rPr>
        <w:t>Section 3.09</w:t>
      </w:r>
      <w:r>
        <w:rPr>
          <w:rFonts w:ascii="Times New Roman" w:hAnsi="Times New Roman"/>
          <w:color w:val="000000"/>
          <w:sz w:val="20"/>
        </w:rPr>
        <w:t xml:space="preserve"> of the Disclosure Schedule sets forth a true, correct and complete list of all Permits that are necessary for Seller and its Subsidiaries to operate the Business as currently operated in all material respects. All such Permits held by Seller and its Subsidiaries are in full force and effect and no violation of, or default under, any such Permits has occurred which would give any Governmental Entity any right of revocation, non-renewal, adverse modification or cancellation of, with or without notice or lapse of time or both, except where such violation or default, individually or in the aggregate, would not reasonably be expected to be material to the Business. No suspension, cancellation, modification, revocation or nonrenewal of any such Permit is pending or, to the knowledge of Seller, threatened.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3.10        </w:t>
      </w:r>
      <w:r>
        <w:rPr>
          <w:rFonts w:ascii="Times New Roman" w:hAnsi="Times New Roman"/>
          <w:color w:val="000000"/>
          <w:sz w:val="20"/>
          <w:u w:val="single"/>
        </w:rPr>
        <w:t>Environmental Matters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(i) The Business Companies are in compliance with all applicable Environmental Laws, (ii) since the Lookback Date, neither Seller nor any Business Company has received any written notices or demand letters from any Governmental Entity alleging that any Business Company is in violation of or has any liability under any Environmental Law that otherwise remains unresolved, (iii) there are no Actions pending or, to the knowledge of Seller, threatened against any Business Company, and there are no Orders with respect to any Business Company arising under Environmental Law and (iv) to the knowledge of Seller, there has been no Release of any Hazardous Substance by any Business Company in violation of, or that would reasonably be expected to give rise to liability of or claim (including any toxic tort claim) against any Business Company under, any applicable Environmental Law, in each case, except as would not, individually or in the aggregate, reasonably be expected to have a Business Material Adverse Effect. Seller has made available to Buyer (in each case performed, received or sent since the Lookback Date) any and all Phase I or Phase II environmental site assessments or similar reports in Seller’s possession relating to facilities of any Business Company.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As used herein, “</w:t>
      </w:r>
      <w:r>
        <w:rPr>
          <w:rFonts w:ascii="Times New Roman" w:hAnsi="Times New Roman"/>
          <w:color w:val="000000"/>
          <w:sz w:val="20"/>
          <w:u w:val="single"/>
        </w:rPr>
        <w:t>Environmental Law</w:t>
      </w:r>
      <w:r>
        <w:rPr>
          <w:rFonts w:ascii="Times New Roman" w:hAnsi="Times New Roman"/>
          <w:color w:val="000000"/>
          <w:sz w:val="20"/>
        </w:rPr>
        <w:t>” means any Law relating to the protection of the environment, natural resources, endangered or threatened species or, as it relates to exposure to hazardous or toxic materials, human health and safety.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As used herein, “</w:t>
      </w:r>
      <w:r>
        <w:rPr>
          <w:rFonts w:ascii="Times New Roman" w:hAnsi="Times New Roman"/>
          <w:color w:val="000000"/>
          <w:sz w:val="20"/>
          <w:u w:val="single"/>
        </w:rPr>
        <w:t>Hazardous Substance</w:t>
      </w:r>
      <w:r>
        <w:rPr>
          <w:rFonts w:ascii="Times New Roman" w:hAnsi="Times New Roman"/>
          <w:color w:val="000000"/>
          <w:sz w:val="20"/>
        </w:rPr>
        <w:t>” means any substance listed, defined, designated or classified as hazardous or toxic under any Environmental Law.</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(d)       As used herein, “</w:t>
      </w:r>
      <w:r>
        <w:rPr>
          <w:rFonts w:ascii="Times New Roman" w:hAnsi="Times New Roman"/>
          <w:color w:val="000000"/>
          <w:sz w:val="20"/>
          <w:u w:val="single"/>
        </w:rPr>
        <w:t>Release</w:t>
      </w:r>
      <w:r>
        <w:rPr>
          <w:rFonts w:ascii="Times New Roman" w:hAnsi="Times New Roman"/>
          <w:color w:val="000000"/>
          <w:sz w:val="20"/>
        </w:rPr>
        <w:t>” means any release, spill, emission, leaking, dumping, injection, pouring, deposit, disposal, discharge, dispersal, leaching or migration into or through the environment.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3.11        </w:t>
      </w:r>
      <w:r>
        <w:rPr>
          <w:rFonts w:ascii="Times New Roman" w:hAnsi="Times New Roman"/>
          <w:color w:val="000000"/>
          <w:sz w:val="20"/>
          <w:u w:val="single"/>
        </w:rPr>
        <w:t>Employee Benefit Plans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w:t>
      </w:r>
      <w:r>
        <w:rPr>
          <w:rFonts w:ascii="Times New Roman" w:hAnsi="Times New Roman"/>
          <w:color w:val="000000"/>
          <w:sz w:val="20"/>
          <w:u w:val="single"/>
        </w:rPr>
        <w:t>Section 3.11(a)</w:t>
      </w:r>
      <w:r>
        <w:rPr>
          <w:rFonts w:ascii="Times New Roman" w:hAnsi="Times New Roman"/>
          <w:color w:val="000000"/>
          <w:sz w:val="20"/>
        </w:rPr>
        <w:t xml:space="preserve"> of the Disclosure Schedule lists each material Benefit Plan, as in effect on the date hereof, separately indicating which such Benefit Plans are Company Benefit Plans;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(i) any offer letter, employment contract or consultancy agreement with a natural person that is in all material respects consistent with a standard form made available to Buyer prior to the date of this Agreement, (ii) </w:t>
      </w:r>
      <w:r>
        <w:rPr>
          <w:rFonts w:ascii="Times New Roman" w:hAnsi="Times New Roman"/>
          <w:color w:val="0D0D0D"/>
          <w:sz w:val="20"/>
        </w:rPr>
        <w:t>any individual equity award agreement that is in all material respects consistent with the standard form made available to Buyer prior to the date of this Agreement</w:t>
      </w:r>
      <w:r>
        <w:rPr>
          <w:rFonts w:ascii="Times New Roman" w:hAnsi="Times New Roman"/>
          <w:color w:val="000000"/>
          <w:sz w:val="20"/>
        </w:rPr>
        <w:t xml:space="preserve"> and (iii) any plans or agreements sponsored or maintained by a Governmental Entity or required to be provided to a Business Employee pursuant to applicable Law, in each case of clauses (i) through (iii), shall not be required to be listed on </w:t>
      </w:r>
      <w:r>
        <w:rPr>
          <w:rFonts w:ascii="Times New Roman" w:hAnsi="Times New Roman"/>
          <w:color w:val="000000"/>
          <w:sz w:val="20"/>
          <w:u w:val="single"/>
        </w:rPr>
        <w:t>Section 3.11(a)</w:t>
      </w:r>
      <w:r>
        <w:rPr>
          <w:rFonts w:ascii="Times New Roman" w:hAnsi="Times New Roman"/>
          <w:color w:val="000000"/>
          <w:sz w:val="20"/>
        </w:rPr>
        <w:t xml:space="preserve"> of the Disclosure Schedule. “</w:t>
      </w:r>
      <w:r>
        <w:rPr>
          <w:rFonts w:ascii="Times New Roman" w:hAnsi="Times New Roman"/>
          <w:color w:val="000000"/>
          <w:sz w:val="20"/>
          <w:u w:val="single"/>
        </w:rPr>
        <w:t>Benefit Plan</w:t>
      </w:r>
      <w:r>
        <w:rPr>
          <w:rFonts w:ascii="Times New Roman" w:hAnsi="Times New Roman"/>
          <w:color w:val="000000"/>
          <w:sz w:val="20"/>
        </w:rPr>
        <w:t>” means all compensation and/or benefit plans, programs, policies, agreements or arrangements, including any employee welfare plan within the meaning of Section 3(1) of the Employee Retirement Income Security Act of 1974 (“</w:t>
      </w:r>
      <w:r>
        <w:rPr>
          <w:rFonts w:ascii="Times New Roman" w:hAnsi="Times New Roman"/>
          <w:color w:val="000000"/>
          <w:sz w:val="20"/>
          <w:u w:val="single"/>
        </w:rPr>
        <w:t>ERISA</w:t>
      </w:r>
      <w:r>
        <w:rPr>
          <w:rFonts w:ascii="Times New Roman" w:hAnsi="Times New Roman"/>
          <w:color w:val="000000"/>
          <w:sz w:val="20"/>
        </w:rPr>
        <w:t xml:space="preserve">”) (whether or not subject to ERISA), any employee pension benefit plan within the meaning of Section 3(2) of ERISA (whether or not subject to ERISA) and any bonus, incentive, equity or equity related, deferred compensation, vacation, paid time off, stock purchase, stock option, loan, employment, consulting, retention, termination, severance, change in control or fringe benefit plan, program or agreement (other than any “multiemployer plan” within the meaning of Section 4001(a)(3) of ERISA), in each case that is sponsored, maintained or contributed to, or required to be sponsored, maintained or contributed to, by Seller or any of its Subsidiaries for the benefit of any Business Employee, former employee of the Business and current or former </w:t>
      </w:r>
      <w:r>
        <w:rPr>
          <w:rFonts w:ascii="Times New Roman" w:hAnsi="Times New Roman"/>
          <w:color w:val="0D0D0D"/>
          <w:sz w:val="20"/>
        </w:rPr>
        <w:t>individual consultant or other individual service provider of the Business</w:t>
      </w:r>
      <w:r>
        <w:rPr>
          <w:rFonts w:ascii="Times New Roman" w:hAnsi="Times New Roman"/>
          <w:color w:val="000000"/>
          <w:sz w:val="20"/>
        </w:rPr>
        <w:t>. “</w:t>
      </w:r>
      <w:r>
        <w:rPr>
          <w:rFonts w:ascii="Times New Roman" w:hAnsi="Times New Roman"/>
          <w:color w:val="000000"/>
          <w:sz w:val="20"/>
          <w:u w:val="single"/>
        </w:rPr>
        <w:t>Company Benefit Plan</w:t>
      </w:r>
      <w:r>
        <w:rPr>
          <w:rFonts w:ascii="Times New Roman" w:hAnsi="Times New Roman"/>
          <w:color w:val="000000"/>
          <w:sz w:val="20"/>
        </w:rPr>
        <w:t>” means each Benefit Plan or portion thereof (x) that is sponsored, maintained or contributed to exclusively by any Business Company, (y) that Buyer or any of its Affiliates has explicitly agreed to assume pursuant to this Agreement or (z) that Buyer or any of its Affiliates are required to assume in connection with this Agreement under applicable Law.</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Seller has made available to Buyer true, correct and complete copies, as of the date hereof, of (as applicable) (i) each material Benefit Plan, including any amendment thereto (or, in the case of any such unwritten Benefit Plan, a written description thereof) and (ii) with respect to each Company Benefit Plan, (A) each trust, insurance, annuity or other funding contract related thereto, (B) the most recent summary plan description and any summary of material modifications prepared for each Company Benefit Plan, (C) the most recent financial statements and actuarial or other valuation reports prepared with respect thereto, (D) the most recent determination or opinion letter from the IRS (or any comparable Governmental Entity, if applicable) and (E) the most recent annual report on Form 5500 filed with the IRS with respect thereto.</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Except as would not, individually or in the aggregate, reasonably be expected to be material to the Business, (i) each Company Benefit Plan has been maintained and administered in compliance with its terms and with applicable Law, including ERISA and the Code to the extent applicable thereto and by timely accruing or reserving (if applicable) all contributions, premiums and other payments required to be made with respect to any such Company Benefit Plan and (ii) each Business Company is in compliance with ERISA, the Code and all other Laws applicable to the Company Benefit Plans.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(d)        Each Company Benefit Plan that is intended to be “qualified” within the meaning of Section 401(a) of the Code (or qualified or registered under any comparable provision under applicable foreign Law) (i) has received a favorable determination letter or opinion letter from the IRS, (ii) is entitled to rely upon a favorable advisory or opinion letter issued by the IRS (or any comparable Governmental Entity, if applicable in the jurisdiction of such plan) or (iii) has time remaining under applicable Law to apply for a determination or opinion letter or to make any amendments necessary to obtain a favorable determination or opinion letter, and to the knowledge of Seller, no fact, development or event has occurred or exists since the date of such determination, advisory or opinion letter that would be reasonably likely to result in the loss of the qualified status of any such Company Benefit Plan.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(e)        No Company Benefit Plan is (i) subject to Section 302 or Title IV of ERISA or Section 412 of the Code or is otherwise a “defined benefit plan” (as defined in Section 414 of the Code), (ii) a “multiple employer plan” (as defined in Section 4063 or 4064 of ERISA), (iii) </w:t>
      </w:r>
      <w:r>
        <w:rPr>
          <w:rFonts w:ascii="Times New Roman" w:hAnsi="Times New Roman"/>
          <w:color w:val="0D0D0D"/>
          <w:sz w:val="20"/>
        </w:rPr>
        <w:t>a “multiemployer plan” (as defined in Section 3(37) of ERISA)</w:t>
      </w:r>
      <w:r>
        <w:rPr>
          <w:rFonts w:ascii="Times New Roman" w:hAnsi="Times New Roman"/>
          <w:color w:val="000000"/>
          <w:sz w:val="20"/>
        </w:rPr>
        <w:t xml:space="preserve"> or (iv) a “multiple employer welfare arrangement” (as defined in Section 3(40) of ERISA). No Business Company nor any of their respective ERISA Affiliates has any actual or contingent liability with respect to any such plan described in this </w:t>
      </w:r>
      <w:r>
        <w:rPr>
          <w:rFonts w:ascii="Times New Roman" w:hAnsi="Times New Roman"/>
          <w:color w:val="000000"/>
          <w:sz w:val="20"/>
          <w:u w:val="single"/>
        </w:rPr>
        <w:t>Section 3.11(e)</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(f)        No Company Benefit Plan provides death, medical, dental, vision, life insurance or other welfare benefits beyond termination of service or retirement to any Business Employee, other than coverage mandated by Part 6 of Subtitle B of Title I of ERISA, Section 4980B of the Code or any other applicable Law at the participant or beneficiary’s sole expense and, with respect to any Business Employee, neither Seller nor its Affiliates has any obligation to provide such insurance or benefits (whether under a Company Benefit Plan or otherwise) and has not made a written or oral representation promising to provide such insurance or benefits.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(g)         Each Company Benefit Plan providing for deferred compensation that constitutes a “nonqualified deferred compensation plan” (as defined in Section 409A(d)(1) of the Code and the regulations promulgated thereunder) is, and has been, established, administered and maintained in material compliance in both form and operation with the requirements of Section 409A of the Code and the regulations promulgated thereunder.</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(h)         Except as would not, individually or in the aggregate, reasonably be expected to be material to the Business, (i) there are no pending or, to the knowledge of Seller, threatened claims (other than claims for benefits in the ordinary course of business) by, on behalf of or against any Company Benefit Plan and (ii) there are no audits, inquiries or proceedings pending or, to the knowledge of Seller, threatened, by the IRS, Department of Labor or other Governmental Entity with respect to any Company Benefit Plan.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(i)          Without limiting the generality of the foregoing, with respect to any Company Benefit Plan for the benefit of any Business Employee, former employee of the Business or current or former individual consultant or other individual service provider of the Business who were or are employed or engaged outside of the United States (a “</w:t>
      </w:r>
      <w:r>
        <w:rPr>
          <w:rFonts w:ascii="Times New Roman" w:hAnsi="Times New Roman"/>
          <w:color w:val="000000"/>
          <w:sz w:val="20"/>
          <w:u w:val="single"/>
        </w:rPr>
        <w:t>Non-U.S. Plan</w:t>
      </w:r>
      <w:r>
        <w:rPr>
          <w:rFonts w:ascii="Times New Roman" w:hAnsi="Times New Roman"/>
          <w:color w:val="000000"/>
          <w:sz w:val="20"/>
        </w:rPr>
        <w:t>”): (A) if required to have been approved by any non-U.S. Governmental Entity (or permitted to have been approved to obtain any beneficial tax or other status), such Non-U.S. Plan has been so approved or timely submitted for approval; no such approval has been revoked (nor, to the knowledge of Seller, has revocation been threatened) and no event has occurred since the date of the most recent approval or application therefor that is reasonably likely to affect any such approval or increase the costs relating thereto; (B) if intended to be funded and/or book reserved, such Non-U.S. Plan is fully funded and/or book reserved, as appropriate, based upon reasonable actuarial assumptions; and (C) no liability exists or reasonably could be imposed upon the assets of the Business by reason of such Non-U.S. Plan, except as would not, in each case, individually or in the aggregate, reasonably be expected to be material to the Business.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(j)       Except as provided in this Agreement or as required by applicable Law, neither the execution and delivery of this Agreement nor the consummation of the transactions contemplated by this Agreement will, either alone or in combination with any other event, (i) entitle any Business Employee to any material compensation or benefit or (ii) accelerate the time of payment or vesting, trigger any payment or funding or increase the amount of benefits or compensation due to any Business Employee, except, in the case of the foregoing clauses (i) and (ii), for any payments or benefits for which Seller or any of its Affiliates (other than the Business Companies) will be solely liable.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3.12        </w:t>
      </w:r>
      <w:r>
        <w:rPr>
          <w:rFonts w:ascii="Times New Roman" w:hAnsi="Times New Roman"/>
          <w:color w:val="000000"/>
          <w:sz w:val="20"/>
          <w:u w:val="single"/>
        </w:rPr>
        <w:t>Absence of Litigation</w:t>
      </w:r>
      <w:r>
        <w:rPr>
          <w:rFonts w:ascii="Times New Roman" w:hAnsi="Times New Roman"/>
          <w:color w:val="000000"/>
          <w:sz w:val="20"/>
        </w:rPr>
        <w:t>. As of the date of this Agreement, there are no Actions pending or, to the knowledge of Seller, threatened, against Seller or any of its Subsidiaries that (a) seek to prevent, hinder, modify or delay the transactions contemplated by this Agreement or the Ancillary Agreements or (b) individually or in the aggregate, would reasonably be expected to be material to the Business. There are no Governmental Orders relating to the Business, the Business Companies, the Transferred Assets, Seller’s ownership or operation thereof, or the transactions contemplated by this Agreement or the Ancillary Agreements, other than Governmental Orders that individually or in the aggregate, would not reasonably be expected to have a Business Material Adverse Effect. Neither Seller, any Transferred Company nor any Subsidiary Transferor has commenced any Action that is pending, or has commenced preparations to initiate any Action, against any other Person in connection with the Business, any Business Company or the Transferred Assets, other than Actions that individually or in the aggregate, would not reasonably be expected to have a Business Material Adverse Effect.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3.13        </w:t>
      </w:r>
      <w:r>
        <w:rPr>
          <w:rFonts w:ascii="Times New Roman" w:hAnsi="Times New Roman"/>
          <w:color w:val="000000"/>
          <w:sz w:val="20"/>
          <w:u w:val="single"/>
        </w:rPr>
        <w:t>Tax Matters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Each Business Company (i) has timely filed (taking into account any valid extension of time within which to file) all material Tax Returns required to be filed by it and all such Tax Returns are true, correct and complete in all material respects and (ii) has timely paid all material Taxes shown as due on such Tax Returns.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There is no Lien upon any property or asset of the Business Companies related to Taxes, except for Permitted Liens.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Except with respect to Consolidated Income Taxes or any Consolidated Tax Return, there is no material Action pending with respect to Taxes imposed on, or Tax matters relating to, any Business Company, and no Business Company has been notified in writing that a Governmental Entity intends to commence any such Action, except as would not in the case of any such pending or intended Action, individually or in the aggregate, reasonably be expected to be material to the Business. No material deficiency with respect to Taxes has been assessed in writing against any Business Company which has not been fully paid.</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(d)        No Business Company (i) is or has been a member of an affiliated group of corporations filing a consolidated federal income Tax Return or (ii) has any Liability with respect to Taxes of another Person under Treasury Regulations Section 1.1502-6 (or any similar provision of Law) as a result of filing Tax Returns on a consolidated, combined or unitary basis with such Person, in each case, (a) other than pursuant to or as a result of its inclusion as a member of any such group that includes Seller or (b) customary withholding Taxes.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(e)        No Business Company is a party to, bound by, or has any obligation under, any Tax Sharing Arrangement other than any such agreement solely among the Business Companies.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(f)          In the two-year period ending on the date hereof, no Business Company has been a “distributing corporation” or a “controlled corporation” in a transaction that was intended to be governed in whole or in part by Section 355(a)(1)(A) of the Code.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(g)         There is no outstanding agreement, waiver or arrangement entered into outside the ordinary course of business extending the statutory period of limitation applicable to any claim for, or the period for the collection or assessment of, a material amount of Taxes due from or with respect to any Business Company.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(h)         No Business Company has participated in a “listed transaction” within the meaning of Treasury Regulations Section 1.6011-4(b)(2).</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(i)         Notwithstanding anything to the contrary contained in this Agreement: (i) nothing in this Agreement (including this </w:t>
      </w:r>
      <w:r>
        <w:rPr>
          <w:rFonts w:ascii="Times New Roman" w:hAnsi="Times New Roman"/>
          <w:color w:val="000000"/>
          <w:sz w:val="20"/>
          <w:u w:val="single"/>
        </w:rPr>
        <w:t>Section 3.13</w:t>
      </w:r>
      <w:r>
        <w:rPr>
          <w:rFonts w:ascii="Times New Roman" w:hAnsi="Times New Roman"/>
          <w:color w:val="000000"/>
          <w:sz w:val="20"/>
        </w:rPr>
        <w:t xml:space="preserve">) shall be construed as providing a representation or warranty with respect to the existence, amount, expiration date or limitations on (or availability of) any Tax attribute (including methods of accounting) with respect to any Business Company, including any tax basis in any asset, any net operating loss, capital loss or credit carryover or any Tax attribute that may be affected in any way by the acquisition of control under applicable Law or the determination that any such Tax attribute is subject to any limitation on its use under applicable Law and (ii) nothing in this Agreement (including this </w:t>
      </w:r>
      <w:r>
        <w:rPr>
          <w:rFonts w:ascii="Times New Roman" w:hAnsi="Times New Roman"/>
          <w:color w:val="000000"/>
          <w:sz w:val="20"/>
          <w:u w:val="single"/>
        </w:rPr>
        <w:t>Section 3.13</w:t>
      </w:r>
      <w:r>
        <w:rPr>
          <w:rFonts w:ascii="Times New Roman" w:hAnsi="Times New Roman"/>
          <w:color w:val="000000"/>
          <w:sz w:val="20"/>
        </w:rPr>
        <w:t>) shall be construed as providing a representation or warranty relating or attributable to a taxable period (or portion thereof) beginning on or after the Closing Date.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3.14        </w:t>
      </w:r>
      <w:r>
        <w:rPr>
          <w:rFonts w:ascii="Times New Roman" w:hAnsi="Times New Roman"/>
          <w:color w:val="000000"/>
          <w:sz w:val="20"/>
          <w:u w:val="single"/>
        </w:rPr>
        <w:t>Labor Matters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w:t>
      </w:r>
      <w:r>
        <w:rPr>
          <w:rFonts w:ascii="Times New Roman" w:hAnsi="Times New Roman"/>
          <w:color w:val="000000"/>
          <w:sz w:val="20"/>
          <w:u w:val="single"/>
        </w:rPr>
        <w:t>Section 3.14(a)</w:t>
      </w:r>
      <w:r>
        <w:rPr>
          <w:rFonts w:ascii="Times New Roman" w:hAnsi="Times New Roman"/>
          <w:color w:val="000000"/>
          <w:sz w:val="20"/>
        </w:rPr>
        <w:t xml:space="preserve"> of the Disclosure Schedule sets forth a true, correct and complete list (the “</w:t>
      </w:r>
      <w:r>
        <w:rPr>
          <w:rFonts w:ascii="Times New Roman" w:hAnsi="Times New Roman"/>
          <w:color w:val="000000"/>
          <w:sz w:val="20"/>
          <w:u w:val="single"/>
        </w:rPr>
        <w:t>Business Employee Schedule</w:t>
      </w:r>
      <w:r>
        <w:rPr>
          <w:rFonts w:ascii="Times New Roman" w:hAnsi="Times New Roman"/>
          <w:color w:val="000000"/>
          <w:sz w:val="20"/>
        </w:rPr>
        <w:t>”), subject to any redactions as required to comply with applicable Law relating to data protection, as of the date hereof, of all Business Employees by: (i) name, (ii) title or position; (iii) employing entity; (iv) status (part-time, full-time, exempt, non-exempt, etc.); (v) whether paid on a salaried, hourly or other basis; (vi) current base salary or wage rate; (vii) commission or target bonus opportunity for the current year; (viii) start date or service reference date (if different from the start date); (ix) work location (city, state and country); and (x) an indication of whether or not such Business Employee is on leave of absence and expected return date (if known).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w:t>
      </w:r>
      <w:r>
        <w:rPr>
          <w:rFonts w:ascii="Times New Roman" w:hAnsi="Times New Roman"/>
          <w:color w:val="000000"/>
          <w:sz w:val="20"/>
          <w:u w:val="single"/>
        </w:rPr>
        <w:t>Section 3.14(b)</w:t>
      </w:r>
      <w:r>
        <w:rPr>
          <w:rFonts w:ascii="Times New Roman" w:hAnsi="Times New Roman"/>
          <w:color w:val="000000"/>
          <w:sz w:val="20"/>
        </w:rPr>
        <w:t xml:space="preserve"> of the Disclosure Schedule sets forth a true, correct and complete list (the “</w:t>
      </w:r>
      <w:r>
        <w:rPr>
          <w:rFonts w:ascii="Times New Roman" w:hAnsi="Times New Roman"/>
          <w:color w:val="000000"/>
          <w:sz w:val="20"/>
          <w:u w:val="single"/>
        </w:rPr>
        <w:t>Business Consultant Schedule</w:t>
      </w:r>
      <w:r>
        <w:rPr>
          <w:rFonts w:ascii="Times New Roman" w:hAnsi="Times New Roman"/>
          <w:color w:val="000000"/>
          <w:sz w:val="20"/>
        </w:rPr>
        <w:t xml:space="preserve">”), subject to any redactions as required to comply with applicable Law relating to data protection, as of the date hereof, of each </w:t>
      </w:r>
      <w:r>
        <w:rPr>
          <w:rFonts w:ascii="Times New Roman" w:hAnsi="Times New Roman"/>
          <w:color w:val="0D0D0D"/>
          <w:sz w:val="20"/>
        </w:rPr>
        <w:t>individual consultant or other individual service provider of the Business</w:t>
      </w:r>
      <w:r>
        <w:rPr>
          <w:rFonts w:ascii="Times New Roman" w:hAnsi="Times New Roman"/>
          <w:color w:val="000000"/>
          <w:sz w:val="20"/>
        </w:rPr>
        <w:t xml:space="preserve"> by (i) name, (ii) type of service provided, (iii) date of engagement, (iv) the entity or entities to which the individual provides services, (v) fees paid to the individual for calendar year 2025 and (vi) service location (including city, state and country).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(c)        No Business Employee is party to any severance, retention, change-in-control agreement or arrangement that is not set forth on </w:t>
      </w:r>
      <w:r>
        <w:rPr>
          <w:rFonts w:ascii="Times New Roman" w:hAnsi="Times New Roman"/>
          <w:color w:val="000000"/>
          <w:sz w:val="20"/>
          <w:u w:val="single"/>
        </w:rPr>
        <w:t>Section 3.11(c)</w:t>
      </w:r>
      <w:r>
        <w:rPr>
          <w:rFonts w:ascii="Times New Roman" w:hAnsi="Times New Roman"/>
          <w:color w:val="000000"/>
          <w:sz w:val="20"/>
        </w:rPr>
        <w:t xml:space="preserve"> of the Disclosure Schedule.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(d)       No Business Employee is subject to any non-competition, non-solicitation or similar restrictive covenant in favor of Seller or any of its Affiliates that would restrict such individual from being employed by Buyer or any of its Affiliates following the Closing.</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(e)        Except as set forth on </w:t>
      </w:r>
      <w:r>
        <w:rPr>
          <w:rFonts w:ascii="Times New Roman" w:hAnsi="Times New Roman"/>
          <w:color w:val="000000"/>
          <w:sz w:val="20"/>
          <w:u w:val="single"/>
        </w:rPr>
        <w:t>Section 3.14(e)</w:t>
      </w:r>
      <w:r>
        <w:rPr>
          <w:rFonts w:ascii="Times New Roman" w:hAnsi="Times New Roman"/>
          <w:color w:val="000000"/>
          <w:sz w:val="20"/>
        </w:rPr>
        <w:t xml:space="preserve"> of the Disclosure Schedule, no Business Company is a party to any collective bargaining agreement, labor union contract or trade union agreement and no Business Employee is represented by any union, works council or other labor organization.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(f)         Except for such matters that would not, individually or in the aggregate, reasonably be expected to have a Business Material Adverse Effect, as of the date of this Agreement, (i) there are no strikes or lockouts with respect to the Business Employees pending or, to the knowledge of Seller, threatened and, since the Lookback Date, there has not been any such action, (ii) to the knowledge of Seller, there is no union organizing effort pending or threatened with respect to the Business Employees, (iii) there is no unfair labor practice, labor dispute (other than routine individual grievance), grievance or labor arbitration proceeding pending or, to the knowledge of Seller, threatened against any Business Company, (iv) there is no slowdown or work stoppage in effect or, to the knowledge of Seller, threatened with respect to the Business Employees, and since the Lookback Date there has not been any such action and (v) each Business Company is in compliance with all applicable Laws with respect to (A) employment and employment practices, (B) terms and conditions of employment and (C) unfair labor practices (in each case, including applicable Laws regarding wage and hour requirements, correct classification of independent contractors and of employees as exempt and non-exempt, immigration status, discrimination in employment, workers’ compensation, employee health and safety and collective bargaining).</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3.15        </w:t>
      </w:r>
      <w:r>
        <w:rPr>
          <w:rFonts w:ascii="Times New Roman" w:hAnsi="Times New Roman"/>
          <w:color w:val="000000"/>
          <w:sz w:val="20"/>
          <w:u w:val="single"/>
        </w:rPr>
        <w:t>Intellectual Property</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w:t>
      </w:r>
      <w:r>
        <w:rPr>
          <w:rFonts w:ascii="Times New Roman" w:hAnsi="Times New Roman"/>
          <w:color w:val="000000"/>
          <w:sz w:val="20"/>
          <w:u w:val="single"/>
        </w:rPr>
        <w:t>Section 3.15(a)</w:t>
      </w:r>
      <w:r>
        <w:rPr>
          <w:rFonts w:ascii="Times New Roman" w:hAnsi="Times New Roman"/>
          <w:color w:val="000000"/>
          <w:sz w:val="20"/>
        </w:rPr>
        <w:t xml:space="preserve"> of the Disclosure Schedule contains a true, correct and complete list of all active (i) Business Company-Owned Intellectual Property and (ii) Transferred Intellectual Property Assets, in each case ((i) and (ii)) that is not expired or abandoned and is registered, issued or the subject of a pending application with any Government Entity. To the knowledge of Seller, the Business Owned Intellectual Property set forth in </w:t>
      </w:r>
      <w:r>
        <w:rPr>
          <w:rFonts w:ascii="Times New Roman" w:hAnsi="Times New Roman"/>
          <w:color w:val="000000"/>
          <w:sz w:val="20"/>
          <w:u w:val="single"/>
        </w:rPr>
        <w:t>Section 3.15(a)</w:t>
      </w:r>
      <w:r>
        <w:rPr>
          <w:rFonts w:ascii="Times New Roman" w:hAnsi="Times New Roman"/>
          <w:color w:val="000000"/>
          <w:sz w:val="20"/>
        </w:rPr>
        <w:t xml:space="preserve"> of the Disclosure Schedule are valid, subsisting and enforceable.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w:t>
      </w:r>
      <w:r>
        <w:rPr>
          <w:rFonts w:ascii="Times New Roman" w:hAnsi="Times New Roman"/>
          <w:color w:val="000000"/>
          <w:sz w:val="20"/>
          <w:u w:val="single"/>
        </w:rPr>
        <w:t>Section 3.15(b)</w:t>
      </w:r>
      <w:r>
        <w:rPr>
          <w:rFonts w:ascii="Times New Roman" w:hAnsi="Times New Roman"/>
          <w:color w:val="000000"/>
          <w:sz w:val="20"/>
        </w:rPr>
        <w:t xml:space="preserve"> of the Disclosure Schedule lists, as of the date of this Agreement, all Contracts (i) under which the Business Companies receive or are granted an exclusive license (or sublicense) under any material Intellectual Property of a third party or (ii) that grant to any third party any exclusive license (or sublicense) under any material Business Owned Intellectual Property or material Business In-Licensed Intellectual Property.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The Business Companies are the exclusive owners or co-owners of, and hold good and valid title to, the material Business Company-Owned Intellectual Property free and clear of all Liens, except for Permitted Liens. Seller or a Subsidiary Transferor is the exclusive owner or co-owner of the material Transferred Intellectual Property Assets free and clear of all Liens, except for Permitted Liens. To the knowledge of Seller, Seller or its Subsidiaries have sufficient rights to use the Business In-Licensed Intellectual Property pursuant to valid and enforceable written Contracts.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(d)         To the knowledge of Seller, (i) the operation of the Business does not materially infringe, misappropriate or otherwise violate any Intellectual Property of any Person and (ii) no rights in any material Business Owned Intellectual Property or material Business In-Licensed Intellectual Property are being infringed, misappropriated or otherwise violated by any Person.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(e)         There are no Actions pending or, to the knowledge of Seller, threatened in writing, against Seller, any Subsidiary Transferors or any Business Company (as applicable) that (i) the operation of the Business materially infringes, misappropriates or is otherwise in violation of any Intellectual Property of any Person or (ii) challenge the validity or enforceability of any material Business Owned Intellectual Property.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(f)        Each Business Company has taken commercially reasonable actions consistent with its ordinary course intellectual property management practices to maintain and protect the Business Owned Intellectual Property and to preserve the confidentiality of the material trade secrets included in the Business Owned Intellectual Property.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(g)        All current and former employees and contractors of the Subsidiary Transferors or the Business Companies who contribute or have contributed to the development of material Business Owned Intellectual Property in the course of their employment or engagement have assigned to Seller, a Subsidiary Transferor or a Business Company exclusive ownership of all such employee or contractor’s right, title, and interest in and to such Intellectual Property. Seller has provided to Buyer the executed confidential information and invention assignment agreements for employees set forth on </w:t>
      </w:r>
      <w:r>
        <w:rPr>
          <w:rFonts w:ascii="Times New Roman" w:hAnsi="Times New Roman"/>
          <w:color w:val="000000"/>
          <w:sz w:val="20"/>
          <w:u w:val="single"/>
        </w:rPr>
        <w:t>Section 3.15(g)</w:t>
      </w:r>
      <w:r>
        <w:rPr>
          <w:rFonts w:ascii="Times New Roman" w:hAnsi="Times New Roman"/>
          <w:color w:val="000000"/>
          <w:sz w:val="20"/>
        </w:rPr>
        <w:t xml:space="preserve"> of the Disclosure Schedule.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(h)       To the knowledge of Seller, the Business Owned Intellectual Property and the Business In-Licensed Intellectual Property constitute all the Intellectual Property rights necessary for the operation of the Business as conducted at the Closing Date.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(i)        To the knowledge of Seller, since the Lookback Date, no Person has gained unauthorized access to any of the IT Assets of any Business Company or the Transferred IT Assets in a manner that would, individually or in the aggregate, reasonably be expected to have a Business Material Adverse Effect.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3.16        </w:t>
      </w:r>
      <w:r>
        <w:rPr>
          <w:rFonts w:ascii="Times New Roman" w:hAnsi="Times New Roman"/>
          <w:color w:val="000000"/>
          <w:sz w:val="20"/>
          <w:u w:val="single"/>
        </w:rPr>
        <w:t>Data Privacy</w:t>
      </w:r>
      <w:r>
        <w:rPr>
          <w:rFonts w:ascii="Times New Roman" w:hAnsi="Times New Roman"/>
          <w:color w:val="000000"/>
          <w:sz w:val="20"/>
        </w:rPr>
        <w:t>. Except as would not reasonably be expected to have a Business Material Adverse Effect: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The Business is in compliance with applicable Laws pertaining to the collection, storage, use, access, disclosure, processing, security and transfer of Personal Information (“</w:t>
      </w:r>
      <w:r>
        <w:rPr>
          <w:rFonts w:ascii="Times New Roman" w:hAnsi="Times New Roman"/>
          <w:color w:val="000000"/>
          <w:sz w:val="20"/>
          <w:u w:val="single"/>
        </w:rPr>
        <w:t>Privacy Laws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Since the Lookback Date, the Business has not received any written charge, demand or complaint from any Person, including any Governmental Entity, relating to any alleged violation of applicable Privacy Laws; and</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Since the Lookback Date, the Business has not discovered or been notified of any data security breach of Personal Information that required the Business to provide notification to any individual or Governmental Entity under applicable Privacy Laws.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3.17        </w:t>
      </w:r>
      <w:r>
        <w:rPr>
          <w:rFonts w:ascii="Times New Roman" w:hAnsi="Times New Roman"/>
          <w:color w:val="000000"/>
          <w:sz w:val="20"/>
          <w:u w:val="single"/>
        </w:rPr>
        <w:t>Real Property</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No Business Company owns any real property, nor is such Business Company party to any Contract to purchase or sell any real property.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w:t>
      </w:r>
      <w:r>
        <w:rPr>
          <w:rFonts w:ascii="Times New Roman" w:hAnsi="Times New Roman"/>
          <w:color w:val="000000"/>
          <w:sz w:val="20"/>
          <w:u w:val="single"/>
        </w:rPr>
        <w:t>Section 3.17(b)</w:t>
      </w:r>
      <w:r>
        <w:rPr>
          <w:rFonts w:ascii="Times New Roman" w:hAnsi="Times New Roman"/>
          <w:color w:val="000000"/>
          <w:sz w:val="20"/>
        </w:rPr>
        <w:t xml:space="preserve"> of the Disclosure Schedule contains a true, correct and complete list by address, as of the date hereof, of all Business Real Property leased by any Business Company (collectively, the “</w:t>
      </w:r>
      <w:r>
        <w:rPr>
          <w:rFonts w:ascii="Times New Roman" w:hAnsi="Times New Roman"/>
          <w:color w:val="000000"/>
          <w:sz w:val="20"/>
          <w:u w:val="single"/>
        </w:rPr>
        <w:t>Leased Real Property</w:t>
      </w:r>
      <w:r>
        <w:rPr>
          <w:rFonts w:ascii="Times New Roman" w:hAnsi="Times New Roman"/>
          <w:color w:val="000000"/>
          <w:sz w:val="20"/>
        </w:rPr>
        <w:t>” and, together with the Business Real Property owned by the Business Companies, the “</w:t>
      </w:r>
      <w:r>
        <w:rPr>
          <w:rFonts w:ascii="Times New Roman" w:hAnsi="Times New Roman"/>
          <w:color w:val="000000"/>
          <w:sz w:val="20"/>
          <w:u w:val="single"/>
        </w:rPr>
        <w:t>Real Property</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Except as would not, individually or in the aggregate, reasonably be expected to have a Business Material Adverse Effect, (i) each lease with respect to the Leased Real Property (a “</w:t>
      </w:r>
      <w:r>
        <w:rPr>
          <w:rFonts w:ascii="Times New Roman" w:hAnsi="Times New Roman"/>
          <w:color w:val="000000"/>
          <w:sz w:val="20"/>
          <w:u w:val="single"/>
        </w:rPr>
        <w:t>Real Property Lease</w:t>
      </w:r>
      <w:r>
        <w:rPr>
          <w:rFonts w:ascii="Times New Roman" w:hAnsi="Times New Roman"/>
          <w:color w:val="000000"/>
          <w:sz w:val="20"/>
        </w:rPr>
        <w:t>”) is valid and binding in all respects on the applicable Business Company or Seller Entity party thereto, and, to the knowledge of Seller, each other party thereto, and is in full force and effect and enforceable in accordance with its terms, subject to the Bankruptcy and Equity Exception, (ii) no Business Company or any Seller Entity, as applicable, party thereto, nor, to the knowledge of Seller, any of the other parties thereto, is in violation of, or default under, any provision of any Real Property Lease, (iii) to the knowledge of Seller, no party to any Real Property Lease has committed or failed to perform any act under and no event has occurred that, with or without notice, lapse of time or both, would reasonably be expected to result in a default under the provisions of such Real Property Lease, (iv) no Business Company has received any notice of termination from the applicable counterparty and (v) the applicable Business Company does not sublease, as sublessor, any portion of the Leased Real Property to any other Person.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(d)         Except as would not, individually or in the aggregate, reasonably be expected to have a Business Material Adverse Effect, the Real Property is in good operating condition sufficient for the regular operation of the Business in all material respects and, subject to ordinary wear and tear and continued repair in accordance with past practice and any expenditures provided for in the capital expenditure plan for the Business provided to Buyer in writing prior to the date of this Agreement.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(e)         No Business Company has received any written notice of any proposed or pending condemnation or eminent domain threats, proceedings or other Actions with respect to any material part of the Real Property, in each case that would adversely affect such Real Property or the applicable Business Company’s ownership or leasehold interest therein in any manner that would, individually or in the aggregate, reasonably be expected to have a Business Material Adverse Effect.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3.18        </w:t>
      </w:r>
      <w:r>
        <w:rPr>
          <w:rFonts w:ascii="Times New Roman" w:hAnsi="Times New Roman"/>
          <w:color w:val="000000"/>
          <w:sz w:val="20"/>
          <w:u w:val="single"/>
        </w:rPr>
        <w:t>Material Contracts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w:t>
      </w:r>
      <w:r>
        <w:rPr>
          <w:rFonts w:ascii="Times New Roman" w:hAnsi="Times New Roman"/>
          <w:color w:val="000000"/>
          <w:sz w:val="20"/>
          <w:u w:val="single"/>
        </w:rPr>
        <w:t>Section 3.18(a)</w:t>
      </w:r>
      <w:r>
        <w:rPr>
          <w:rFonts w:ascii="Times New Roman" w:hAnsi="Times New Roman"/>
          <w:color w:val="000000"/>
          <w:sz w:val="20"/>
        </w:rPr>
        <w:t xml:space="preserve"> of the Disclosure Schedule lists, as of the date hereof, each Assigned Contract of the following types, </w:t>
      </w:r>
      <w:r>
        <w:rPr>
          <w:rFonts w:ascii="Times New Roman" w:hAnsi="Times New Roman"/>
          <w:color w:val="0D0D0D"/>
          <w:sz w:val="20"/>
        </w:rPr>
        <w:t xml:space="preserve">other than any Benefit Plan </w:t>
      </w:r>
      <w:r>
        <w:rPr>
          <w:rFonts w:ascii="Times New Roman" w:hAnsi="Times New Roman"/>
          <w:color w:val="000000"/>
          <w:sz w:val="20"/>
        </w:rPr>
        <w:t>(each a “</w:t>
      </w:r>
      <w:r>
        <w:rPr>
          <w:rFonts w:ascii="Times New Roman" w:hAnsi="Times New Roman"/>
          <w:color w:val="000000"/>
          <w:sz w:val="20"/>
          <w:u w:val="single"/>
        </w:rPr>
        <w:t>Material Contract</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         any Contract granting most-favored-nation pricing, exclusive sales, distribution, marketing or other exclusive rights, non-competition restrictions, rights of refusal, rights of first negotiation or similar rights and/or terms to any third party in respect of the Business, other than, for the avoidance of doubt, Contracts containing employee, contractor, service provider or similar non-solicit obligations;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48</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(ii)        any Contract that requires Seller or any of its Subsidiaries to purchase from a third party a minimum quantity of goods or services or to purchase all or substantially all of a certain type of good or service from a single vendor in any geographic area or contains a “take or pay” provision;</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(iii)       any Contract for capital expenditures and requiring payments after the date of this Agreement in excess of $150,000 in the aggregate and not cancelable without penalty;</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(iv)       any Contract guaranteeing the Liabilities of any other Person (not including director, officer or employee indemnification obligations entered into in the ordinary course of business);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(v)          any Contract (A) under which the Business receives or is granted an exclusive license (or sublicense) under any material Intellectual Property of a third party or (B) that grants to any third party any exclusive license (or sublicense) under any material Business Owned Intellectual Property or material Business In-Licensed Intellectual Property;</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(vi)     any Contract with any Governmental Entity, university, not-for-profit or academic institution that relates to the development or creation of any Business Owned Intellectual Property and results in such Governmental Entity, university or academic institution obtaining ownership of, a statutory license to or “march-in” rights with respect to Business Owned Intellectual Property, or a right to direct the location of manufacturing of Products;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(vii)      any Contract pursuant to which Seller or any of its Subsidiaries is the lessee or lessor of, or holds, uses, or makes available for use to any Person any Transferred Equipment;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(viii)     any Contract pursuant to which any material research or development activities are conducted by Seller or any of its Subsidiaries for a third party; and</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(ix)      any Contract that is not terminable at will with no more than 90 days’ prior notice by Seller or its Subsidiaries, as applicable, and which expressly provides for payment or receipt by Seller or any of its Subsidiaries after the date of this Agreement of more than $175,000.</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Each Material Contract is a legal, valid and binding obligation of Seller or one of its Subsidiaries, enforceable against such Person in accordance with its terms and, to Seller’s knowledge, each other party thereto, subject in all cases to the Bankruptcy and Equity Exception, except for such failures to be a legal, valid and binding obligation or enforceable that, individually or in the aggregate, would not be material to the Business. Seller has made available to Buyer a complete and correct copy of each written Material Contract, in each case as amended, supplemented or otherwise modified through (and including) the date of this Agreement, but excluding any purchase orders, work orders, quality agreements, or data processing addenda incorporated therein.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Neither Seller nor any of its Subsidiaries is in breach, violation or (with or without notice or lapse of time or both) default under any Material Contract and, to the knowledge of Seller, no other party to any such agreement is in breach, violation or default thereunder, except, in each case, for any such breach, violation or default that, individually or in the aggregate, would not be material to the Business, nor has Seller or its Subsidiaries received any written notice of any such breach, violation or default.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3.19        </w:t>
      </w:r>
      <w:r>
        <w:rPr>
          <w:rFonts w:ascii="Times New Roman" w:hAnsi="Times New Roman"/>
          <w:color w:val="000000"/>
          <w:sz w:val="20"/>
          <w:u w:val="single"/>
        </w:rPr>
        <w:t>Customers and Suppliers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w:t>
      </w:r>
      <w:r>
        <w:rPr>
          <w:rFonts w:ascii="Times New Roman" w:hAnsi="Times New Roman"/>
          <w:color w:val="000000"/>
          <w:sz w:val="20"/>
          <w:u w:val="single"/>
        </w:rPr>
        <w:t>Section 3.19(a)</w:t>
      </w:r>
      <w:r>
        <w:rPr>
          <w:rFonts w:ascii="Times New Roman" w:hAnsi="Times New Roman"/>
          <w:color w:val="000000"/>
          <w:sz w:val="20"/>
        </w:rPr>
        <w:t> of the Disclosure Schedule sets forth a true, complete and correct list each of the top 10 third-party customers (by revenue) of the Business during the twelve-month period ended December 31, 2025 (each, a “</w:t>
      </w:r>
      <w:r>
        <w:rPr>
          <w:rFonts w:ascii="Times New Roman" w:hAnsi="Times New Roman"/>
          <w:color w:val="000000"/>
          <w:sz w:val="20"/>
          <w:u w:val="single"/>
        </w:rPr>
        <w:t>Material Customer</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w:t>
      </w:r>
      <w:r>
        <w:rPr>
          <w:rFonts w:ascii="Times New Roman" w:hAnsi="Times New Roman"/>
          <w:color w:val="000000"/>
          <w:sz w:val="20"/>
          <w:u w:val="single"/>
        </w:rPr>
        <w:t>Section 3.19(b)</w:t>
      </w:r>
      <w:r>
        <w:rPr>
          <w:rFonts w:ascii="Times New Roman" w:hAnsi="Times New Roman"/>
          <w:color w:val="000000"/>
          <w:sz w:val="20"/>
        </w:rPr>
        <w:t> of the Disclosure Schedule sets forth a true, complete and correct list each of the top 10 third party suppliers (by spend) of the Business for the twelve-month period ended December 31, 2025 (each, a “</w:t>
      </w:r>
      <w:r>
        <w:rPr>
          <w:rFonts w:ascii="Times New Roman" w:hAnsi="Times New Roman"/>
          <w:color w:val="000000"/>
          <w:sz w:val="20"/>
          <w:u w:val="single"/>
        </w:rPr>
        <w:t>Material Supplier</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Seller has not received any written notice from any Material Customer or Material Supplier that any such Material Customer or Material Supplier will not continue as a customer or supplier of the Business after the Closing; or that it intends to otherwise modify in any material respect its business relationship with Seller or its Subsidiaries, as it relates to the Business.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3.20        </w:t>
      </w:r>
      <w:r>
        <w:rPr>
          <w:rFonts w:ascii="Times New Roman" w:hAnsi="Times New Roman"/>
          <w:color w:val="000000"/>
          <w:sz w:val="20"/>
          <w:u w:val="single"/>
        </w:rPr>
        <w:t>Sufficiency of Assets; Title</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Assuming all necessary Consents set forth in </w:t>
      </w:r>
      <w:r>
        <w:rPr>
          <w:rFonts w:ascii="Times New Roman" w:hAnsi="Times New Roman"/>
          <w:color w:val="000000"/>
          <w:sz w:val="20"/>
          <w:u w:val="single"/>
        </w:rPr>
        <w:t>Section 3.05</w:t>
      </w:r>
      <w:r>
        <w:rPr>
          <w:rFonts w:ascii="Times New Roman" w:hAnsi="Times New Roman"/>
          <w:color w:val="000000"/>
          <w:sz w:val="20"/>
        </w:rPr>
        <w:t xml:space="preserve"> of the Disclosure Schedule or referred to in </w:t>
      </w:r>
      <w:r>
        <w:rPr>
          <w:rFonts w:ascii="Times New Roman" w:hAnsi="Times New Roman"/>
          <w:color w:val="000000"/>
          <w:sz w:val="20"/>
          <w:u w:val="single"/>
        </w:rPr>
        <w:t>Section 2.13</w:t>
      </w:r>
      <w:r>
        <w:rPr>
          <w:rFonts w:ascii="Times New Roman" w:hAnsi="Times New Roman"/>
          <w:color w:val="000000"/>
          <w:sz w:val="20"/>
        </w:rPr>
        <w:t xml:space="preserve"> have been delivered or obtained, as applicable, the Transferred Assets, together with the rights of Buyer under this Agreement and the Ancillary Agreements (including the TSA), include all assets, properties and rights necessary to operate the Business immediately following the Closing in all material respects in the manner and to the extent currently conducted by Seller and its Subsidiaries, except for (i) any Overhead and Shared Services, (ii) the Excluded Services (as defined in the TSA), (iii) the Seller Policies or (iv) any Shared Contract.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Except as would not, individually or in the aggregate, reasonably be expected to have a Business Material Adverse Effect, Seller or a Subsidiary Transferor holds good and valid title to or has valid leases, licenses or rights to use, all Transferred Assets free and clear of all Liens, except for Permitted Liens;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Seller makes no representation or warranty as to its title to the Transferred Intellectual Property Assets or with respect to the infringement of the Intellectual Property rights of others, in each case except as set forth in </w:t>
      </w:r>
      <w:r>
        <w:rPr>
          <w:rFonts w:ascii="Times New Roman" w:hAnsi="Times New Roman"/>
          <w:color w:val="000000"/>
          <w:sz w:val="20"/>
          <w:u w:val="single"/>
        </w:rPr>
        <w:t>Section 3.15</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3.21       </w:t>
      </w:r>
      <w:r>
        <w:rPr>
          <w:rFonts w:ascii="Times New Roman" w:hAnsi="Times New Roman"/>
          <w:color w:val="000000"/>
          <w:sz w:val="20"/>
          <w:u w:val="single"/>
        </w:rPr>
        <w:t>Brokers or Finders</w:t>
      </w:r>
      <w:r>
        <w:rPr>
          <w:rFonts w:ascii="Times New Roman" w:hAnsi="Times New Roman"/>
          <w:color w:val="000000"/>
          <w:sz w:val="20"/>
        </w:rPr>
        <w:t>. Except for fees or commissions that will be paid by Seller, no agent, broker, finder, investment banker or other Person engaged by or on behalf of Seller or any of its Affiliates is or will be entitled any broker’s or finder’s fee or any other commission or similar fee in connection with the transactions contemplated by this Agreement and the Ancillary Agreements based upon arrangements made by or on behalf of Seller or any of its Affiliates.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3.22       </w:t>
      </w:r>
      <w:r>
        <w:rPr>
          <w:rFonts w:ascii="Times New Roman" w:hAnsi="Times New Roman"/>
          <w:color w:val="000000"/>
          <w:sz w:val="20"/>
          <w:u w:val="single"/>
        </w:rPr>
        <w:t>Affiliate Transactions</w:t>
      </w:r>
      <w:r>
        <w:rPr>
          <w:rFonts w:ascii="Times New Roman" w:hAnsi="Times New Roman"/>
          <w:color w:val="000000"/>
          <w:sz w:val="20"/>
        </w:rPr>
        <w:t>. No current or, to the knowledge of Seller, former director or “officer” (as defined in Section 16(a) of the Exchange Act) of Seller or its Subsidiaries (nor any Related Party thereof) (a) owns any Transferred Asset or (b) is a party to or the beneficiary of any Assigned Contract, except, in each case, for compensation and benefits payable under a Benefit Plan or employment agreement to officers or directors in their capacity as such.</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3.23       </w:t>
      </w:r>
      <w:r>
        <w:rPr>
          <w:rFonts w:ascii="Times New Roman" w:hAnsi="Times New Roman"/>
          <w:color w:val="000000"/>
          <w:sz w:val="20"/>
          <w:u w:val="single"/>
        </w:rPr>
        <w:t>Equipment</w:t>
      </w:r>
      <w:r>
        <w:rPr>
          <w:rFonts w:ascii="Times New Roman" w:hAnsi="Times New Roman"/>
          <w:color w:val="000000"/>
          <w:sz w:val="20"/>
        </w:rPr>
        <w:t>. The Transferred Equipment has been maintained in all material respects in accordance with past practice and generally accepted industry practice. Each item of such Transferred Equipment is in all material respects in good operating condition and repair, ordinary wear and tear excepted, and is adequate for the uses to which it is being put. All leased Equipment included in the Transferred Equipment is in all material respects in the condition required of such property by the terms of the lease applicable thereto.</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3.24        </w:t>
      </w:r>
      <w:r>
        <w:rPr>
          <w:rFonts w:ascii="Times New Roman" w:hAnsi="Times New Roman"/>
          <w:color w:val="000000"/>
          <w:sz w:val="20"/>
          <w:u w:val="single"/>
        </w:rPr>
        <w:t>Product Recalls</w:t>
      </w:r>
      <w:r>
        <w:rPr>
          <w:rFonts w:ascii="Times New Roman" w:hAnsi="Times New Roman"/>
          <w:color w:val="000000"/>
          <w:sz w:val="20"/>
        </w:rPr>
        <w:t>. None of the Products have been or have been requested by a Governmental Entity or other Person to be recalled, withdrawn, removed, suspended, seized, the subject of a corrective action, or discontinued (whether voluntarily or otherwise) (collectively “Recall”). Neither Seller nor any of its Subsidiaries, nor, to Seller’s knowledge, any Governmental Entity or other Person, has sought, is seeking, or, to Seller’s knowledge, has or is currently threatening or contemplating any Recall of a Product.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3.25        </w:t>
      </w:r>
      <w:r>
        <w:rPr>
          <w:rFonts w:ascii="Times New Roman" w:hAnsi="Times New Roman"/>
          <w:color w:val="000000"/>
          <w:sz w:val="20"/>
          <w:u w:val="single"/>
        </w:rPr>
        <w:t>No Other Representations or Warranties; No Reliance</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Seller hereby expressly disclaims any representations or warranties, express or implied, except for the representations and warranties contained in </w:t>
      </w:r>
      <w:r>
        <w:rPr>
          <w:rFonts w:ascii="Times New Roman" w:hAnsi="Times New Roman"/>
          <w:color w:val="000000"/>
          <w:sz w:val="20"/>
          <w:u w:val="single"/>
        </w:rPr>
        <w:t>Article III</w:t>
      </w:r>
      <w:r>
        <w:rPr>
          <w:rFonts w:ascii="Times New Roman" w:hAnsi="Times New Roman"/>
          <w:color w:val="000000"/>
          <w:sz w:val="20"/>
        </w:rPr>
        <w:t xml:space="preserve">, or which are expressly made in any Ancillary Agreement, with respect to the Business, any Seller Entity, the Business Companies, the Shares, this Agreement, any Ancillary Agreement or any of the transactions contemplated hereby or thereby, and Buyer hereby acknowledges and accepts that any such representations and warranties are expressly disclaimed and Buyer has not relied on, and may not rely on, any such representations and warranties, and Buyer hereby is relinquishing any right to any claim based on any representations and warranties other than those contained in </w:t>
      </w:r>
      <w:r>
        <w:rPr>
          <w:rFonts w:ascii="Times New Roman" w:hAnsi="Times New Roman"/>
          <w:color w:val="000000"/>
          <w:sz w:val="20"/>
          <w:u w:val="single"/>
        </w:rPr>
        <w:t>Article III</w:t>
      </w:r>
      <w:r>
        <w:rPr>
          <w:rFonts w:ascii="Times New Roman" w:hAnsi="Times New Roman"/>
          <w:color w:val="000000"/>
          <w:sz w:val="20"/>
        </w:rPr>
        <w:t>, or which are expressly made in any Ancillary Agreement.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It is the explicit intent of Buyer that, should the Closing occur, Buyer shall acquire the Business and the Business Companies (including the Shares and the Transferred Assets) without any representation or warranty as to merchantability or fitness for any particular purpose, in an “</w:t>
      </w:r>
      <w:r>
        <w:rPr>
          <w:rFonts w:ascii="Times New Roman" w:hAnsi="Times New Roman"/>
          <w:i/>
          <w:color w:val="000000"/>
          <w:sz w:val="20"/>
        </w:rPr>
        <w:t>as is</w:t>
      </w:r>
      <w:r>
        <w:rPr>
          <w:rFonts w:ascii="Times New Roman" w:hAnsi="Times New Roman"/>
          <w:color w:val="000000"/>
          <w:sz w:val="20"/>
        </w:rPr>
        <w:t>” condition and on a “</w:t>
      </w:r>
      <w:r>
        <w:rPr>
          <w:rFonts w:ascii="Times New Roman" w:hAnsi="Times New Roman"/>
          <w:i/>
          <w:color w:val="000000"/>
          <w:sz w:val="20"/>
        </w:rPr>
        <w:t>where is</w:t>
      </w:r>
      <w:r>
        <w:rPr>
          <w:rFonts w:ascii="Times New Roman" w:hAnsi="Times New Roman"/>
          <w:color w:val="000000"/>
          <w:sz w:val="20"/>
        </w:rPr>
        <w:t xml:space="preserve">” basis, except as otherwise expressly represented or warranted in </w:t>
      </w:r>
      <w:r>
        <w:rPr>
          <w:rFonts w:ascii="Times New Roman" w:hAnsi="Times New Roman"/>
          <w:color w:val="000000"/>
          <w:sz w:val="20"/>
          <w:u w:val="single"/>
        </w:rPr>
        <w:t>Article III</w:t>
      </w:r>
      <w:r>
        <w:rPr>
          <w:rFonts w:ascii="Times New Roman" w:hAnsi="Times New Roman"/>
          <w:color w:val="000000"/>
          <w:sz w:val="20"/>
        </w:rPr>
        <w:t xml:space="preserve"> or in any Ancillary Agreement.</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IV</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REPRESENTATIONS AND WARRANTIES OF BUYER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Buyer represents and warrants to Seller that all of the statements contained in this </w:t>
      </w:r>
      <w:r>
        <w:rPr>
          <w:rFonts w:ascii="Times New Roman" w:hAnsi="Times New Roman"/>
          <w:color w:val="000000"/>
          <w:sz w:val="20"/>
          <w:u w:val="single"/>
        </w:rPr>
        <w:t>Article IV</w:t>
      </w:r>
      <w:r>
        <w:rPr>
          <w:rFonts w:ascii="Times New Roman" w:hAnsi="Times New Roman"/>
          <w:color w:val="000000"/>
          <w:sz w:val="20"/>
        </w:rPr>
        <w:t xml:space="preserve"> are true and correct as of the date of this Agreement (or, if made as of a specified date, as of such date):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4.01       </w:t>
      </w:r>
      <w:r>
        <w:rPr>
          <w:rFonts w:ascii="Times New Roman" w:hAnsi="Times New Roman"/>
          <w:color w:val="000000"/>
          <w:sz w:val="20"/>
          <w:u w:val="single"/>
        </w:rPr>
        <w:t>Organization, Good Standing and Power; Qualifications</w:t>
      </w:r>
      <w:r>
        <w:rPr>
          <w:rFonts w:ascii="Times New Roman" w:hAnsi="Times New Roman"/>
          <w:color w:val="000000"/>
          <w:sz w:val="20"/>
        </w:rPr>
        <w:t>. Each of Buyer and each Affiliate of Buyer that is or will be party to the Ancillary Agreements is duly organized, validly existing and in good standing under the Laws of its state of jurisdiction of incorporation or organization, as applicable. Each of Buyer and such Affiliate of Buyer has all requisite power and authority and possesses all governmental franchises, licenses, permits, authorizations and approvals necessary to own, lease and operate its properties and to carry on its business as it is now being conducted, except for any such failures to be so qualified or licensed and in good standing that, individually or in the aggregate, would not reasonably be expected to prevent or materially impair or delay the ability of Buyer or such Affiliate to perform its obligations under this Agreement and the Ancillary Agreements or to consummate the transactions contemplated hereby or thereby. Each of Buyer and each Affiliate of Buyer that is or will be party to the Ancillary Agreements is duly qualified or licensed as a foreign corporation to do business, and is in good standing, in each jurisdiction in which the properties owned or leased by it or the operation of its business makes such qualification or licensing necessary, except for any such failures to be so qualified or licensed and in good standing that, individually or in the aggregate, would not reasonably be expected to prevent or materially impair or delay the ability of Buyer or such Affiliate to perform its obligations under this Agreement and the Ancillary Agreements or to consummate the transactions contemplated hereby or thereby.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4.02     </w:t>
      </w:r>
      <w:r>
        <w:rPr>
          <w:rFonts w:ascii="Times New Roman" w:hAnsi="Times New Roman"/>
          <w:color w:val="000000"/>
          <w:sz w:val="20"/>
          <w:u w:val="single"/>
        </w:rPr>
        <w:t>Authority; Execution and Delivery; Enforceability</w:t>
      </w:r>
      <w:r>
        <w:rPr>
          <w:rFonts w:ascii="Times New Roman" w:hAnsi="Times New Roman"/>
          <w:color w:val="000000"/>
          <w:sz w:val="20"/>
        </w:rPr>
        <w:t>. Each of Buyer and each Affiliate of Buyer that is or will be party to the Ancillary Agreements, as applicable, has all requisite corporate power and authority and full legal capacity to execute and deliver this Agreement and the Ancillary Agreements to which it is, or is specified to be, a party, to fully perform its obligations hereunder or thereunder, as applicable, and to consummate the Sale and the other transactions contemplated hereby or thereby. The execution and delivery by each of Buyer and each such Affiliate, as applicable, of this Agreement and the Ancillary Agreements to which it is, or is specified to be, a party and the consummation by Buyer and its Affiliates of the Sale and the other transactions contemplated hereby or thereby have been duly authorized by all necessary action on the part of Buyer and each such Affiliate, as applicable, and no other action on the part of Buyer or any of its Affiliates is necessary to authorize this Agreement or the Ancillary Agreements or the consummation of the Sale or the other transactions contemplated hereby or thereby. Buyer has duly executed and delivered this Agreement and, prior to the Closing, each of Buyer and each such Affiliate will have duly executed and delivered each Ancillary Agreement to which it is, or is specified to be, a party, and, assuming the due execution and delivery by Seller, this Agreement, and each Ancillary Agreement to which Buyer and/or an Affiliate of Buyer is, or is specified to be, a party, will, after execution and delivery by Buyer and/or such Affiliate, as applicable, constitute Buyer’s and/or such Affiliate’s legal, valid and binding obligation, enforceable against it in accordance with its terms, subject to the Bankruptcy and Equity Exception.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4.03     </w:t>
      </w:r>
      <w:r>
        <w:rPr>
          <w:rFonts w:ascii="Times New Roman" w:hAnsi="Times New Roman"/>
          <w:color w:val="000000"/>
          <w:sz w:val="20"/>
          <w:u w:val="single"/>
        </w:rPr>
        <w:t>No Conflicts; Consents and Approvals</w:t>
      </w:r>
      <w:r>
        <w:rPr>
          <w:rFonts w:ascii="Times New Roman" w:hAnsi="Times New Roman"/>
          <w:color w:val="000000"/>
          <w:sz w:val="20"/>
        </w:rPr>
        <w:t>. None of (i) the execution and delivery by Buyer or any of its Affiliates, as applicable, of this Agreement and each Ancillary Agreement to which it is or will be a party, (ii) the consummation by Buyer or its Affiliates of the Sale or the other transactions contemplated hereby or thereby or (iii) the compliance by Buyer or its Affiliates with any of the provisions hereof or thereof, as the case may be, will:</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conflict with, violate or result in the breach of any provision of the Organizational Documents of Buyer or any of its Affiliates;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require Buyer or any of its Affiliates to make any filing with, or obtain any Consent from any Governmental Entity;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conflict with, violate, or result in the breach of any Law applicable to Buyer or any of its Affiliates;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(d)        conflict with, violate, result in the breach or termination of, or constitute (with or without notice or lapse of time or both) a default under, require Buyer or any of its Affiliates to obtain any Consent or give any notice to any Person under any Contract; or</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(e)         result in the creation or imposition of any Lien (other than any Permitted Lien) upon any assets of Buyer or any of its Affiliates;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except, in the case of each of </w:t>
      </w:r>
      <w:r>
        <w:rPr>
          <w:rFonts w:ascii="Times New Roman" w:hAnsi="Times New Roman"/>
          <w:color w:val="000000"/>
          <w:sz w:val="20"/>
          <w:u w:val="single"/>
        </w:rPr>
        <w:t>(b)</w:t>
      </w:r>
      <w:r>
        <w:rPr>
          <w:rFonts w:ascii="Times New Roman" w:hAnsi="Times New Roman"/>
          <w:color w:val="000000"/>
          <w:sz w:val="20"/>
        </w:rPr>
        <w:t xml:space="preserve">, </w:t>
      </w:r>
      <w:r>
        <w:rPr>
          <w:rFonts w:ascii="Times New Roman" w:hAnsi="Times New Roman"/>
          <w:color w:val="000000"/>
          <w:sz w:val="20"/>
          <w:u w:val="single"/>
        </w:rPr>
        <w:t>(c)</w:t>
      </w:r>
      <w:r>
        <w:rPr>
          <w:rFonts w:ascii="Times New Roman" w:hAnsi="Times New Roman"/>
          <w:color w:val="000000"/>
          <w:sz w:val="20"/>
        </w:rPr>
        <w:t xml:space="preserve">, </w:t>
      </w:r>
      <w:r>
        <w:rPr>
          <w:rFonts w:ascii="Times New Roman" w:hAnsi="Times New Roman"/>
          <w:color w:val="000000"/>
          <w:sz w:val="20"/>
          <w:u w:val="single"/>
        </w:rPr>
        <w:t>(d)</w:t>
      </w:r>
      <w:r>
        <w:rPr>
          <w:rFonts w:ascii="Times New Roman" w:hAnsi="Times New Roman"/>
          <w:color w:val="000000"/>
          <w:sz w:val="20"/>
        </w:rPr>
        <w:t xml:space="preserve"> and </w:t>
      </w:r>
      <w:r>
        <w:rPr>
          <w:rFonts w:ascii="Times New Roman" w:hAnsi="Times New Roman"/>
          <w:color w:val="000000"/>
          <w:sz w:val="20"/>
          <w:u w:val="single"/>
        </w:rPr>
        <w:t>(e)</w:t>
      </w:r>
      <w:r>
        <w:rPr>
          <w:rFonts w:ascii="Times New Roman" w:hAnsi="Times New Roman"/>
          <w:color w:val="000000"/>
          <w:sz w:val="20"/>
        </w:rPr>
        <w:t>, as would not reasonably be expected, individually or in the aggregate, to prevent or materially impair or delay the ability of Buyer or any of its Affiliates to perform its obligations under this Agreement and the Ancillary Agreements or to consummate the transactions contemplated hereby or thereby.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4.04        </w:t>
      </w:r>
      <w:r>
        <w:rPr>
          <w:rFonts w:ascii="Times New Roman" w:hAnsi="Times New Roman"/>
          <w:color w:val="000000"/>
          <w:sz w:val="20"/>
          <w:u w:val="single"/>
        </w:rPr>
        <w:t>Absence of Litigation</w:t>
      </w:r>
      <w:r>
        <w:rPr>
          <w:rFonts w:ascii="Times New Roman" w:hAnsi="Times New Roman"/>
          <w:color w:val="000000"/>
          <w:sz w:val="20"/>
        </w:rPr>
        <w:t>. There are no Actions pending or, to the knowledge of Buyer, threatened, against Buyer or any of its Affiliates seeking to prevent, hinder, modify or delay the transactions contemplated by this Agreement or the Ancillary Agreements.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4.05        </w:t>
      </w:r>
      <w:r>
        <w:rPr>
          <w:rFonts w:ascii="Times New Roman" w:hAnsi="Times New Roman"/>
          <w:color w:val="000000"/>
          <w:sz w:val="20"/>
          <w:u w:val="single"/>
        </w:rPr>
        <w:t>Financial Capability</w:t>
      </w:r>
      <w:r>
        <w:rPr>
          <w:rFonts w:ascii="Times New Roman" w:hAnsi="Times New Roman"/>
          <w:color w:val="000000"/>
          <w:sz w:val="20"/>
        </w:rPr>
        <w:t>. Buyer has sufficient funds to consummate the Closing and all other transactions contemplated by this Agreement and the Ancillary Agreements and to deliver all fees, expenses and other amounts related to the transactions contemplated by this Agreement and the Ancillary Agreements payable by Buyer on the Closing Date.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4.06        </w:t>
      </w:r>
      <w:r>
        <w:rPr>
          <w:rFonts w:ascii="Times New Roman" w:hAnsi="Times New Roman"/>
          <w:color w:val="000000"/>
          <w:sz w:val="20"/>
          <w:u w:val="single"/>
        </w:rPr>
        <w:t>Solvency</w:t>
      </w:r>
      <w:r>
        <w:rPr>
          <w:rFonts w:ascii="Times New Roman" w:hAnsi="Times New Roman"/>
          <w:color w:val="000000"/>
          <w:sz w:val="20"/>
        </w:rPr>
        <w:t xml:space="preserve">. Buyer is not entering into this Agreement with the intent to hinder, delay or defraud either present or future creditors. Immediately after giving effect to all of the transactions contemplated by this Agreement and the payment of all related fees and expenses, assuming satisfaction of the conditions to Buyer’s obligation to consummate the Sale as set forth herein, the accuracy of the representations and warranties in </w:t>
      </w:r>
      <w:r>
        <w:rPr>
          <w:rFonts w:ascii="Times New Roman" w:hAnsi="Times New Roman"/>
          <w:color w:val="000000"/>
          <w:sz w:val="20"/>
          <w:u w:val="single"/>
        </w:rPr>
        <w:t>Article III</w:t>
      </w:r>
      <w:r>
        <w:rPr>
          <w:rFonts w:ascii="Times New Roman" w:hAnsi="Times New Roman"/>
          <w:color w:val="000000"/>
          <w:sz w:val="20"/>
        </w:rPr>
        <w:t xml:space="preserve"> (as qualified by the Disclosure Schedule) and the performance by Seller of its obligations hereunder in all material respects, Buyer and its Subsidiaries designated pursuant to </w:t>
      </w:r>
      <w:r>
        <w:rPr>
          <w:rFonts w:ascii="Times New Roman" w:hAnsi="Times New Roman"/>
          <w:color w:val="000000"/>
          <w:sz w:val="20"/>
          <w:u w:val="single"/>
        </w:rPr>
        <w:t>Section 2.01</w:t>
      </w:r>
      <w:r>
        <w:rPr>
          <w:rFonts w:ascii="Times New Roman" w:hAnsi="Times New Roman"/>
          <w:color w:val="000000"/>
          <w:sz w:val="20"/>
        </w:rPr>
        <w:t>, taken as a whole, (a) as of the Closing Date will be able to pay its debts as they become due and shall own property having a fair saleable value greater than the amounts required to pay its debts (including a reasonable estimate of the amount of all contingent Liabilities) as they become absolute and mature and (b) shall not have, as of such dates, unreasonably small capital to carry on their businesses in which they are engaged.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4.07       </w:t>
      </w:r>
      <w:r>
        <w:rPr>
          <w:rFonts w:ascii="Times New Roman" w:hAnsi="Times New Roman"/>
          <w:color w:val="000000"/>
          <w:sz w:val="20"/>
          <w:u w:val="single"/>
        </w:rPr>
        <w:t>Brokers or Finders</w:t>
      </w:r>
      <w:r>
        <w:rPr>
          <w:rFonts w:ascii="Times New Roman" w:hAnsi="Times New Roman"/>
          <w:color w:val="000000"/>
          <w:sz w:val="20"/>
        </w:rPr>
        <w:t>. Except for fees or commissions that will be paid by Buyer, no agent, broker, finder, investment banker or other Person engaged by or on behalf of Buyer or any of its Affiliates is or will be entitled any broker’s or finder’s fee or any other commission or similar fee in connection with the transactions contemplated by this Agreement and the Ancillary Agreements based upon arrangements made by or on behalf of Buyer or any of its Affiliates.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4.08       </w:t>
      </w:r>
      <w:r>
        <w:rPr>
          <w:rFonts w:ascii="Times New Roman" w:hAnsi="Times New Roman"/>
          <w:color w:val="000000"/>
          <w:sz w:val="20"/>
          <w:u w:val="single"/>
        </w:rPr>
        <w:t>Investment Decision</w:t>
      </w:r>
      <w:r>
        <w:rPr>
          <w:rFonts w:ascii="Times New Roman" w:hAnsi="Times New Roman"/>
          <w:color w:val="000000"/>
          <w:sz w:val="20"/>
        </w:rPr>
        <w:t>. Buyer is an “accredited investor” as defined in Regulation D of the Securities Act, is able to bear the economic risk of its investment in the Shares and has such knowledge and experience in financial and business matters that it is capable of evaluating the merits and risk of its investment in the Shares. Buyer is acquiring the Shares for investment and not with a view toward or for the sale in connection with any distribution thereof, or with any present intention of distributing or selling such Shares. Buyer acknowledges that the Shares have not been registered under the Securities Act or any other federal, state, foreign or local securities Law, and agrees that such Shares may not be sold, transferred, offered for sale, pledged, distributed, hypothecated or otherwise disposed of without registration under the Securities Act, except pursuant to an exemption from such registration available under the Securities Act, and in compliance with any other federal, state, foreign or local securities Law, in each case, to the extent applicable.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4.09       </w:t>
      </w:r>
      <w:r>
        <w:rPr>
          <w:rFonts w:ascii="Times New Roman" w:hAnsi="Times New Roman"/>
          <w:color w:val="000000"/>
          <w:sz w:val="20"/>
          <w:u w:val="single"/>
        </w:rPr>
        <w:t>Independent Investigation</w:t>
      </w:r>
      <w:r>
        <w:rPr>
          <w:rFonts w:ascii="Times New Roman" w:hAnsi="Times New Roman"/>
          <w:color w:val="000000"/>
          <w:sz w:val="20"/>
        </w:rPr>
        <w:t>. No fact or circumstance exists, including any investment or transaction now existing or under consideration by Buyer or any of its Affiliates, that would reasonably be expected to prevent, impair, impede or delay any filing or approval required in connection with this Agreement and the transactions contemplated hereby under the applicable Antitrust Laws.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4.10        </w:t>
      </w:r>
      <w:r>
        <w:rPr>
          <w:rFonts w:ascii="Times New Roman" w:hAnsi="Times New Roman"/>
          <w:color w:val="000000"/>
          <w:sz w:val="20"/>
          <w:u w:val="single"/>
        </w:rPr>
        <w:t>No Other Representations or Warranties; No Reliance</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Buyer hereby acknowledges and agrees that except for the representations and warranties contained in </w:t>
      </w:r>
      <w:r>
        <w:rPr>
          <w:rFonts w:ascii="Times New Roman" w:hAnsi="Times New Roman"/>
          <w:color w:val="000000"/>
          <w:sz w:val="20"/>
          <w:u w:val="single"/>
        </w:rPr>
        <w:t>Article III</w:t>
      </w:r>
      <w:r>
        <w:rPr>
          <w:rFonts w:ascii="Times New Roman" w:hAnsi="Times New Roman"/>
          <w:color w:val="000000"/>
          <w:sz w:val="20"/>
        </w:rPr>
        <w:t>, or which are expressly made in any Ancillary Agreement, none of Seller, any of the Business Companies, any of the Subsidiary Transferors or any of their respective Affiliates makes or has made any representations or warranties, express or implied, and Buyer hereby expressly disclaims reliance on any other representations or warranties, express or implied, whether made by Seller, any of the Business Companies, any of the Subsidiary Transferors or any of their respective Affiliates, with respect to the Business, any Seller Entity, any Business Company, the Shares, the Transferred Assets, this Agreement, any Ancillary Agreement or any of the transactions contemplated hereby or thereby.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Buyer hereby agrees that, except to the extent of any express representations and warranties set forth in </w:t>
      </w:r>
      <w:r>
        <w:rPr>
          <w:rFonts w:ascii="Times New Roman" w:hAnsi="Times New Roman"/>
          <w:color w:val="000000"/>
          <w:sz w:val="20"/>
          <w:u w:val="single"/>
        </w:rPr>
        <w:t>Article III</w:t>
      </w:r>
      <w:r>
        <w:rPr>
          <w:rFonts w:ascii="Times New Roman" w:hAnsi="Times New Roman"/>
          <w:color w:val="000000"/>
          <w:sz w:val="20"/>
        </w:rPr>
        <w:t xml:space="preserve"> or in any Ancillary Agreement, to the fullest extent permitted by Law, none of Seller, any of the Business Companies, any of the Subsidiary Transferors or any of their respective Affiliates shall have any responsibility or liability whatsoever to Buyer or any of its Affiliates on any basis (including in contract or tort, under applicable securities Laws or otherwise) based upon any information provided or made available, or statements made, to Buyer or its Affiliates or other Representatives (or any omissions therefrom), including, for the avoidance of doubt, any “management presentation”, any “data room”, any “quality of earnings” or “separation” report, any “due diligence session” or any other information made available to Buyer or any of its Affiliates or other Representatives (including any information which may have been incomplete, made in summary fashion or that was preliminary in nature).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(c)        In connection with Buyer’s investigation of the Business, Buyer has received from or on behalf of Seller various forward-looking statements or </w:t>
      </w:r>
      <w:r>
        <w:rPr>
          <w:rFonts w:ascii="Times New Roman" w:hAnsi="Times New Roman"/>
          <w:i/>
          <w:color w:val="000000"/>
          <w:sz w:val="20"/>
        </w:rPr>
        <w:t>pro forma</w:t>
      </w:r>
      <w:r>
        <w:rPr>
          <w:rFonts w:ascii="Times New Roman" w:hAnsi="Times New Roman"/>
          <w:color w:val="000000"/>
          <w:sz w:val="20"/>
        </w:rPr>
        <w:t xml:space="preserve"> financial information regarding the Business and the Business Companies (including estimates, assumptions, projections, forecasts and plans, as applicable) (collectively, the “</w:t>
      </w:r>
      <w:r>
        <w:rPr>
          <w:rFonts w:ascii="Times New Roman" w:hAnsi="Times New Roman"/>
          <w:color w:val="000000"/>
          <w:sz w:val="20"/>
          <w:u w:val="single"/>
        </w:rPr>
        <w:t>Forward-Looking Statements</w:t>
      </w:r>
      <w:r>
        <w:rPr>
          <w:rFonts w:ascii="Times New Roman" w:hAnsi="Times New Roman"/>
          <w:color w:val="000000"/>
          <w:sz w:val="20"/>
        </w:rPr>
        <w:t>”). Buyer acknowledges and agrees (i) there are uncertainties inherent in attempting to make the Forward-Looking Statements, (ii) Buyer is familiar with such uncertainties and (iii) none of Seller, any of the Business Companies or any of their respective Affiliates makes or has made, directly or indirectly, any representation or warranty, express or implied, with respect to (and Buyer is not relying on any representations and warranties, express or implied, with respect to) any of the Forward-Looking Statements or the reasonableness of the assumptions underlying any Forward-Looking Statement.</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(d)         Buyer hereby acknowledges and agrees that Buyer has conducted its own independent investigation, review and analysis of the Business and the operations, condition (financial or otherwise), assets, liabilities and prospects of the Business Companies, to the extent Buyer deemed necessary and appropriate for Buyer to make a reasonably informed decision with respect to whether to enter into this Agreement and to consummate the transactions contemplated by this Agreement. Buyer hereby acknowledges and agrees that it and its Affiliates and other Representatives have been permitted full and complete access to the books and records, personnel, facilities and other properties and assets of the Business Companies and the Business that any of them has desired or requested to see or review. Buyer hereby acknowledges and agrees that it and its Affiliates and other Representatives have had a full opportunity to meet with the directors, officers and employees of the Business Companies and the Business to discuss the Business Companies and the Business.</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(e)         It is the explicit intent of Buyer that, should the Closing occur, Buyer shall acquire the Business and the Business Companies (including the Shares and the Transferred Assets) without any representation or warranty as to merchantability or fitness for any particular purpose, in an “</w:t>
      </w:r>
      <w:r>
        <w:rPr>
          <w:rFonts w:ascii="Times New Roman" w:hAnsi="Times New Roman"/>
          <w:i/>
          <w:color w:val="000000"/>
          <w:sz w:val="20"/>
        </w:rPr>
        <w:t>as is</w:t>
      </w:r>
      <w:r>
        <w:rPr>
          <w:rFonts w:ascii="Times New Roman" w:hAnsi="Times New Roman"/>
          <w:color w:val="000000"/>
          <w:sz w:val="20"/>
        </w:rPr>
        <w:t>” condition and on a “</w:t>
      </w:r>
      <w:r>
        <w:rPr>
          <w:rFonts w:ascii="Times New Roman" w:hAnsi="Times New Roman"/>
          <w:i/>
          <w:color w:val="000000"/>
          <w:sz w:val="20"/>
        </w:rPr>
        <w:t>where is</w:t>
      </w:r>
      <w:r>
        <w:rPr>
          <w:rFonts w:ascii="Times New Roman" w:hAnsi="Times New Roman"/>
          <w:color w:val="000000"/>
          <w:sz w:val="20"/>
        </w:rPr>
        <w:t xml:space="preserve">” basis, except as otherwise expressly represented or warranted in </w:t>
      </w:r>
      <w:r>
        <w:rPr>
          <w:rFonts w:ascii="Times New Roman" w:hAnsi="Times New Roman"/>
          <w:color w:val="000000"/>
          <w:sz w:val="20"/>
          <w:u w:val="single"/>
        </w:rPr>
        <w:t>Article III</w:t>
      </w:r>
      <w:r>
        <w:rPr>
          <w:rFonts w:ascii="Times New Roman" w:hAnsi="Times New Roman"/>
          <w:color w:val="000000"/>
          <w:sz w:val="20"/>
        </w:rPr>
        <w:t xml:space="preserve"> or in any Ancillary Agreement.</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V</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COVENANTS</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5.01        </w:t>
      </w:r>
      <w:r>
        <w:rPr>
          <w:rFonts w:ascii="Times New Roman" w:hAnsi="Times New Roman"/>
          <w:color w:val="000000"/>
          <w:sz w:val="20"/>
          <w:u w:val="single"/>
        </w:rPr>
        <w:t>Conduct of Business</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During the period from the date of this Agreement through the Closing or the earlier termination of this Agreement in accordance with </w:t>
      </w:r>
      <w:r>
        <w:rPr>
          <w:rFonts w:ascii="Times New Roman" w:hAnsi="Times New Roman"/>
          <w:color w:val="000000"/>
          <w:sz w:val="20"/>
          <w:u w:val="single"/>
        </w:rPr>
        <w:t xml:space="preserve">Article VII </w:t>
      </w:r>
      <w:r>
        <w:rPr>
          <w:rFonts w:ascii="Times New Roman" w:hAnsi="Times New Roman"/>
          <w:color w:val="000000"/>
          <w:sz w:val="20"/>
        </w:rPr>
        <w:t>(the “</w:t>
      </w:r>
      <w:r>
        <w:rPr>
          <w:rFonts w:ascii="Times New Roman" w:hAnsi="Times New Roman"/>
          <w:color w:val="000000"/>
          <w:sz w:val="20"/>
          <w:u w:val="single"/>
        </w:rPr>
        <w:t>Pre-Closing Period</w:t>
      </w:r>
      <w:r>
        <w:rPr>
          <w:rFonts w:ascii="Times New Roman" w:hAnsi="Times New Roman"/>
          <w:color w:val="000000"/>
          <w:sz w:val="20"/>
        </w:rPr>
        <w:t xml:space="preserve">”), except (i) as required by applicable Law or Order, (ii) as consented to in writing by Buyer (such consent not to be unreasonably withheld, conditioned or delayed), (iii) as required, expressly permitted or expressly contemplated by this Agreement or the Merger Agreement, (iv) required by a Contract entered into and disclosed to Buyer prior to the date hereof or (v) as set forth in </w:t>
      </w:r>
      <w:r>
        <w:rPr>
          <w:rFonts w:ascii="Times New Roman" w:hAnsi="Times New Roman"/>
          <w:color w:val="000000"/>
          <w:sz w:val="20"/>
          <w:u w:val="single"/>
        </w:rPr>
        <w:t>Section 5.01</w:t>
      </w:r>
      <w:r>
        <w:rPr>
          <w:rFonts w:ascii="Times New Roman" w:hAnsi="Times New Roman"/>
          <w:color w:val="000000"/>
          <w:sz w:val="20"/>
        </w:rPr>
        <w:t xml:space="preserve"> of the Disclosure Schedule, Seller shall, and shall cause its Subsidiaries to, use commercially reasonable efforts to conduct the Business in all material respects in the ordinary course of business; </w:t>
      </w:r>
      <w:r>
        <w:rPr>
          <w:rFonts w:ascii="Times New Roman" w:hAnsi="Times New Roman"/>
          <w:color w:val="000000"/>
          <w:sz w:val="20"/>
          <w:u w:val="single"/>
        </w:rPr>
        <w:t>provided</w:t>
      </w:r>
      <w:r>
        <w:rPr>
          <w:rFonts w:ascii="Times New Roman" w:hAnsi="Times New Roman"/>
          <w:color w:val="000000"/>
          <w:sz w:val="20"/>
        </w:rPr>
        <w:t xml:space="preserve"> that no action with respect to matters specifically addressed by any provision of </w:t>
      </w:r>
      <w:r>
        <w:rPr>
          <w:rFonts w:ascii="Times New Roman" w:hAnsi="Times New Roman"/>
          <w:color w:val="000000"/>
          <w:sz w:val="20"/>
          <w:u w:val="single"/>
        </w:rPr>
        <w:t>Section 5.01(b)</w:t>
      </w:r>
      <w:r>
        <w:rPr>
          <w:rFonts w:ascii="Times New Roman" w:hAnsi="Times New Roman"/>
          <w:color w:val="000000"/>
          <w:sz w:val="20"/>
        </w:rPr>
        <w:t xml:space="preserve"> shall be deemed a breach of this </w:t>
      </w:r>
      <w:r>
        <w:rPr>
          <w:rFonts w:ascii="Times New Roman" w:hAnsi="Times New Roman"/>
          <w:color w:val="000000"/>
          <w:sz w:val="20"/>
          <w:u w:val="single"/>
        </w:rPr>
        <w:t>Section 5.01(a)</w:t>
      </w:r>
      <w:r>
        <w:rPr>
          <w:rFonts w:ascii="Times New Roman" w:hAnsi="Times New Roman"/>
          <w:color w:val="000000"/>
          <w:sz w:val="20"/>
        </w:rPr>
        <w:t xml:space="preserve"> unless such action would constitute a breach of such relevant provision of </w:t>
      </w:r>
      <w:r>
        <w:rPr>
          <w:rFonts w:ascii="Times New Roman" w:hAnsi="Times New Roman"/>
          <w:color w:val="000000"/>
          <w:sz w:val="20"/>
          <w:u w:val="single"/>
        </w:rPr>
        <w:t>Section 5.01(b)</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During the Pre-Closing Period, except (i) as required by applicable Law or Order, (ii) as consented to in writing by Buyer (such consent not to be unreasonably withheld, conditioned or delayed), (iii) as required, expressly permitted or expressly contemplated by this Agreement or the Merger Agreement, (iv) required by a Contract entered into and disclosed to Buyer prior to the date hereof or (v) as set forth in </w:t>
      </w:r>
      <w:r>
        <w:rPr>
          <w:rFonts w:ascii="Times New Roman" w:hAnsi="Times New Roman"/>
          <w:color w:val="000000"/>
          <w:sz w:val="20"/>
          <w:u w:val="single"/>
        </w:rPr>
        <w:t>Section 5.01</w:t>
      </w:r>
      <w:r>
        <w:rPr>
          <w:rFonts w:ascii="Times New Roman" w:hAnsi="Times New Roman"/>
          <w:color w:val="000000"/>
          <w:sz w:val="20"/>
        </w:rPr>
        <w:t xml:space="preserve"> of the Disclosure Schedule, Seller shall not, and shall cause its Subsidiaries (other than the Business Companies) not to, in each case solely to the extent related to the conduct of the Business, and shall cause each Business Company not to:</w:t>
      </w:r>
    </w:p>
    <w:p>
      <w:pPr>
        <w:pStyle w:val="TextBody"/>
        <w:bidi w:val="0"/>
        <w:spacing w:before="0" w:after="0"/>
        <w:jc w:val="left"/>
        <w:rPr>
          <w:sz w:val="20"/>
        </w:rPr>
      </w:pPr>
      <w:r>
        <w:rPr>
          <w:sz w:val="20"/>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          establish a record date for, declare, accrue, set aside or pay any dividend or make any other distribution (whether in cash, stock or property) in respect of any Equity Securities of any Business Company, redeem or otherwise reacquire any shares of capital stock or other Equity Securities of any Business Company (except repurchases from terminated employees, directors or consultants of Seller or in connection with the payment of the exercise price and/or withholding Taxes incurred upon the exercise, settlement or vesting of any award or purchase rights granted under the Benefit Plans in accordance with the terms of such award in effect on the date of this Agreement);</w:t>
      </w:r>
    </w:p>
    <w:p>
      <w:pPr>
        <w:pStyle w:val="TextBody"/>
        <w:bidi w:val="0"/>
        <w:spacing w:before="0" w:after="0"/>
        <w:jc w:val="left"/>
        <w:rPr>
          <w:sz w:val="20"/>
        </w:rPr>
      </w:pPr>
      <w:r>
        <w:rPr>
          <w:sz w:val="20"/>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(ii)        sell, issue, grant, modify, reprice, amend, pledge or otherwise dispose of or encumber or authorize: (A) any capital stock or other Equity Securities of any Business Company; (B) any option, warrant or right to acquire any capital stock or any other Equity Securities of any Business Company; or (C) any instrument convertible into or exchangeable for any capital stock or other Equity Securities of any Business Company;</w:t>
      </w:r>
    </w:p>
    <w:p>
      <w:pPr>
        <w:pStyle w:val="TextBody"/>
        <w:bidi w:val="0"/>
        <w:spacing w:before="0" w:after="0"/>
        <w:jc w:val="left"/>
        <w:rPr>
          <w:sz w:val="20"/>
        </w:rPr>
      </w:pPr>
      <w:r>
        <w:rPr>
          <w:sz w:val="20"/>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(iii)     adopt, amend, terminate or waive or propose to adopt, amend, terminate or waive any Business Company’s Organizational Documents, or, with respect to any Business Company, effect or be a party to any merger, consolidation, share exchange, business combination, recapitalization, reclassification of shares, stock split, reverse stock split or similar transaction except for the Sale;</w:t>
      </w:r>
    </w:p>
    <w:p>
      <w:pPr>
        <w:pStyle w:val="TextBody"/>
        <w:bidi w:val="0"/>
        <w:spacing w:before="0" w:after="0"/>
        <w:jc w:val="left"/>
        <w:rPr>
          <w:sz w:val="20"/>
        </w:rPr>
      </w:pPr>
      <w:r>
        <w:rPr>
          <w:sz w:val="20"/>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(iv)          amend, terminate or waive or propose to amend, terminate or waive any of Company Benefit Plans, any provision of any agreement evidencing any outstanding stock option, any restricted stock unit grant, or performance-based vesting restricted stock unit grant, or otherwise modify any of the terms of any outstanding option, restricted stock unit, warrant or other equity interest or security or any related Contract;</w:t>
      </w:r>
    </w:p>
    <w:p>
      <w:pPr>
        <w:pStyle w:val="TextBody"/>
        <w:bidi w:val="0"/>
        <w:spacing w:before="0" w:after="0"/>
        <w:jc w:val="left"/>
        <w:rPr>
          <w:sz w:val="20"/>
        </w:rPr>
      </w:pPr>
      <w:r>
        <w:rPr>
          <w:sz w:val="20"/>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(v)        form any Subsidiary of any Business Company or, with respect to any Business Company, acquire or propose to acquire any Equity Securities or other interest in, or business of, any other entity or enter into a joint venture with any other entity;</w:t>
      </w:r>
    </w:p>
    <w:p>
      <w:pPr>
        <w:pStyle w:val="TextBody"/>
        <w:bidi w:val="0"/>
        <w:spacing w:before="0" w:after="0"/>
        <w:jc w:val="left"/>
        <w:rPr>
          <w:sz w:val="20"/>
        </w:rPr>
      </w:pPr>
      <w:r>
        <w:rPr>
          <w:sz w:val="20"/>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(vi)        (A) lend money from any Business Company to any Person (except for the advancement of expenses to employees, directors and consultants in the ordinary course of business), (B) incur or guarantee any indebtedness for borrowed money at any Business Company, (C) guarantee any debt securities of others by any Business Company, (D) other than the incurrence or payment of Transaction Expenses, make any capital expenditures by any Business Company or (E) make any investment in, including by way of capital contribution or acquisition of equity interests or debt securities of, any Person by any Business Company;</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56</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(vii)     other than (A) as required by applicable Law or the terms of any Benefit  Plan as in effect on the date of this Agreement or entered into after the date of this Agreement and permitted hereunder, (B) in connection with any action that applies uniformly to Business Employees and other similarly situated employees of Seller and its Affiliates or (C) for any actions for which Seller and its Affiliates (other than any Business Company) shall be solely liable: (x) adopt, terminate, establish or enter into any Benefit Plan (other than in any standard offer letters on the forms provided to Buyer prior to the date of this Agreement entered into with newly hired employees in the ordinary course of business); (y) cause or permit any Benefit Plan to be amended in any material respect or (z) except in the ordinary course of business, increase or modify the amount or form of the wages, salary, commissions, or bonus compensation payable to Business Employees, individual independent consultants or other individual service providers of the Business;</w:t>
      </w:r>
    </w:p>
    <w:p>
      <w:pPr>
        <w:pStyle w:val="TextBody"/>
        <w:bidi w:val="0"/>
        <w:spacing w:before="0" w:after="0"/>
        <w:jc w:val="left"/>
        <w:rPr>
          <w:sz w:val="20"/>
        </w:rPr>
      </w:pPr>
      <w:r>
        <w:rPr>
          <w:sz w:val="20"/>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(viii)      in respect of any Business Company or the Business, recognize any labor union or labor organization, or enter into, terminate, or modify any collective bargaining agreement, or take any similar actions with respect to any Business Employee, individual independent consultants or other individual service providers of the Business;</w:t>
      </w:r>
    </w:p>
    <w:p>
      <w:pPr>
        <w:pStyle w:val="TextBody"/>
        <w:bidi w:val="0"/>
        <w:spacing w:before="0" w:after="0"/>
        <w:jc w:val="left"/>
        <w:rPr>
          <w:sz w:val="20"/>
        </w:rPr>
      </w:pPr>
      <w:r>
        <w:rPr>
          <w:sz w:val="20"/>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(ix)        transfer out of the Business to Seller or its Affiliates (excluding any Business Company) any employee who is, as of the date of this Agreement, a Business Employee or (B) transfer any employee who is not a Business Employee as of the date of this Agreement to the Business or to a Business Company (such that they become a Business Employee as at the Closing), in each case, except in the ordinary course of business;</w:t>
      </w:r>
    </w:p>
    <w:p>
      <w:pPr>
        <w:pStyle w:val="TextBody"/>
        <w:bidi w:val="0"/>
        <w:spacing w:before="0" w:after="0"/>
        <w:jc w:val="left"/>
        <w:rPr>
          <w:sz w:val="20"/>
        </w:rPr>
      </w:pPr>
      <w:r>
        <w:rPr>
          <w:sz w:val="20"/>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(x)         with respect to any Business Company, acquire any material asset (other than Business Owned Intellectual Property or Business In-Licensed Intellectual Property);</w:t>
      </w:r>
    </w:p>
    <w:p>
      <w:pPr>
        <w:pStyle w:val="TextBody"/>
        <w:bidi w:val="0"/>
        <w:spacing w:before="0" w:after="0"/>
        <w:jc w:val="left"/>
        <w:rPr>
          <w:sz w:val="20"/>
        </w:rPr>
      </w:pPr>
      <w:r>
        <w:rPr>
          <w:sz w:val="20"/>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(xi)      (A) sell, assign, transfer, license, sublicense, grant any Lien (other than any Permitted Lien) with respect to or otherwise dispose of any material Business Owned Intellectual Property or material Business In-Licensed Intellectual Property (in each case, other than pursuant to non-exclusive licenses granted in the ordinary course of business) or (B) cancel, fail to refile a provisional application after abandonment, fail to renew or extend or fail to diligently prosecute (including making any filing, pay any fee, or take any other action necessary to prosecute and maintain) and material Business Owned Intellectual Property and material Business In-Licensed Intellectual Property (in the case of any Business In-Licensed Intellectual Property, solely to the extent that Seller or any of its Subsidiaries has rights to control the prosecution and maintenance thereof), except, for each of the foregoing, in the ordinary course of prosecution upon exercise of reasonable business judgment by Seller or the lapse or expiry of Business Owned Intellectual Property or Business In-Licensed Intellectual Property at the end of its statutory term;</w:t>
      </w:r>
    </w:p>
    <w:p>
      <w:pPr>
        <w:pStyle w:val="TextBody"/>
        <w:bidi w:val="0"/>
        <w:spacing w:before="0" w:after="0"/>
        <w:jc w:val="left"/>
        <w:rPr>
          <w:sz w:val="20"/>
        </w:rPr>
      </w:pPr>
      <w:r>
        <w:rPr>
          <w:sz w:val="20"/>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(xii)     disclose to any third party (other than (A) pursuant to written confidentiality obligations or (B) as required by applicable Law) or otherwise fail to preserve and maintain, any material Trade Secrets of the Business;</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57</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(xiii)     except with respect to Consolidated Income Taxes or any Consolidated Tax Return, with respect to any Business Company, (A) make (other than on an originally filed income Tax Return), change or revoke any material Tax election, (B) fail to pay any income Tax or other material Tax as such Tax becomes due and payable, (C) file any amendment making any material change to any Tax Return, (D) settle or compromise any income Tax or other material Tax liability or submit any voluntary disclosure application, (E) enter into any Tax allocation, sharing, indemnification or other similar agreement or arrangement (other than commercial agreements entered into in the ordinary course of business the principal subject matter of which is not the allocation of Taxes), (F) request or consent to any extension or waiver of any limitation period with respect to any claim or assessment for any income Tax or other material Taxes (other than pursuant to an extension of time to file any Tax Return granted in the ordinary course of business of not more than seven months), or (G) change any material accounting method in respect of Taxes;</w:t>
      </w:r>
    </w:p>
    <w:p>
      <w:pPr>
        <w:pStyle w:val="TextBody"/>
        <w:bidi w:val="0"/>
        <w:spacing w:before="0" w:after="0"/>
        <w:jc w:val="left"/>
        <w:rPr>
          <w:sz w:val="20"/>
        </w:rPr>
      </w:pPr>
      <w:r>
        <w:rPr>
          <w:sz w:val="20"/>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(xiv)      (A) materially amend, terminate (other than automatic terminations) or expressly release any material rights under any Material Contract or (B) enter into, renew or extend the term of (other than automatic renewals or extensions) any Contract that is or would be considered a Material Contract under any of clauses </w:t>
      </w:r>
      <w:r>
        <w:rPr>
          <w:rFonts w:ascii="Times New Roman" w:hAnsi="Times New Roman"/>
          <w:color w:val="000000"/>
          <w:sz w:val="20"/>
          <w:u w:val="single"/>
        </w:rPr>
        <w:t>(i)</w:t>
      </w:r>
      <w:r>
        <w:rPr>
          <w:rFonts w:ascii="Times New Roman" w:hAnsi="Times New Roman"/>
          <w:color w:val="000000"/>
          <w:sz w:val="20"/>
        </w:rPr>
        <w:t xml:space="preserve"> or </w:t>
      </w:r>
      <w:r>
        <w:rPr>
          <w:rFonts w:ascii="Times New Roman" w:hAnsi="Times New Roman"/>
          <w:color w:val="000000"/>
          <w:sz w:val="20"/>
          <w:u w:val="single"/>
        </w:rPr>
        <w:t>(ii)</w:t>
      </w:r>
      <w:r>
        <w:rPr>
          <w:rFonts w:ascii="Times New Roman" w:hAnsi="Times New Roman"/>
          <w:color w:val="000000"/>
          <w:sz w:val="20"/>
        </w:rPr>
        <w:t xml:space="preserve"> of </w:t>
      </w:r>
      <w:r>
        <w:rPr>
          <w:rFonts w:ascii="Times New Roman" w:hAnsi="Times New Roman"/>
          <w:color w:val="000000"/>
          <w:sz w:val="20"/>
          <w:u w:val="single"/>
        </w:rPr>
        <w:t>Section 3.18(a)</w:t>
      </w:r>
      <w:r>
        <w:rPr>
          <w:rFonts w:ascii="Times New Roman" w:hAnsi="Times New Roman"/>
          <w:color w:val="000000"/>
          <w:sz w:val="20"/>
        </w:rPr>
        <w:t xml:space="preserve"> (it being understood that the renewal or extension of any such Contract in the ordinary course of business shall be permitted so long as the renewed or extended Contract contains terms of the type described in clauses </w:t>
      </w:r>
      <w:r>
        <w:rPr>
          <w:rFonts w:ascii="Times New Roman" w:hAnsi="Times New Roman"/>
          <w:color w:val="000000"/>
          <w:sz w:val="20"/>
          <w:u w:val="single"/>
        </w:rPr>
        <w:t>(i)</w:t>
      </w:r>
      <w:r>
        <w:rPr>
          <w:rFonts w:ascii="Times New Roman" w:hAnsi="Times New Roman"/>
          <w:color w:val="000000"/>
          <w:sz w:val="20"/>
        </w:rPr>
        <w:t xml:space="preserve"> or </w:t>
      </w:r>
      <w:r>
        <w:rPr>
          <w:rFonts w:ascii="Times New Roman" w:hAnsi="Times New Roman"/>
          <w:color w:val="000000"/>
          <w:sz w:val="20"/>
          <w:u w:val="single"/>
        </w:rPr>
        <w:t>(ii)</w:t>
      </w:r>
      <w:r>
        <w:rPr>
          <w:rFonts w:ascii="Times New Roman" w:hAnsi="Times New Roman"/>
          <w:color w:val="000000"/>
          <w:sz w:val="20"/>
        </w:rPr>
        <w:t xml:space="preserve"> of </w:t>
      </w:r>
      <w:r>
        <w:rPr>
          <w:rFonts w:ascii="Times New Roman" w:hAnsi="Times New Roman"/>
          <w:color w:val="000000"/>
          <w:sz w:val="20"/>
          <w:u w:val="single"/>
        </w:rPr>
        <w:t>Section 3.18(a)</w:t>
      </w:r>
      <w:r>
        <w:rPr>
          <w:rFonts w:ascii="Times New Roman" w:hAnsi="Times New Roman"/>
          <w:color w:val="000000"/>
          <w:sz w:val="20"/>
        </w:rPr>
        <w:t xml:space="preserve"> that are no less favorable to Seller or its Subsidiaries as the relevant terms in the existing Contract) if in effect on the date hereof;</w:t>
      </w:r>
    </w:p>
    <w:p>
      <w:pPr>
        <w:pStyle w:val="TextBody"/>
        <w:bidi w:val="0"/>
        <w:spacing w:before="0" w:after="0"/>
        <w:jc w:val="left"/>
        <w:rPr>
          <w:sz w:val="20"/>
        </w:rPr>
      </w:pPr>
      <w:r>
        <w:rPr>
          <w:sz w:val="20"/>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(xv)      fail to pay accounts payable of the Business Companies and other obligations  of the Business Companies when due (or, if earlier, the date that such account payable or other obligation would typically be paid by the applicable Business Company in the ordinary course of business), or accelerate the collection of accounts receivable of the Business Companies;</w:t>
      </w:r>
    </w:p>
    <w:p>
      <w:pPr>
        <w:pStyle w:val="TextBody"/>
        <w:bidi w:val="0"/>
        <w:spacing w:before="0" w:after="0"/>
        <w:jc w:val="left"/>
        <w:rPr>
          <w:sz w:val="20"/>
        </w:rPr>
      </w:pPr>
      <w:r>
        <w:rPr>
          <w:sz w:val="20"/>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(xvi)     with respect to any Business Company, make any expenditures or incur any liabilities greater than $100,000, in each case, other than those expenditures or liabilities that (A) will not survive the Closing, (B) are discharged or satisfied prior to the Closing, (C) are taken into account in the calculation of Closing Date Cash and/or (D) are in the ordinary course of business;</w:t>
      </w:r>
    </w:p>
    <w:p>
      <w:pPr>
        <w:pStyle w:val="TextBody"/>
        <w:bidi w:val="0"/>
        <w:spacing w:before="0" w:after="0"/>
        <w:jc w:val="left"/>
        <w:rPr>
          <w:sz w:val="20"/>
        </w:rPr>
      </w:pPr>
      <w:r>
        <w:rPr>
          <w:sz w:val="20"/>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(xvii)    other than as required by Law or GAAP, take any action to change accounting policies or procedures of the Business Companies;</w:t>
      </w:r>
    </w:p>
    <w:p>
      <w:pPr>
        <w:pStyle w:val="TextBody"/>
        <w:bidi w:val="0"/>
        <w:spacing w:before="0" w:after="0"/>
        <w:jc w:val="left"/>
        <w:rPr>
          <w:sz w:val="20"/>
        </w:rPr>
      </w:pPr>
      <w:r>
        <w:rPr>
          <w:sz w:val="20"/>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(xviii)    (A) settle or compromise any Action involving any Business Company other than solely for monetary damages (net of insurance proceeds received) not in excess of $200,000 individually or $1,000,000 in the aggregate; </w:t>
      </w:r>
      <w:r>
        <w:rPr>
          <w:rFonts w:ascii="Times New Roman" w:hAnsi="Times New Roman"/>
          <w:color w:val="000000"/>
          <w:sz w:val="20"/>
          <w:u w:val="single"/>
        </w:rPr>
        <w:t>provided</w:t>
      </w:r>
      <w:r>
        <w:rPr>
          <w:rFonts w:ascii="Times New Roman" w:hAnsi="Times New Roman"/>
          <w:color w:val="000000"/>
          <w:sz w:val="20"/>
        </w:rPr>
        <w:t xml:space="preserve"> that such settlement or compromise does not impose any non-monetary obligations on a Business Company (other than customary confidentiality and </w:t>
      </w:r>
      <w:r>
        <w:rPr>
          <w:rFonts w:ascii="Times New Roman" w:hAnsi="Times New Roman"/>
          <w:i/>
          <w:color w:val="000000"/>
          <w:sz w:val="20"/>
        </w:rPr>
        <w:t>de minimis</w:t>
      </w:r>
      <w:r>
        <w:rPr>
          <w:rFonts w:ascii="Times New Roman" w:hAnsi="Times New Roman"/>
          <w:color w:val="000000"/>
          <w:sz w:val="20"/>
        </w:rPr>
        <w:t xml:space="preserve"> contractual obligations in the applicable compromise or settlement agreement that are incidental to an award of monetary damages thereunder) and does not involve the admission of wrongdoing by a Business Company or any of their directors or officers or (B) initiate any Action involving any Business Company;</w:t>
      </w:r>
    </w:p>
    <w:p>
      <w:pPr>
        <w:pStyle w:val="TextBody"/>
        <w:bidi w:val="0"/>
        <w:spacing w:before="0" w:after="0"/>
        <w:jc w:val="left"/>
        <w:rPr>
          <w:sz w:val="20"/>
        </w:rPr>
      </w:pPr>
      <w:r>
        <w:rPr>
          <w:sz w:val="20"/>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(xix)      dissolve or liquidate Seller, any Subsidiary Transferor or any Business Company;</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58</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(xx)       with respect to the Business Companies, enter into any new line of business outside of the Business; or</w:t>
      </w:r>
    </w:p>
    <w:p>
      <w:pPr>
        <w:pStyle w:val="TextBody"/>
        <w:bidi w:val="0"/>
        <w:spacing w:before="0" w:after="0"/>
        <w:jc w:val="left"/>
        <w:rPr>
          <w:sz w:val="20"/>
        </w:rPr>
      </w:pPr>
      <w:r>
        <w:rPr>
          <w:sz w:val="20"/>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(xxi)      agree, resolve or commit to do any of the foregoing.</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Notwithstanding anything to the contrary contained in this Agreement, nothing contained in this Agreement (i) shall give Buyer, directly or indirectly, the right to control the Transferred Assets or control or direct the business or operations of the Business Companies prior to the Closing, including the Business or (ii) shall prohibit or otherwise in any way restrict any actions with respect to Excluded Assets, Excluded Liabilities and/or operations of the Retained Businesses or with respect to matters that are not related to the Business. Prior to the Closing, Seller and its Subsidiaries shall exercise, consistent with the terms and conditions of this Agreement, complete unilateral control and supervision over their business and operations, including the Business.</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(d)        Without limiting the generality of the foregoing, notwithstanding anything to the contrary contained in this Agreement, at any time and without the consent of Buyer, Seller, the Business Companies and each of their respective Affiliates will be permitted in their sole discretion at any time to (i) declare and pay dividends and distributions of, or otherwise transfer to, any of their Affiliates (A) any cash and cash equivalents and (B) any books and records that are not the property of the Business Companies or Related to the Business, (ii) conduct their activities regarding cash management matters (including the collection and transfer of accounts receivable and disbursement of funds or in connection with any “cash sweep” practices), including to settle intercompany payables and receivables and to effect intercompany funding, (iii) take such actions contemplated by, and in accordance with, </w:t>
      </w:r>
      <w:r>
        <w:rPr>
          <w:rFonts w:ascii="Times New Roman" w:hAnsi="Times New Roman"/>
          <w:color w:val="000000"/>
          <w:sz w:val="20"/>
          <w:u w:val="single"/>
        </w:rPr>
        <w:t>Section 5.07(g)</w:t>
      </w:r>
      <w:r>
        <w:rPr>
          <w:rFonts w:ascii="Times New Roman" w:hAnsi="Times New Roman"/>
          <w:color w:val="000000"/>
          <w:sz w:val="20"/>
        </w:rPr>
        <w:t xml:space="preserve"> and (iv) make any payment under, or repay (in part or in full), any Indebtedness or Transaction Expenses.</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(e)        During the Pre-Closing Period, Seller shall not sell, dispose of or transfer, and shall not permit the sale, disposition of or transfer of, any of the Shares.</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5.02         </w:t>
      </w:r>
      <w:r>
        <w:rPr>
          <w:rFonts w:ascii="Times New Roman" w:hAnsi="Times New Roman"/>
          <w:color w:val="000000"/>
          <w:sz w:val="20"/>
          <w:u w:val="single"/>
        </w:rPr>
        <w:t>Access to Information</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During the Pre-Closing Period, to the extent permitted by Law, Seller shall and shall cause its applicable Subsidiaries to afford to Buyer and its Representatives reasonable access to the books, records, properties and employees during normal business hours, upon reasonable written notice and in accordance with the reasonable procedures established by Seller, in such a manner as not to interfere unreasonably with the operation of the Business, in each case, solely to the extent (1) related to the Business and (2) reasonably requested by Buyer in connection with the transactions contemplated hereby, including to prepare to integrate and operate the Business following the Closing Date;</w:t>
      </w:r>
      <w:r>
        <w:rPr>
          <w:rFonts w:ascii="Times New Roman" w:hAnsi="Times New Roman"/>
          <w:color w:val="000000"/>
          <w:sz w:val="20"/>
          <w:u w:val="single"/>
        </w:rPr>
        <w:t xml:space="preserve"> provided</w:t>
      </w:r>
      <w:r>
        <w:rPr>
          <w:rFonts w:ascii="Times New Roman" w:hAnsi="Times New Roman"/>
          <w:color w:val="000000"/>
          <w:sz w:val="20"/>
        </w:rPr>
        <w:t xml:space="preserve"> that</w:t>
      </w:r>
      <w:r>
        <w:rPr>
          <w:rFonts w:ascii="Times New Roman" w:hAnsi="Times New Roman"/>
          <w:color w:val="FF0000"/>
          <w:sz w:val="20"/>
        </w:rPr>
        <w:t> </w:t>
      </w:r>
      <w:r>
        <w:rPr>
          <w:rFonts w:ascii="Times New Roman" w:hAnsi="Times New Roman"/>
          <w:color w:val="000000"/>
          <w:sz w:val="20"/>
        </w:rPr>
        <w:t xml:space="preserve">Seller shall make each Business Employee available to Buyer for not less than four hours per month during the Pre-Closing Period upon reasonable notice; </w:t>
      </w:r>
      <w:r>
        <w:rPr>
          <w:rFonts w:ascii="Times New Roman" w:hAnsi="Times New Roman"/>
          <w:color w:val="000000"/>
          <w:sz w:val="20"/>
          <w:u w:val="single"/>
        </w:rPr>
        <w:t>provided</w:t>
      </w:r>
      <w:r>
        <w:rPr>
          <w:rFonts w:ascii="Times New Roman" w:hAnsi="Times New Roman"/>
          <w:color w:val="000000"/>
          <w:sz w:val="20"/>
        </w:rPr>
        <w:t xml:space="preserve"> that Buyer does not conduct any invasive sampling or testing of building materials, soil, groundwater or other environmental media; </w:t>
      </w:r>
      <w:r>
        <w:rPr>
          <w:rFonts w:ascii="Times New Roman" w:hAnsi="Times New Roman"/>
          <w:color w:val="000000"/>
          <w:sz w:val="20"/>
          <w:u w:val="single"/>
        </w:rPr>
        <w:t>provided</w:t>
      </w:r>
      <w:r>
        <w:rPr>
          <w:rFonts w:ascii="Times New Roman" w:hAnsi="Times New Roman"/>
          <w:color w:val="000000"/>
          <w:sz w:val="20"/>
        </w:rPr>
        <w:t> </w:t>
      </w:r>
      <w:r>
        <w:rPr>
          <w:rFonts w:ascii="Times New Roman" w:hAnsi="Times New Roman"/>
          <w:color w:val="000000"/>
          <w:sz w:val="20"/>
          <w:u w:val="single"/>
        </w:rPr>
        <w:t>further</w:t>
      </w:r>
      <w:r>
        <w:rPr>
          <w:rFonts w:ascii="Times New Roman" w:hAnsi="Times New Roman"/>
          <w:color w:val="000000"/>
          <w:sz w:val="20"/>
        </w:rPr>
        <w:t xml:space="preserve"> that Seller may withhold any information requested by Buyer pursuant to the foregoing clause (2) in its sole discretion; </w:t>
      </w:r>
      <w:r>
        <w:rPr>
          <w:rFonts w:ascii="Times New Roman" w:hAnsi="Times New Roman"/>
          <w:color w:val="000000"/>
          <w:sz w:val="20"/>
          <w:u w:val="single"/>
        </w:rPr>
        <w:t>provided</w:t>
      </w:r>
      <w:r>
        <w:rPr>
          <w:rFonts w:ascii="Times New Roman" w:hAnsi="Times New Roman"/>
          <w:color w:val="000000"/>
          <w:sz w:val="20"/>
        </w:rPr>
        <w:t> </w:t>
      </w:r>
      <w:r>
        <w:rPr>
          <w:rFonts w:ascii="Times New Roman" w:hAnsi="Times New Roman"/>
          <w:color w:val="000000"/>
          <w:sz w:val="20"/>
          <w:u w:val="single"/>
        </w:rPr>
        <w:t>further</w:t>
      </w:r>
      <w:r>
        <w:rPr>
          <w:rFonts w:ascii="Times New Roman" w:hAnsi="Times New Roman"/>
          <w:color w:val="000000"/>
          <w:sz w:val="20"/>
        </w:rPr>
        <w:t xml:space="preserve"> that none of Seller or any of its Affiliates shall be required to afford such access or furnish such information to the extent Seller believes in good faith that doing so would: (A) jeopardize or result in the loss of attorney-client privilege or work product protection; (B) violate any obligation with respect to confidentiality to any third party or otherwise breach, contravene or violate any then-effective Contract; (C) result in a competitor of Seller or any of its Affiliates receiving information that is competitively sensitive; or (D) breach, contravene or violate any applicable Law (including any Antitrust Law) (</w:t>
      </w:r>
      <w:r>
        <w:rPr>
          <w:rFonts w:ascii="Times New Roman" w:hAnsi="Times New Roman"/>
          <w:color w:val="000000"/>
          <w:sz w:val="20"/>
          <w:u w:val="single"/>
        </w:rPr>
        <w:t>provided</w:t>
      </w:r>
      <w:r>
        <w:rPr>
          <w:rFonts w:ascii="Times New Roman" w:hAnsi="Times New Roman"/>
          <w:color w:val="000000"/>
          <w:sz w:val="20"/>
        </w:rPr>
        <w:t xml:space="preserve"> that Seller shall use commercially reasonable efforts to allow for such access or disclosure in a manner that does not result in the events set out in clauses (A) through (D)). Notwithstanding anything to the contrary in the foregoing, nothing herein shall require disclosure to Buyer or its Representatives of any information related to (x) the sale of the Business Companies, the Business or the Transferred Assets, including valuations and materials related to the negotiation of this Agreement or the process leading up to the execution of this Agreement, (y) the Retained Businesses, the Excluded Assets or the Retained Liabilities or (z) any Action in which Seller or any of its Subsidiaries, on the one hand, and Buyer or any of its Subsidiaries, on the other hand, are adverse parties.</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Buyer shall, and shall cause its Representatives, to hold all information provided, obtained by or furnished to Buyer and its Affiliates and Representatives pursuant to this </w:t>
      </w:r>
      <w:r>
        <w:rPr>
          <w:rFonts w:ascii="Times New Roman" w:hAnsi="Times New Roman"/>
          <w:color w:val="000000"/>
          <w:sz w:val="20"/>
          <w:u w:val="single"/>
        </w:rPr>
        <w:t>Section 5.02</w:t>
      </w:r>
      <w:r>
        <w:rPr>
          <w:rFonts w:ascii="Times New Roman" w:hAnsi="Times New Roman"/>
          <w:color w:val="000000"/>
          <w:sz w:val="20"/>
        </w:rPr>
        <w:t xml:space="preserve"> as confidential, and all such information shall constitute “Confidential Information” as defined in the Confidentiality Agreement, and shall be held by Buyer and its Affiliates and Representatives in accordance with and be subject to the terms of the Confidentiality Agreement. Notwithstanding anything to the contrary herein, the terms and provisions of the Confidentiality Agreement shall survive the termination of this Agreement in accordance with the terms therein. On the occurrence of the Closing, the Confidentiality Agreement shall automatically terminate without any further action by any of the parties thereto and shall be of no further force or effect, except Buyer shall, and shall cause its Affiliates (including, from and after the Closing, the Business Companies) and Representatives to, keep strictly confidential any and all information relating to or concerning any of the Seller Entities, including any of their respective assets or properties.</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(c)      From and after the Closing, Buyer shall, and shall cause its Affiliates to, give Seller and its employees, agents and representatives, upon reasonable advance notice and during regular business hours, reasonable access to the assets and properties of the Business, and to all information, files, documents and records relating to the Business, for any and all periods prior to and including the Closing Date that Seller may reasonably require (a) to comply with applicable Law, for tax or accounting purposes, to respond to a request, investigation, inquiry or examination from any regulatory authority or to comply with or perform obligations under this Agreement or any Ancillary Agreement or (b) in connection with any Action by or against any Person not party to, or not a third party beneficiary of, this Agreement; </w:t>
      </w:r>
      <w:r>
        <w:rPr>
          <w:rFonts w:ascii="Times New Roman" w:hAnsi="Times New Roman"/>
          <w:color w:val="000000"/>
          <w:sz w:val="20"/>
          <w:u w:val="single"/>
        </w:rPr>
        <w:t>provided</w:t>
      </w:r>
      <w:r>
        <w:rPr>
          <w:rFonts w:ascii="Times New Roman" w:hAnsi="Times New Roman"/>
          <w:color w:val="000000"/>
          <w:sz w:val="20"/>
        </w:rPr>
        <w:t xml:space="preserve">, that any such access shall be at a reasonable time, under the supervision of Buyer’s personnel and in such a manner as to maintain confidentiality and not to unreasonably interfere with the normal operation of the businesses of Buyer and its Affiliates. Notwithstanding anything contained in this Agreement, neither Buyer nor any of its Affiliates shall have any obligation to make available to Seller or its employees, agents or representatives, or provide Seller or its employees, agents or representatives with, (i) (A) any consolidated, combined or unitary income Tax Return filed by Buyer, or any of its Affiliates or predecessors, or any material relating to the foregoing or (B) any other Tax Return, Tax related document or other Tax information which does not relate to a Transferred Asset or the Business and a Tax period (or portion thereof) ending on or prior to the Closing or any material relating to the foregoing;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any documents or materials provided under this </w:t>
      </w:r>
      <w:r>
        <w:rPr>
          <w:rFonts w:ascii="Times New Roman" w:hAnsi="Times New Roman"/>
          <w:color w:val="000000"/>
          <w:sz w:val="20"/>
          <w:u w:val="single"/>
        </w:rPr>
        <w:t>Section 5.02</w:t>
      </w:r>
      <w:r>
        <w:rPr>
          <w:rFonts w:ascii="Times New Roman" w:hAnsi="Times New Roman"/>
          <w:color w:val="000000"/>
          <w:sz w:val="20"/>
        </w:rPr>
        <w:t xml:space="preserve"> that are not exclusively related to the Transferred Assets or the Business in respect of a Tax period (or portion thereof) ending on or prior to the Closing, will be provided on a pro forma basis and/or redacted for information not related to the Transferred Assets or the Business in respect of a Tax period (or portion thereof) ending on or prior to the Closing, or (ii) access to any books, records, personnel, officers, or facilities if such access would (A) pursuant to the advice of Buyer’s legal counsel (including in-house legal counsel), jeopardize any attorney-client or other legal privilege (including Tax Return preparer privilege), (B) contravene any applicable Law, fiduciary duty or Contract (including any confidentiality agreement to which Buyer or any of its Affiliates is a party) (it being understood that Buyer shall cooperate in any reasonable requests for waivers in relation to this </w:t>
      </w:r>
      <w:r>
        <w:rPr>
          <w:rFonts w:ascii="Times New Roman" w:hAnsi="Times New Roman"/>
          <w:color w:val="000000"/>
          <w:sz w:val="20"/>
          <w:u w:val="single"/>
        </w:rPr>
        <w:t>Section 5.02</w:t>
      </w:r>
      <w:r>
        <w:rPr>
          <w:rFonts w:ascii="Times New Roman" w:hAnsi="Times New Roman"/>
          <w:color w:val="000000"/>
          <w:sz w:val="20"/>
        </w:rPr>
        <w:t xml:space="preserve"> that would enable disclosure to Seller to occur without so jeopardizing privilege or contravening such Law, duty or Contract) or (C) expose Buyer or its Affiliates to Liability for disclosure of Personal Information in violation of applicable Law.</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5.03        </w:t>
      </w:r>
      <w:r>
        <w:rPr>
          <w:rFonts w:ascii="Times New Roman" w:hAnsi="Times New Roman"/>
          <w:color w:val="000000"/>
          <w:sz w:val="20"/>
          <w:u w:val="single"/>
        </w:rPr>
        <w:t>Maintenance of Books and Records</w:t>
      </w:r>
      <w:r>
        <w:rPr>
          <w:rFonts w:ascii="Times New Roman" w:hAnsi="Times New Roman"/>
          <w:color w:val="000000"/>
          <w:sz w:val="20"/>
        </w:rPr>
        <w:t xml:space="preserve">. After the Closing, each of the Parties hereto shall preserve, until at least the sixth (6th) anniversary of the Closing Date, all pre-Closing records possessed or to be possessed by such Party relating to the Business. After the Closing Date, until at least the sixth (6th) anniversary of the Closing Date, upon any reasonable request from a Party or its employees, agents or representatives, the Party holding such records shall (a) provide to the requesting Party or its employees, agents or representatives reasonable access to such records during normal business hours and (b) permit the requesting Party or its employees, agents or representatives to make copies of such records, in each case at no cost to the requesting Party or its employees, agents or representatives (other than for reasonable out-of-pocket expenses); </w:t>
      </w:r>
      <w:r>
        <w:rPr>
          <w:rFonts w:ascii="Times New Roman" w:hAnsi="Times New Roman"/>
          <w:color w:val="000000"/>
          <w:sz w:val="20"/>
          <w:u w:val="single"/>
        </w:rPr>
        <w:t>provided</w:t>
      </w:r>
      <w:r>
        <w:rPr>
          <w:rFonts w:ascii="Times New Roman" w:hAnsi="Times New Roman"/>
          <w:color w:val="000000"/>
          <w:sz w:val="20"/>
        </w:rPr>
        <w:t>,</w:t>
      </w:r>
      <w:r>
        <w:rPr>
          <w:rFonts w:ascii="Times New Roman" w:hAnsi="Times New Roman"/>
          <w:color w:val="000000"/>
          <w:sz w:val="20"/>
          <w:u w:val="single"/>
        </w:rPr>
        <w:t xml:space="preserve"> however</w:t>
      </w:r>
      <w:r>
        <w:rPr>
          <w:rFonts w:ascii="Times New Roman" w:hAnsi="Times New Roman"/>
          <w:color w:val="000000"/>
          <w:sz w:val="20"/>
        </w:rPr>
        <w:t xml:space="preserve">, that nothing herein shall require either Party to disclose any information to the other if such disclosure would jeopardize any attorney-client or other legal privilege or contravene any applicable Law (it being understood that each Party shall cooperate in any reasonable requests for waivers in relation to such Law, duty or Contract that would enable disclosure to the other Party to occur without so jeopardizing privilege or contravening such Law, duty or Contract). Such records may be sought under this </w:t>
      </w:r>
      <w:r>
        <w:rPr>
          <w:rFonts w:ascii="Times New Roman" w:hAnsi="Times New Roman"/>
          <w:color w:val="000000"/>
          <w:sz w:val="20"/>
          <w:u w:val="single"/>
        </w:rPr>
        <w:t>Section 5.03</w:t>
      </w:r>
      <w:r>
        <w:rPr>
          <w:rFonts w:ascii="Times New Roman" w:hAnsi="Times New Roman"/>
          <w:color w:val="000000"/>
          <w:sz w:val="20"/>
        </w:rPr>
        <w:t xml:space="preserve"> for any reasonable purpose, including to the extent reasonably required in connection with the audit, accounting, financial reporting, Tax, Action (other than any Action arising under or in connection with this Agreement or any Ancillary Agreement), federal securities disclosure or other similar needs of the Party seeking such records.</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5.04         </w:t>
      </w:r>
      <w:r>
        <w:rPr>
          <w:rFonts w:ascii="Times New Roman" w:hAnsi="Times New Roman"/>
          <w:color w:val="000000"/>
          <w:sz w:val="20"/>
          <w:u w:val="single"/>
        </w:rPr>
        <w:t>Confidentiality; Publicity</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The Confidentiality Agreement shall terminate as of the Closing. From and after the Closing, Buyer and Seller shall, and shall cause each of their respective Affiliates to, treat as confidential and safeguard all Confidential Information, except that each Party and its respective Affiliates may disclose Confidential Information (i) to their representatives who need to know such Confidential Information for purposes of assisting such Party in connection with understanding its rights and obligations under this Agreement, (ii) to such Party’s owners, its Affiliates, or its and their respective directors, officers, employees, and managers and representatives of any of the foregoing or (iii) to the extent necessary for the enforcement of such Party’s rights or remedies arising out of or relating to this Agreement or any Ancillary Agreement; </w:t>
      </w:r>
      <w:r>
        <w:rPr>
          <w:rFonts w:ascii="Times New Roman" w:hAnsi="Times New Roman"/>
          <w:color w:val="000000"/>
          <w:sz w:val="20"/>
          <w:u w:val="single"/>
        </w:rPr>
        <w:t>provided</w:t>
      </w:r>
      <w:r>
        <w:rPr>
          <w:rFonts w:ascii="Times New Roman" w:hAnsi="Times New Roman"/>
          <w:color w:val="000000"/>
          <w:sz w:val="20"/>
        </w:rPr>
        <w:t>, that each Party shall, and shall inform its respective owners, Affiliates, and its and their respective directors, officers, employees and managers and representatives of the confidential nature of the Confidential Information, and shall direct each of them to use such Confidential Information only for the purposes contemplated hereby.</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Notwithstanding anything to the contrary in this </w:t>
      </w:r>
      <w:r>
        <w:rPr>
          <w:rFonts w:ascii="Times New Roman" w:hAnsi="Times New Roman"/>
          <w:color w:val="000000"/>
          <w:sz w:val="20"/>
          <w:u w:val="single"/>
        </w:rPr>
        <w:t>Section 5.04</w:t>
      </w:r>
      <w:r>
        <w:rPr>
          <w:rFonts w:ascii="Times New Roman" w:hAnsi="Times New Roman"/>
          <w:color w:val="000000"/>
          <w:sz w:val="20"/>
        </w:rPr>
        <w:t xml:space="preserve">, in the event that a Party or any of its respective Affiliates is required by applicable Law or a Governmental Entity to disclose any Confidential Information, such required disclosure shall be permitted so long as, such Party shall (i) to the extent legally permissible, prior to any such disclosure, (A) provide the other Party with prompt notice of such request or requirement describing the circumstance of such request or requirement and the scope of information which shall be made available and (B) reasonably consult with the other Party with a view to avoiding the disclosure or narrowing its scope, including if requested, taking all reasonable steps to resist or avoid any such disclosure and (ii) if compliance with the obligations set forth in the preceding clause </w:t>
      </w:r>
      <w:r>
        <w:rPr>
          <w:rFonts w:ascii="Times New Roman" w:hAnsi="Times New Roman"/>
          <w:color w:val="000000"/>
          <w:sz w:val="20"/>
          <w:u w:val="single"/>
        </w:rPr>
        <w:t>(i)</w:t>
      </w:r>
      <w:r>
        <w:rPr>
          <w:rFonts w:ascii="Times New Roman" w:hAnsi="Times New Roman"/>
          <w:color w:val="000000"/>
          <w:sz w:val="20"/>
        </w:rPr>
        <w:t xml:space="preserve"> shall not be legally permissible, as soon as reasonably practicable and legally permissible after the disclosure, inform such other Party of the circumstances of the requirement to disclose Confidential Information and about the disclosure which was made.</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(c)        The initial press release regarding the Sale shall be a joint press release of the Parties. Thereafter, the Parties each shall consult with each other prior to (i) issuing any press releases or otherwise making public announcements with respect to the Sale or the other transactions contemplated by this Agreement, except as expressly permitted by </w:t>
      </w:r>
      <w:r>
        <w:rPr>
          <w:rFonts w:ascii="Times New Roman" w:hAnsi="Times New Roman"/>
          <w:color w:val="000000"/>
          <w:sz w:val="20"/>
          <w:u w:val="single"/>
        </w:rPr>
        <w:t>Section 5.04(a)</w:t>
      </w:r>
      <w:r>
        <w:rPr>
          <w:rFonts w:ascii="Times New Roman" w:hAnsi="Times New Roman"/>
          <w:color w:val="000000"/>
          <w:sz w:val="20"/>
        </w:rPr>
        <w:t xml:space="preserve"> or as may be required by applicable Law or applicable stock exchange rules or regulations and (ii) making any filings with any third party and/or any Governmental Entity (including any stock exchange) with respect to the Sale or the other transactions contemplated by this Agreement. Notwithstanding the preceding sentence, either Party may make any press release, public statement or filing, so long as the statements contained therein with respect to the Sale and the other transactions contemplated by this Agreement are substantially similar to statements contained in previous press releases, public statements or filings made by Seller or Buyer in compliance with the provisions of the preceding sentence.</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(d)        For the avoidance of doubt, nothing in this </w:t>
      </w:r>
      <w:r>
        <w:rPr>
          <w:rFonts w:ascii="Times New Roman" w:hAnsi="Times New Roman"/>
          <w:color w:val="000000"/>
          <w:sz w:val="20"/>
          <w:u w:val="single"/>
        </w:rPr>
        <w:t>Section 5.04</w:t>
      </w:r>
      <w:r>
        <w:rPr>
          <w:rFonts w:ascii="Times New Roman" w:hAnsi="Times New Roman"/>
          <w:color w:val="000000"/>
          <w:sz w:val="20"/>
        </w:rPr>
        <w:t xml:space="preserve"> shall restrict either Party from disclosing, using, or otherwise dealing with its own Confidential Information in any manner it sees fit.</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5.05        </w:t>
      </w:r>
      <w:r>
        <w:rPr>
          <w:rFonts w:ascii="Times New Roman" w:hAnsi="Times New Roman"/>
          <w:color w:val="000000"/>
          <w:sz w:val="20"/>
          <w:u w:val="single"/>
        </w:rPr>
        <w:t>Directors &amp; Officers Indemnification and Insurance</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From the Closing through the sixth anniversary of the date on which the Closing occurs, each of the Business Companies shall, jointly and severally, indemnify and hold harmless each person who is now, or has been at any time prior to the date hereof, or who becomes prior to the Closing, a director or officer of the Business Companies (each, a “</w:t>
      </w:r>
      <w:r>
        <w:rPr>
          <w:rFonts w:ascii="Times New Roman" w:hAnsi="Times New Roman"/>
          <w:color w:val="000000"/>
          <w:sz w:val="20"/>
          <w:u w:val="single"/>
        </w:rPr>
        <w:t>D&amp;O Indemnified Person</w:t>
      </w:r>
      <w:r>
        <w:rPr>
          <w:rFonts w:ascii="Times New Roman" w:hAnsi="Times New Roman"/>
          <w:color w:val="000000"/>
          <w:sz w:val="20"/>
        </w:rPr>
        <w:t>”) against all claims, losses, liabilities, damages, judgments, fines and reasonable fees, costs and expenses, including attorneys’ fees and disbursements, incurred in connection with any claim, action, suit, proceeding or investigation, whether civil, criminal, administrative or investigative, arising out of or pertaining to the fact that the D&amp;O Indemnified Person is or was a director or officer of a Business Company, whether asserted or claimed prior to, at or after the Closing, to the fullest extent permitted under applicable Law (including the General Corporation Law of the State of Delaware (the “</w:t>
      </w:r>
      <w:r>
        <w:rPr>
          <w:rFonts w:ascii="Times New Roman" w:hAnsi="Times New Roman"/>
          <w:color w:val="000000"/>
          <w:sz w:val="20"/>
          <w:u w:val="single"/>
        </w:rPr>
        <w:t>DGCL</w:t>
      </w:r>
      <w:r>
        <w:rPr>
          <w:rFonts w:ascii="Times New Roman" w:hAnsi="Times New Roman"/>
          <w:color w:val="000000"/>
          <w:sz w:val="20"/>
        </w:rPr>
        <w:t xml:space="preserve">”)).  Each D&amp;O Indemnified Person will be entitled to advancement of expenses (including attorneys’ fees) incurred in the defense of any such claim, action, suit, proceeding or investigation from each Business Company, jointly and severally, upon receipt by a Business Company from the D&amp;O Indemnified Person of a request therefor; </w:t>
      </w:r>
      <w:r>
        <w:rPr>
          <w:rFonts w:ascii="Times New Roman" w:hAnsi="Times New Roman"/>
          <w:color w:val="000000"/>
          <w:sz w:val="20"/>
          <w:u w:val="single"/>
        </w:rPr>
        <w:t>provided</w:t>
      </w:r>
      <w:r>
        <w:rPr>
          <w:rFonts w:ascii="Times New Roman" w:hAnsi="Times New Roman"/>
          <w:color w:val="000000"/>
          <w:sz w:val="20"/>
        </w:rPr>
        <w:t xml:space="preserve"> that any person to whom expenses are advanced provides an undertaking, to the extent then required by the DGCL, to repay such advances if it is ultimately determined that such person is not entitled to indemnification.  From the Closing through the sixth anniversary of the date on which the Closing occurs, the Organizational Documents of the Business Companies shall contain provisions no less favorable than the provisions relating to indemnification, advancement of expenses and elimination of liability for monetary damages set forth in the Organizational Documents of the Business Companies immediately prior to the Closing, and such provisions shall not be amended, repealed, abrogated or otherwise modified in any manner that would adversely affect any D&amp;O Indemnified Person.</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Prior to the Closing, Buyer shall purchase a six-year prepaid “tail policy” for the non-cancellable extension of the directors’ and officers’ liability coverage of the existing directors’ and officers’ insurance policy maintained by Seller on behalf of the Business Companies (the “D&amp;O Tail Policy”) for a claims reporting or discovery period of at least six years from and after the Closing with respect to any claim related to any period of time at or prior to the Closing, with terms, conditions, retentions and limits of liability that are no less favorable than the coverage provided by Seller’s existing policies as of the date of this Agreement with respect to any actual or alleged error, misstatement, misleading statement, act, omission, neglect, breach of duty or any matter claimed against a director or officer of the Business Companies by reason of him or her serving in such capacity that existed or occurred at or prior to the Closing (including in connection with this Agreement or the Sale). The premium and all other costs of the D&amp;O Tail Policy shall be borne 50% by Buyer and 50% by Seller.</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(c)        In the event a Business Company or any of Buyers successors or assigns (i) consolidates with or merges into any other Person and shall not be the continuing or surviving corporation or entity of such consolidation or merger, (ii) transfers all or substantially all of its properties and assets to any Person or (iii) engages in any similar transaction, then, and in each such case, proper provision shall be made so that the successors and assigns of such Business Company, shall assume all of the obligations set forth in this </w:t>
      </w:r>
      <w:r>
        <w:rPr>
          <w:rFonts w:ascii="Times New Roman" w:hAnsi="Times New Roman"/>
          <w:color w:val="000000"/>
          <w:sz w:val="20"/>
          <w:u w:val="single"/>
        </w:rPr>
        <w:t>Section 5.05</w:t>
      </w:r>
      <w:r>
        <w:rPr>
          <w:rFonts w:ascii="Times New Roman" w:hAnsi="Times New Roman"/>
          <w:color w:val="000000"/>
          <w:sz w:val="20"/>
        </w:rPr>
        <w:t xml:space="preserve">. Buyer shall cause the Business Companies to perform all of the obligations of the Business Companies under this </w:t>
      </w:r>
      <w:r>
        <w:rPr>
          <w:rFonts w:ascii="Times New Roman" w:hAnsi="Times New Roman"/>
          <w:color w:val="000000"/>
          <w:sz w:val="20"/>
          <w:u w:val="single"/>
        </w:rPr>
        <w:t>Section 5.05</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(d)         The provisions of this </w:t>
      </w:r>
      <w:r>
        <w:rPr>
          <w:rFonts w:ascii="Times New Roman" w:hAnsi="Times New Roman"/>
          <w:color w:val="000000"/>
          <w:sz w:val="20"/>
          <w:u w:val="single"/>
        </w:rPr>
        <w:t>Section 5.05</w:t>
      </w:r>
      <w:r>
        <w:rPr>
          <w:rFonts w:ascii="Times New Roman" w:hAnsi="Times New Roman"/>
          <w:color w:val="000000"/>
          <w:sz w:val="20"/>
        </w:rPr>
        <w:t xml:space="preserve"> are intended to be in addition to the rights otherwise available to the current and former officers and directors of the Business Companies by Law, charter, bylaw or agreement, and shall operate for the benefit of, and shall be enforceable by, each of the D&amp;O Indemnified Persons, their heirs and their representatives.  The obligations set forth in this </w:t>
      </w:r>
      <w:r>
        <w:rPr>
          <w:rFonts w:ascii="Times New Roman" w:hAnsi="Times New Roman"/>
          <w:color w:val="000000"/>
          <w:sz w:val="20"/>
          <w:u w:val="single"/>
        </w:rPr>
        <w:t>Section 5.05</w:t>
      </w:r>
      <w:r>
        <w:rPr>
          <w:rFonts w:ascii="Times New Roman" w:hAnsi="Times New Roman"/>
          <w:color w:val="000000"/>
          <w:sz w:val="20"/>
        </w:rPr>
        <w:t xml:space="preserve"> shall not be terminated, amended or otherwise modified in any manner that adversely affects any D&amp;O Indemnified Person, or any person who is a beneficiary under the policies referred to in this </w:t>
      </w:r>
      <w:r>
        <w:rPr>
          <w:rFonts w:ascii="Times New Roman" w:hAnsi="Times New Roman"/>
          <w:color w:val="000000"/>
          <w:sz w:val="20"/>
          <w:u w:val="single"/>
        </w:rPr>
        <w:t>Section 5.05</w:t>
      </w:r>
      <w:r>
        <w:rPr>
          <w:rFonts w:ascii="Times New Roman" w:hAnsi="Times New Roman"/>
          <w:color w:val="000000"/>
          <w:sz w:val="20"/>
        </w:rPr>
        <w:t xml:space="preserve"> and their heirs and representatives, without the prior written consent of such affected D&amp;O Indemnified Person or other person.  Buyer shall pay all expenses, including reasonable attorneys’ fees, that may be incurred by any D&amp;O Indemnified Person in successfully enforcing the rights provided in this </w:t>
      </w:r>
      <w:r>
        <w:rPr>
          <w:rFonts w:ascii="Times New Roman" w:hAnsi="Times New Roman"/>
          <w:color w:val="000000"/>
          <w:sz w:val="20"/>
          <w:u w:val="single"/>
        </w:rPr>
        <w:t>Section 5.05</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(e)         Notwithstanding anything herein to the contrary, if any claim (whether arising before, at or after the Closing) is made against any of the D&amp;O Indemnified Persons on or prior to the sixth anniversary of the Closing, the provisions of this </w:t>
      </w:r>
      <w:r>
        <w:rPr>
          <w:rFonts w:ascii="Times New Roman" w:hAnsi="Times New Roman"/>
          <w:color w:val="000000"/>
          <w:sz w:val="20"/>
          <w:u w:val="single"/>
        </w:rPr>
        <w:t>Section 5.05</w:t>
      </w:r>
      <w:r>
        <w:rPr>
          <w:rFonts w:ascii="Times New Roman" w:hAnsi="Times New Roman"/>
          <w:color w:val="000000"/>
          <w:sz w:val="20"/>
        </w:rPr>
        <w:t xml:space="preserve"> shall continue in effect until the final disposition of such claim.</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5.06         </w:t>
      </w:r>
      <w:r>
        <w:rPr>
          <w:rFonts w:ascii="Times New Roman" w:hAnsi="Times New Roman"/>
          <w:color w:val="000000"/>
          <w:sz w:val="20"/>
          <w:u w:val="single"/>
        </w:rPr>
        <w:t>Employee Matters</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w:t>
      </w:r>
      <w:r>
        <w:rPr>
          <w:rFonts w:ascii="Times New Roman" w:hAnsi="Times New Roman"/>
          <w:color w:val="000000"/>
          <w:sz w:val="20"/>
          <w:u w:val="single"/>
        </w:rPr>
        <w:t>Terms and Conditions of Employment</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          Seller shall deliver to Buyer not later than 15 Business Days prior to the Closing Date a final updated version of the Business Employee Schedule and the Business Consultant Schedule, in each case, that is true and complete as of 18 Business Days prior to the Closing.</w:t>
      </w:r>
    </w:p>
    <w:p>
      <w:pPr>
        <w:pStyle w:val="TextBody"/>
        <w:bidi w:val="0"/>
        <w:spacing w:before="0" w:after="0"/>
        <w:jc w:val="left"/>
        <w:rPr>
          <w:sz w:val="20"/>
        </w:rPr>
      </w:pPr>
      <w:r>
        <w:rPr>
          <w:sz w:val="20"/>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(ii)         At least 10 Business Days prior to the Closing Date, Buyer shall offer, or cause its Affiliates to offer, employment to each Business Employee who is not employed by a Business Company (each, an “</w:t>
      </w:r>
      <w:r>
        <w:rPr>
          <w:rFonts w:ascii="Times New Roman" w:hAnsi="Times New Roman"/>
          <w:color w:val="000000"/>
          <w:sz w:val="20"/>
          <w:u w:val="single"/>
        </w:rPr>
        <w:t>Offer Employee</w:t>
      </w:r>
      <w:r>
        <w:rPr>
          <w:rFonts w:ascii="Times New Roman" w:hAnsi="Times New Roman"/>
          <w:color w:val="000000"/>
          <w:sz w:val="20"/>
        </w:rPr>
        <w:t xml:space="preserve">”) and who is employed immediately prior to the Closing Date (with such offers of employment to specify that they will expire if not accepted by such Business Employee within seven Business Days after the date the offer is made to such Business Employee), with such employment to be effective as of 12:01 a.m. on the Closing Date ;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no offers of employment shall be made to any International Business Employee whose employment will transfer automatically to Buyer or its Affiliate effective as of the Closing pursuant to the Transfer Regulations. Buyer shall notify Seller promptly whether each such offer has been accepted or rejected. Nothing herein shall be construed as a representation or guarantee by Seller that any particular Business Employee shall accept an offer of employment or shall continue in employment with Buyer and its Affiliates following the Closing.</w:t>
      </w:r>
    </w:p>
    <w:p>
      <w:pPr>
        <w:pStyle w:val="TextBody"/>
        <w:bidi w:val="0"/>
        <w:spacing w:before="0" w:after="0"/>
        <w:jc w:val="left"/>
        <w:rPr>
          <w:sz w:val="20"/>
        </w:rPr>
      </w:pPr>
      <w:r>
        <w:rPr>
          <w:sz w:val="20"/>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(iii)       With respect to each Offer Employee, if any, who is not actively at work and is on a leave of absence as of the Closing Date (an “</w:t>
      </w:r>
      <w:r>
        <w:rPr>
          <w:rFonts w:ascii="Times New Roman" w:hAnsi="Times New Roman"/>
          <w:color w:val="000000"/>
          <w:sz w:val="20"/>
          <w:u w:val="single"/>
        </w:rPr>
        <w:t>Inactive Business Employee</w:t>
      </w:r>
      <w:r>
        <w:rPr>
          <w:rFonts w:ascii="Times New Roman" w:hAnsi="Times New Roman"/>
          <w:color w:val="000000"/>
          <w:sz w:val="20"/>
        </w:rPr>
        <w:t xml:space="preserve">”), Buyer shall, or shall cause its Affiliates to, offer employment to such Inactive Business Employee, with employment to be effective as of the date on which such Inactive Business Employee (A) presents himself or herself to Buyer for active employment, (B) is qualified to resume active employment with or without reasonable accommodation and (C) accepts such offer of employment from Buyer or any of its Affiliates; provided that such Inactive Business Employee presents himself or herself for active employment no later than six months following the Closing Date or within such longer time period as required under applicable Law. Each Inactive Business Employee who becomes an employee of Buyer or its Affiliates pursuant to this </w:t>
      </w:r>
      <w:r>
        <w:rPr>
          <w:rFonts w:ascii="Times New Roman" w:hAnsi="Times New Roman"/>
          <w:color w:val="000000"/>
          <w:sz w:val="20"/>
          <w:u w:val="single"/>
        </w:rPr>
        <w:t>Section 5.06(a)(iii)</w:t>
      </w:r>
      <w:r>
        <w:rPr>
          <w:rFonts w:ascii="Times New Roman" w:hAnsi="Times New Roman"/>
          <w:color w:val="000000"/>
          <w:sz w:val="20"/>
        </w:rPr>
        <w:t xml:space="preserve"> shall be considered a Continuing Employee for purposes of this </w:t>
      </w:r>
      <w:r>
        <w:rPr>
          <w:rFonts w:ascii="Times New Roman" w:hAnsi="Times New Roman"/>
          <w:color w:val="000000"/>
          <w:sz w:val="20"/>
          <w:u w:val="single"/>
        </w:rPr>
        <w:t>Section 5.06</w:t>
      </w:r>
      <w:r>
        <w:rPr>
          <w:rFonts w:ascii="Times New Roman" w:hAnsi="Times New Roman"/>
          <w:color w:val="000000"/>
          <w:sz w:val="20"/>
        </w:rPr>
        <w:t xml:space="preserve"> and all references to the “Closing”, “Closing Date” (other than in this </w:t>
      </w:r>
      <w:r>
        <w:rPr>
          <w:rFonts w:ascii="Times New Roman" w:hAnsi="Times New Roman"/>
          <w:color w:val="000000"/>
          <w:sz w:val="20"/>
          <w:u w:val="single"/>
        </w:rPr>
        <w:t>Section 5.06(a)(iii)</w:t>
      </w:r>
      <w:r>
        <w:rPr>
          <w:rFonts w:ascii="Times New Roman" w:hAnsi="Times New Roman"/>
          <w:color w:val="000000"/>
          <w:sz w:val="20"/>
        </w:rPr>
        <w:t xml:space="preserve"> and in </w:t>
      </w:r>
      <w:r>
        <w:rPr>
          <w:rFonts w:ascii="Times New Roman" w:hAnsi="Times New Roman"/>
          <w:color w:val="000000"/>
          <w:sz w:val="20"/>
          <w:u w:val="single"/>
        </w:rPr>
        <w:t>Section 5.06(b)</w:t>
      </w:r>
      <w:r>
        <w:rPr>
          <w:rFonts w:ascii="Times New Roman" w:hAnsi="Times New Roman"/>
          <w:color w:val="000000"/>
          <w:sz w:val="20"/>
        </w:rPr>
        <w:t>) shall be deemed to refer to the date on which such Inactive Business Employee commences employment with Buyer or its Affiliates as the context so requires.</w:t>
      </w:r>
    </w:p>
    <w:p>
      <w:pPr>
        <w:pStyle w:val="TextBody"/>
        <w:bidi w:val="0"/>
        <w:spacing w:before="0" w:after="0"/>
        <w:jc w:val="left"/>
        <w:rPr>
          <w:sz w:val="20"/>
        </w:rPr>
      </w:pPr>
      <w:r>
        <w:rPr>
          <w:sz w:val="20"/>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(iv)        All offers of employment by Buyer or its Affiliates to the Offer Employees shall be on terms consistent with those provided to Continuing Employees in </w:t>
      </w:r>
      <w:r>
        <w:rPr>
          <w:rFonts w:ascii="Times New Roman" w:hAnsi="Times New Roman"/>
          <w:color w:val="000000"/>
          <w:sz w:val="20"/>
          <w:u w:val="single"/>
        </w:rPr>
        <w:t>Section 5.06(b)</w:t>
      </w:r>
      <w:r>
        <w:rPr>
          <w:rFonts w:ascii="Times New Roman" w:hAnsi="Times New Roman"/>
          <w:color w:val="000000"/>
          <w:sz w:val="20"/>
        </w:rPr>
        <w:t>, and shall include general position and location, in each case as provided by Seller or its Affiliates immediately prior to the Closing Date. Buyer shall, and shall cause its Affiliates to, comply with all applicable Laws relating to the offers of employment to, and continuation of employment of, the Offer Employees on and after the Closing.</w:t>
      </w:r>
    </w:p>
    <w:p>
      <w:pPr>
        <w:pStyle w:val="TextBody"/>
        <w:bidi w:val="0"/>
        <w:spacing w:before="0" w:after="0"/>
        <w:jc w:val="left"/>
        <w:rPr>
          <w:sz w:val="20"/>
        </w:rPr>
      </w:pPr>
      <w:r>
        <w:rPr>
          <w:sz w:val="20"/>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(v)         Prior to the Closing Date, Seller and its Affiliates shall take all steps as are reasonably required so that no employee of Seller or its Affiliates who is not a Business Employee is employed by a Business Company as of immediately prior to the Closing.</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w:t>
      </w:r>
      <w:r>
        <w:rPr>
          <w:rFonts w:ascii="Times New Roman" w:hAnsi="Times New Roman"/>
          <w:color w:val="000000"/>
          <w:sz w:val="20"/>
          <w:u w:val="single"/>
        </w:rPr>
        <w:t>Benefits Continuation</w:t>
      </w:r>
      <w:r>
        <w:rPr>
          <w:rFonts w:ascii="Times New Roman" w:hAnsi="Times New Roman"/>
          <w:color w:val="000000"/>
          <w:sz w:val="20"/>
        </w:rPr>
        <w:t>. From and after the Closing and for a period of 12 months following the Closing (the “</w:t>
      </w:r>
      <w:r>
        <w:rPr>
          <w:rFonts w:ascii="Times New Roman" w:hAnsi="Times New Roman"/>
          <w:color w:val="000000"/>
          <w:sz w:val="20"/>
          <w:u w:val="single"/>
        </w:rPr>
        <w:t>Benefit Protection Period</w:t>
      </w:r>
      <w:r>
        <w:rPr>
          <w:rFonts w:ascii="Times New Roman" w:hAnsi="Times New Roman"/>
          <w:color w:val="000000"/>
          <w:sz w:val="20"/>
        </w:rPr>
        <w:t>”), Buyer shall provide or cause its Affiliates, including the Business Companies, to provide each Continuing Employee (while he or she is employed with Buyer or any of its Affiliates) with: (i) at least the same annual base salary or wages and substantially comparable annual or short-term cash incentive compensation opportunities (including commission opportunities), in each case, provided to such Continuing Employee immediately prior to the Closing; (ii) at least the same severance benefits provided to such Continuing Employee immediately prior to the Closing; and (iii) other compensation and employee benefits  that are substantially comparable, in the aggregate, to such compensation and benefits that were provided to such Continuing Employee as of the Closing (excluding for such purposes, defined benefit pension, retiree or post-employment health or welfare, nonqualified deferred compensation, retention, one-time or special bonuses and change in control payments), except as otherwise required by applicable Law.</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(c)         </w:t>
      </w:r>
      <w:r>
        <w:rPr>
          <w:rFonts w:ascii="Times New Roman" w:hAnsi="Times New Roman"/>
          <w:color w:val="000000"/>
          <w:sz w:val="20"/>
          <w:u w:val="single"/>
        </w:rPr>
        <w:t>Service Credit</w:t>
      </w:r>
      <w:r>
        <w:rPr>
          <w:rFonts w:ascii="Times New Roman" w:hAnsi="Times New Roman"/>
          <w:color w:val="000000"/>
          <w:sz w:val="20"/>
        </w:rPr>
        <w:t xml:space="preserve">. With respect to all employee benefit plans of Buyer and its Affiliates (including, following the Closing, the Business Companies), including any “employee benefit plan” (as defined in Section 3(3) of ERISA, whether or not subject to ERISA) and any vacation, paid time-off, retirement, layoff or severance plans, for all purposes, including determining eligibility to participate, level of benefits, vesting, benefit accruals and early retirement subsidies and any purposes as may be required under applicable Law, each Continuing Employee’s service with Seller and its Affiliates, including any Business Company (as well as service with any predecessor employer of any Business Company, to the extent service with the predecessor employer was recognized by the Business Company) shall be treated as service with Buyer or any of its Affiliates (including, following the Closing, the Business Companies); </w:t>
      </w:r>
      <w:r>
        <w:rPr>
          <w:rFonts w:ascii="Times New Roman" w:hAnsi="Times New Roman"/>
          <w:color w:val="000000"/>
          <w:sz w:val="20"/>
          <w:u w:val="single"/>
        </w:rPr>
        <w:t>provided</w:t>
      </w:r>
      <w:r>
        <w:rPr>
          <w:rFonts w:ascii="Times New Roman" w:hAnsi="Times New Roman"/>
          <w:color w:val="000000"/>
          <w:sz w:val="20"/>
        </w:rPr>
        <w:t xml:space="preserve"> that such service need not be recognized to the extent that such recognition would result in any duplication of benefits for the same period of service.</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(d)         </w:t>
      </w:r>
      <w:r>
        <w:rPr>
          <w:rFonts w:ascii="Times New Roman" w:hAnsi="Times New Roman"/>
          <w:color w:val="000000"/>
          <w:sz w:val="20"/>
          <w:u w:val="single"/>
        </w:rPr>
        <w:t>Health Coverage</w:t>
      </w:r>
      <w:r>
        <w:rPr>
          <w:rFonts w:ascii="Times New Roman" w:hAnsi="Times New Roman"/>
          <w:color w:val="000000"/>
          <w:sz w:val="20"/>
        </w:rPr>
        <w:t xml:space="preserve">. On the Closing Date, Buyer shall, or shall cause its applicable Affiliates (including, following the Closing, the Business Companies) to, provide the Continuing Employees (and his or her spouse or eligible dependent thereof) with welfare benefits under plans, programs and arrangements maintained, sponsored or contributed to by Buyer and its Affiliates that satisfy the standards set forth in </w:t>
      </w:r>
      <w:r>
        <w:rPr>
          <w:rFonts w:ascii="Times New Roman" w:hAnsi="Times New Roman"/>
          <w:color w:val="000000"/>
          <w:sz w:val="20"/>
          <w:u w:val="single"/>
        </w:rPr>
        <w:t>Section 5.06(b)</w:t>
      </w:r>
      <w:r>
        <w:rPr>
          <w:rFonts w:ascii="Times New Roman" w:hAnsi="Times New Roman"/>
          <w:color w:val="000000"/>
          <w:sz w:val="20"/>
        </w:rPr>
        <w:t xml:space="preserve"> and Buyer shall use commercially reasonable efforts to (i) waive, or shall cause its Affiliates, including the Business Companies, or insurance carriers to waive, any pre-existing condition limitation, exclusion, actively-at-work requirement and waiting period and (ii) recognize, or shall cause its Affiliates, including the Business Companies, to recognize, the dollar amount of all co-payments, deductibles, out-of-pocket expenses and similar expenses incurred by each Continuing Employee (and his or her spouse or eligible dependents) during the calendar year in which the Closing occurs for purposes of satisfying such year’s deductible and co-payment limitations under the relevant welfare benefit plans in which such Continuing Employee (and dependents) shall be eligible to participate from and after the Closing.</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(e)         </w:t>
      </w:r>
      <w:r>
        <w:rPr>
          <w:rFonts w:ascii="Times New Roman" w:hAnsi="Times New Roman"/>
          <w:color w:val="000000"/>
          <w:sz w:val="20"/>
          <w:u w:val="single"/>
        </w:rPr>
        <w:t>Severance</w:t>
      </w:r>
      <w:r>
        <w:rPr>
          <w:rFonts w:ascii="Times New Roman" w:hAnsi="Times New Roman"/>
          <w:color w:val="000000"/>
          <w:sz w:val="20"/>
        </w:rPr>
        <w:t xml:space="preserve">. Seller and Buyer intend that the transactions contemplated by this Agreement shall not constitute a severance or termination of employment of any Business Employee prior to or upon the Closing for purposes of any severance or termination benefit plan, program, policy, agreement or arrangement of Seller or any of its Affiliates, and that the Continuing Employees shall have continuous and uninterrupted employment immediately before and immediately after the Closing, and Buyer shall comply with any requirement under applicable Laws to ensure the same. The continuation of employment by Buyer or its Affiliates shall be on terms sufficient to avoid contractual, statutory or common law severance or separation benefits or any other legally mandated payment obligation, other than where such severance or obligation is automatic. Buyer shall be solely responsible for, and shall indemnify and hold harmless Seller from, all Liabilities that may result in respect of claims for statutory, contractual or common law severance or other separation benefits or other legally mandated payment obligations (including claims under applicable Law, or for wrongful dismissal, notice of termination of employment or pay in lieu of notice), together with the employer-paid portion of any employment or payroll Taxes related thereto, arising out of, relating to or in connection with (a) Buyer’s failure to offer (or cause to be offered) employment to any Business Employee who is not employed by any Business Company on terms consistent with this </w:t>
      </w:r>
      <w:r>
        <w:rPr>
          <w:rFonts w:ascii="Times New Roman" w:hAnsi="Times New Roman"/>
          <w:color w:val="000000"/>
          <w:sz w:val="20"/>
          <w:u w:val="single"/>
        </w:rPr>
        <w:t>Section 5.06</w:t>
      </w:r>
      <w:r>
        <w:rPr>
          <w:rFonts w:ascii="Times New Roman" w:hAnsi="Times New Roman"/>
          <w:color w:val="000000"/>
          <w:sz w:val="20"/>
        </w:rPr>
        <w:t xml:space="preserve"> and in accordance with applicable Law or (b) any termination of employment of any Continuing Employee by Buyer or its Affiliates after 12.01 a.m. on the Closing Date.</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(f)        </w:t>
      </w:r>
      <w:r>
        <w:rPr>
          <w:rFonts w:ascii="Times New Roman" w:hAnsi="Times New Roman"/>
          <w:color w:val="000000"/>
          <w:sz w:val="20"/>
          <w:u w:val="single"/>
        </w:rPr>
        <w:t>Vacation and Paid Time Off</w:t>
      </w:r>
      <w:r>
        <w:rPr>
          <w:rFonts w:ascii="Times New Roman" w:hAnsi="Times New Roman"/>
          <w:color w:val="000000"/>
          <w:sz w:val="20"/>
        </w:rPr>
        <w:t>. Effective as of the Closing Date, Buyer shall, or shall cause one of its Affiliates (including, following the Closing, the Business Companies) to, assume, retain and honor, as the case may be, all obligations of Seller and its Affiliates for the accrued, unused vacation and paid time off for the Continuing Employees to the extent not prohibited by applicable Law and allow each of the Continuing Employees to use such earned but unused vacation or annual leave days at such times as allowed under Buyer’s vacation or annual leave policies in effect on or following the Closing Date. To the extent that a Business Employee is entitled under any applicable Law or any policy of Seller to be paid for any vacation or paid time off accrued or earned but not yet taken by such Business Employee as of the Closing, Seller shall, or shall cause its Affiliates to, discharge the Liability for such vacation or annual leave days. Buyer shall, or shall cause its Affiliates, to provide each Continuing Employee with vacation and annual leave policies that are no less favorable to such Continuing Employee than such policies provided by Seller or an Affiliate, as applicable, immediately prior to the Closing for the Benefit Protection Period.</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(g)         </w:t>
      </w:r>
      <w:r>
        <w:rPr>
          <w:rFonts w:ascii="Times New Roman" w:hAnsi="Times New Roman"/>
          <w:color w:val="000000"/>
          <w:sz w:val="20"/>
          <w:u w:val="single"/>
        </w:rPr>
        <w:t>WARN Act and Other Notices</w:t>
      </w:r>
      <w:r>
        <w:rPr>
          <w:rFonts w:ascii="Times New Roman" w:hAnsi="Times New Roman"/>
          <w:color w:val="000000"/>
          <w:sz w:val="20"/>
        </w:rPr>
        <w:t>. Buyer shall not, and shall cause its Affiliates not to, take any action during the 90-day period following the Closing with respect to the Continuing Employees that would give rise to a “plant closing” or “mass layoff” or group termination under the Worker Adjustment and Retraining Notification Act (the “</w:t>
      </w:r>
      <w:r>
        <w:rPr>
          <w:rFonts w:ascii="Times New Roman" w:hAnsi="Times New Roman"/>
          <w:color w:val="000000"/>
          <w:sz w:val="20"/>
          <w:u w:val="single"/>
        </w:rPr>
        <w:t>WARN Act</w:t>
      </w:r>
      <w:r>
        <w:rPr>
          <w:rFonts w:ascii="Times New Roman" w:hAnsi="Times New Roman"/>
          <w:color w:val="000000"/>
          <w:sz w:val="20"/>
        </w:rPr>
        <w:t>”) or any similar federal, state or local Law of the US or any other similar applicable Law, whether standing alone or when aggregated with applicable pre-Closing employee layoffs. Buyer agrees to provide, or to cause its Affiliates to provide, any required notice under the WARN Act and any similar federal, state or local Law of the US or any other similar applicable Law and to otherwise comply with the WARN Act and such other Law with respect to any “plant closing” or “mass layoff” (as defined in the WARN Act) or group termination or similar event affecting Continuing Employees (including as a result of the consummation of the transactions contemplated by this Agreement) and occurring on or after the Closing. Buyer shall assume liability for, and fully indemnify and hold harmless Seller and its Affiliates with respect to, any Liability incurred by Buyer or any of its Affiliates pursuant to the WARN Act or any similar applicable Law in connection with any Business Employee, to the extent such liability arises from actions of Buyer or any of its Affiliates on or after the Closing, including with respect to the actions described in the immediately preceding sentences.</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(h)        </w:t>
      </w:r>
      <w:r>
        <w:rPr>
          <w:rFonts w:ascii="Times New Roman" w:hAnsi="Times New Roman"/>
          <w:color w:val="000000"/>
          <w:sz w:val="20"/>
          <w:u w:val="single"/>
        </w:rPr>
        <w:t>Defined Contribution / 401(k) Plan</w:t>
      </w:r>
      <w:r>
        <w:rPr>
          <w:rFonts w:ascii="Times New Roman" w:hAnsi="Times New Roman"/>
          <w:color w:val="000000"/>
          <w:sz w:val="20"/>
        </w:rPr>
        <w:t xml:space="preserve">. Without limiting the generality of </w:t>
      </w:r>
      <w:r>
        <w:rPr>
          <w:rFonts w:ascii="Times New Roman" w:hAnsi="Times New Roman"/>
          <w:color w:val="000000"/>
          <w:sz w:val="20"/>
          <w:u w:val="single"/>
        </w:rPr>
        <w:t>Section 5.06(b)</w:t>
      </w:r>
      <w:r>
        <w:rPr>
          <w:rFonts w:ascii="Times New Roman" w:hAnsi="Times New Roman"/>
          <w:color w:val="000000"/>
          <w:sz w:val="20"/>
        </w:rPr>
        <w:t>, effective as of the Closing, Buyer shall provide, or cause its Affiliates (including the Business Companies) to provide, each Continuing Employee with the opportunity to participate in a defined contribution retirement plan that includes a qualified cash or deferred arrangement intended to be qualified under Sections 401(a) and 401(k) of the Code (and a related trust exempt from tax under Section 501(a) of the Code) (or, for any Continuing Employee employed outside the United States, an applicable equivalent retirement or savings plan or arrangement) (each, a “</w:t>
      </w:r>
      <w:r>
        <w:rPr>
          <w:rFonts w:ascii="Times New Roman" w:hAnsi="Times New Roman"/>
          <w:color w:val="000000"/>
          <w:sz w:val="20"/>
          <w:u w:val="single"/>
        </w:rPr>
        <w:t>Buyer DC Plan</w:t>
      </w:r>
      <w:r>
        <w:rPr>
          <w:rFonts w:ascii="Times New Roman" w:hAnsi="Times New Roman"/>
          <w:color w:val="000000"/>
          <w:sz w:val="20"/>
        </w:rPr>
        <w:t>”), with employer contribution opportunities that are substantially comparable, in the aggregate, to those provided to similarly situated employees of Buyer and its Affiliates or, at Buyer’s election, to those provided to such Continuing Employee immediately prior to the Closing. Buyer shall cause the Buyer DC Plan to accept “eligible rollover contributions” within the meaning of Section 401(a)(31) of the Code of the account balances of the Continuing Employees (including direct rollovers of outstanding participant loans) from the corresponding defined contribution plan of Seller or its Affiliates (the “</w:t>
      </w:r>
      <w:r>
        <w:rPr>
          <w:rFonts w:ascii="Times New Roman" w:hAnsi="Times New Roman"/>
          <w:color w:val="000000"/>
          <w:sz w:val="20"/>
          <w:u w:val="single"/>
        </w:rPr>
        <w:t>Seller DC Plan</w:t>
      </w:r>
      <w:r>
        <w:rPr>
          <w:rFonts w:ascii="Times New Roman" w:hAnsi="Times New Roman"/>
          <w:color w:val="000000"/>
          <w:sz w:val="20"/>
        </w:rPr>
        <w:t>”) in respect of Continuing Employees who elect to make such rollovers, in accordance with applicable Law. Each Party shall make all filings and take any actions required of such party under applicable Law in connection therewith. Following such transfer of account balances, Seller shall have no liability for any costs, expenses or damages that may result from any claim for any benefit alleged to be payable under the Seller DC Plan with respect to Continuing Employees and their beneficiaries who have transferred their account balances from the Seller DC Plan to the Buyer DC Plan.</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(i)         </w:t>
      </w:r>
      <w:r>
        <w:rPr>
          <w:rFonts w:ascii="Times New Roman" w:hAnsi="Times New Roman"/>
          <w:color w:val="000000"/>
          <w:sz w:val="20"/>
          <w:u w:val="single"/>
        </w:rPr>
        <w:t>Flexible Spending Accounts</w:t>
      </w:r>
      <w:r>
        <w:rPr>
          <w:rFonts w:ascii="Times New Roman" w:hAnsi="Times New Roman"/>
          <w:color w:val="000000"/>
          <w:sz w:val="20"/>
        </w:rPr>
        <w:t>. Effective as of the Closing, Buyer shall, or shall cause one of its Affiliates (including, following the Closing, the Business Companies) to, establish flexible spending reimbursement accounts for medical and dependent care expenses under a cafeteria plan qualifying under Section 125 of the Code (the “</w:t>
      </w:r>
      <w:r>
        <w:rPr>
          <w:rFonts w:ascii="Times New Roman" w:hAnsi="Times New Roman"/>
          <w:color w:val="000000"/>
          <w:sz w:val="20"/>
          <w:u w:val="single"/>
        </w:rPr>
        <w:t>Buyer’s Cafeteria Plan</w:t>
      </w:r>
      <w:r>
        <w:rPr>
          <w:rFonts w:ascii="Times New Roman" w:hAnsi="Times New Roman"/>
          <w:color w:val="000000"/>
          <w:sz w:val="20"/>
        </w:rPr>
        <w:t>”) that provide benefits to Continuing Employees that are no less favorable in all material respects than those provided by the flexible spending reimbursement accounts for such expenses under the cafeteria plan in which Continuing Employees participate immediately prior to the Closing (the “</w:t>
      </w:r>
      <w:r>
        <w:rPr>
          <w:rFonts w:ascii="Times New Roman" w:hAnsi="Times New Roman"/>
          <w:color w:val="000000"/>
          <w:sz w:val="20"/>
          <w:u w:val="single"/>
        </w:rPr>
        <w:t>Seller’s Cafeteria Plan</w:t>
      </w:r>
      <w:r>
        <w:rPr>
          <w:rFonts w:ascii="Times New Roman" w:hAnsi="Times New Roman"/>
          <w:color w:val="000000"/>
          <w:sz w:val="20"/>
        </w:rPr>
        <w:t>”). Buyer agrees to cause the Buyer’s Cafeteria Plan to accept a spin-off of the flexible spending reimbursement accounts of the Continuing Employees from the Seller’s Cafeteria Plan and to honor and continue through the end of the calendar year in which the Closing Date occurs the elections made by each Continuing Employee under Seller’s Cafeteria Plan in respect of the flexible spending reimbursement accounts that are in effect immediately prior to the Closing. Buyer shall credit or debit, as applicable, effective as of the Closing Date, the applicable account of each Continuing Employee under Buyer’s Cafeteria Plan with an amount equal to the balance of such Continuing Employee’s account under Seller’s Cafeteria Plan as of immediately prior to the Closing Date. As soon as practicable following the Closing Date, Seller shall cause to be transferred from Seller’s Cafeteria Plan to the Buyer’s Cafeteria Plan the excess, if any, of the aggregate accumulated contributions to the flexible spending reimbursement accounts made prior to the Closing during the year in which the Closing Date occurs by Continuing Employees over the aggregate reimbursement payouts made prior to the Closing for such year from such accounts to the Continuing Employees. If the aggregate reimbursement payouts from the flexible spending reimbursement accounts made prior to the Closing during the year in which the Closing Date occurs made to Continuing Employees exceed the aggregate accumulated contributions to such accounts prior to the Closing for such year by the Continuing Employees, Buyer shall cause such excess to be transferred to Seller as soon as practicable following the Closing Date. From and after the Closing, Buyer shall assume and be solely responsible for all claims by Continuing Employees under Seller’s Cafeteria Plan whether incurred prior to, on or after the Closing Date, that have not been paid in full as of the Closing.</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(j)          </w:t>
      </w:r>
      <w:r>
        <w:rPr>
          <w:rFonts w:ascii="Times New Roman" w:hAnsi="Times New Roman"/>
          <w:color w:val="000000"/>
          <w:sz w:val="20"/>
          <w:u w:val="single"/>
        </w:rPr>
        <w:t>Communication</w:t>
      </w:r>
      <w:r>
        <w:rPr>
          <w:rFonts w:ascii="Times New Roman" w:hAnsi="Times New Roman"/>
          <w:color w:val="000000"/>
          <w:sz w:val="20"/>
        </w:rPr>
        <w:t xml:space="preserve">. Any broad-based employee notices or communication materials (including website postings) proposed to be delivered by Buyer to the Business Employees before the Closing Date regarding the matters contained in or the transactions contemplated by this Agreement or otherwise respecting any change or potential change in employee benefit plans, practices or procedures that may or will occur in connection with the transactions contemplated by this Agreement shall be subject to the prior approval of Seller (such approval not to be unreasonably withheld, conditioned or delayed). No prior approval of Seller shall be required with respect to the terms of any individual offers of employment, individual retention or equity incentive awards, or other individual communications to be delivered by Buyer regarding integration, onboarding or benefits enrolment in accordance with the offers extended pursuant to this </w:t>
      </w:r>
      <w:r>
        <w:rPr>
          <w:rFonts w:ascii="Times New Roman" w:hAnsi="Times New Roman"/>
          <w:color w:val="000000"/>
          <w:sz w:val="20"/>
          <w:u w:val="single"/>
        </w:rPr>
        <w:t>Section 5.06</w:t>
      </w:r>
      <w:r>
        <w:rPr>
          <w:rFonts w:ascii="Times New Roman" w:hAnsi="Times New Roman"/>
          <w:color w:val="000000"/>
          <w:sz w:val="20"/>
        </w:rPr>
        <w:t>; provided that the time, manner and process for Buyer’s delivery of such offers and related communications shall be subject to prior good faith consultation with Seller.</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(k)         </w:t>
      </w:r>
      <w:r>
        <w:rPr>
          <w:rFonts w:ascii="Times New Roman" w:hAnsi="Times New Roman"/>
          <w:color w:val="000000"/>
          <w:sz w:val="20"/>
          <w:u w:val="single"/>
        </w:rPr>
        <w:t>Visas; Work Permits</w:t>
      </w:r>
      <w:r>
        <w:rPr>
          <w:rFonts w:ascii="Times New Roman" w:hAnsi="Times New Roman"/>
          <w:color w:val="000000"/>
          <w:sz w:val="20"/>
        </w:rPr>
        <w:t>. If any Continuing Employee requires a visa, work permit or employment pass or other approval for his or her employment to transfer to or continue with Buyer or its Affiliates following the Closing, Buyer shall use its reasonable efforts to see that any necessary applications are promptly made and to secure the necessary visa, permit, pass or other approval effective as of the Closing, and Seller shall provide such assistance as reasonably requested by Buyer in connection therewith.</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(l)          </w:t>
      </w:r>
      <w:r>
        <w:rPr>
          <w:rFonts w:ascii="Times New Roman" w:hAnsi="Times New Roman"/>
          <w:color w:val="000000"/>
          <w:sz w:val="20"/>
          <w:u w:val="single"/>
        </w:rPr>
        <w:t>Benefit Plans</w:t>
      </w:r>
      <w:r>
        <w:rPr>
          <w:rFonts w:ascii="Times New Roman" w:hAnsi="Times New Roman"/>
          <w:color w:val="000000"/>
          <w:sz w:val="20"/>
        </w:rPr>
        <w:t xml:space="preserve">. Effective as of the Closing Date, Seller shall cause (i) the Business Companies to cease being a participating employer with respect to the Benefit Plans that are not Company Benefit Plans and (ii) the Continuing Employees to cease all active participation in and accrual of benefits under the Benefit Plans that are not Company Benefit Plans; </w:t>
      </w:r>
      <w:r>
        <w:rPr>
          <w:rFonts w:ascii="Times New Roman" w:hAnsi="Times New Roman"/>
          <w:color w:val="000000"/>
          <w:sz w:val="20"/>
          <w:u w:val="single"/>
        </w:rPr>
        <w:t>provided</w:t>
      </w:r>
      <w:r>
        <w:rPr>
          <w:rFonts w:ascii="Times New Roman" w:hAnsi="Times New Roman"/>
          <w:color w:val="000000"/>
          <w:sz w:val="20"/>
        </w:rPr>
        <w:t xml:space="preserve"> that the Continuing Employees and their eligible dependents may continue to participate in such Benefit Plans as terminated but vested employees (or eligible dependents thereof) in accordance with, and subject to their eligibility under, the terms of such Benefit Plans. Seller or its Affiliates shall retain sponsorship of, and shall retain all Liabilities under, such Benefit Plans that are not Company Benefit Plans, whether arising before, on or after the Closing, and Buyer and its Affiliates shall not assume sponsorship of, contribute to or maintain or have any Liability with respect to, such Benefit Plans. Effective as of the Closing Date, Buyer or its Affiliates (including the Business Companies) shall assume or retain, as applicable, sponsorship of, and shall retain all Liabilities under the Company Benefit Plans, whether arising before, on or after the Closing, and Seller and its Affiliates shall not assume or retain sponsorship of, contribute to or maintain or have any Liability with respect to, the Company Benefit Plans.</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(m)        </w:t>
      </w:r>
      <w:r>
        <w:rPr>
          <w:rFonts w:ascii="Times New Roman" w:hAnsi="Times New Roman"/>
          <w:color w:val="000000"/>
          <w:sz w:val="20"/>
          <w:u w:val="single"/>
        </w:rPr>
        <w:t>Employment Liabilities</w:t>
      </w:r>
      <w:r>
        <w:rPr>
          <w:rFonts w:ascii="Times New Roman" w:hAnsi="Times New Roman"/>
          <w:color w:val="000000"/>
          <w:sz w:val="20"/>
        </w:rPr>
        <w:t xml:space="preserve">. Except as otherwise provided in this Agreement, as of the Closing Date, Buyer shall, or shall cause one of its Affiliates (including the Business Companies following the Closing) to, assume or retain, perform, fulfill and discharge, in due course in full and be solely responsible for, as the case may be, any and all Liabilities (contingent or otherwise) relating to, arising out of, or resulting from the employment or services, or termination of employment or services, whether arising before, on or after the Closing Date, of any Continuing Employees or other individual consultants or other individual service providers of the Business who continue providing services to Buyer or its Affiliates (including the Business Companies) following the Closing; provided that, notwithstanding the foregoing, Buyer shall be entitled to seek indemnification pursuant to </w:t>
      </w:r>
      <w:r>
        <w:rPr>
          <w:rFonts w:ascii="Times New Roman" w:hAnsi="Times New Roman"/>
          <w:color w:val="000000"/>
          <w:sz w:val="20"/>
          <w:u w:val="single"/>
        </w:rPr>
        <w:t>Section 8.02(a)(v)</w:t>
      </w:r>
      <w:r>
        <w:rPr>
          <w:rFonts w:ascii="Times New Roman" w:hAnsi="Times New Roman"/>
          <w:color w:val="000000"/>
          <w:sz w:val="20"/>
        </w:rPr>
        <w:t xml:space="preserve"> in respect of any such Liabilities that arise prior to the Closing Date (the “</w:t>
      </w:r>
      <w:r>
        <w:rPr>
          <w:rFonts w:ascii="Times New Roman" w:hAnsi="Times New Roman"/>
          <w:color w:val="000000"/>
          <w:sz w:val="20"/>
          <w:u w:val="single"/>
        </w:rPr>
        <w:t>Pre-Closing Employment Liabilities</w:t>
      </w:r>
      <w:r>
        <w:rPr>
          <w:rFonts w:ascii="Times New Roman" w:hAnsi="Times New Roman"/>
          <w:color w:val="000000"/>
          <w:sz w:val="20"/>
        </w:rPr>
        <w:t xml:space="preserve">”). Seller shall, or shall cause one of its Affiliates (excluding the Business Companies following the Closing) to, assume or retain, perform, fulfill and discharge, in due course in full and be solely responsible for, as the case may be, any and all Liabilities (contingent or otherwise) relating to, arising out of, or resulting from the employment or services, or termination of employment or services, whether arising before, on or after the Closing Date, of any current or former employees, individual consultant or other individual service providers of Seller or its Affiliates, in each case, who are not Continuing Employees or, in the case of individual consultants and other individual service providers, who do not continue providing services to Buyer or its Affiliates (including the Business Companies) following the Closing, other than with respect to severance and related Liabilities that Buyer is responsible for pursuant to </w:t>
      </w:r>
      <w:r>
        <w:rPr>
          <w:rFonts w:ascii="Times New Roman" w:hAnsi="Times New Roman"/>
          <w:color w:val="000000"/>
          <w:sz w:val="20"/>
          <w:u w:val="single"/>
        </w:rPr>
        <w:t>Section 5.06(e)</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(n)        </w:t>
      </w:r>
      <w:r>
        <w:rPr>
          <w:rFonts w:ascii="Times New Roman" w:hAnsi="Times New Roman"/>
          <w:color w:val="000000"/>
          <w:sz w:val="20"/>
          <w:u w:val="single"/>
        </w:rPr>
        <w:t>Personal Employee Information</w:t>
      </w:r>
      <w:r>
        <w:rPr>
          <w:rFonts w:ascii="Times New Roman" w:hAnsi="Times New Roman"/>
          <w:color w:val="000000"/>
          <w:sz w:val="20"/>
        </w:rPr>
        <w:t>. Seller and Buyer acknowledge that the disclosure and use of personal information in respect of Business Employees in connection with the transactions contemplated hereby is made in reliance on Section 7.2 of the Personal Information Protection and Electronic Documents Act (Canada) and any analogous provincial Law. Each Party shall collect, use, and disclose (as applicable) such personal information solely for purposes of investigating the Business and completing the transactions contemplated hereby, shall protect it by security safeguards appropriate to its sensitivity, and shall maintain at all times the security and integrity of the personal information. If the transactions contemplated by this Agreement are not completed for any reason, Buyer and its Affiliates shall not make any copies of the personal information or any excerpts thereof, or in any way re-create the substance or contents of the personal information, and shall return or destroy all personal information at Seller’s request. Buyer shall, within a reasonable time after the Closing, notify the individuals to whom such personal information relates that the transaction has been completed and that their personal information has been disclosed to Buyer or its Affiliates.</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(o)         </w:t>
      </w:r>
      <w:r>
        <w:rPr>
          <w:rFonts w:ascii="Times New Roman" w:hAnsi="Times New Roman"/>
          <w:color w:val="000000"/>
          <w:sz w:val="20"/>
          <w:u w:val="single"/>
        </w:rPr>
        <w:t>Retention</w:t>
      </w:r>
      <w:r>
        <w:rPr>
          <w:rFonts w:ascii="Times New Roman" w:hAnsi="Times New Roman"/>
          <w:color w:val="000000"/>
          <w:sz w:val="20"/>
        </w:rPr>
        <w:t xml:space="preserve">. During the Pre-Closing Period, Seller shall not, without Buyer’s prior written consent, terminate the employment of any Business Employee other than for cause. Without limiting the terms of </w:t>
      </w:r>
      <w:r>
        <w:rPr>
          <w:rFonts w:ascii="Times New Roman" w:hAnsi="Times New Roman"/>
          <w:color w:val="000000"/>
          <w:sz w:val="20"/>
          <w:u w:val="single"/>
        </w:rPr>
        <w:t>Section 5.06(j)</w:t>
      </w:r>
      <w:r>
        <w:rPr>
          <w:rFonts w:ascii="Times New Roman" w:hAnsi="Times New Roman"/>
          <w:color w:val="000000"/>
          <w:sz w:val="20"/>
        </w:rPr>
        <w:t>, Buyer shall be entitled to communicate directly with, and to offer retention bonuses or future equity incentives to, any Business Employee, subject to prior good faith consultation with Seller in respect of time, manner and process of Buyer’s delivery of such offers and related communications (it being understood that the specific terms or amounts of the retention bonuses or equity incentives are not subject to consultation with Seller), and Seller shall not discourage or impede any such offers.</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(p)        </w:t>
      </w:r>
      <w:r>
        <w:rPr>
          <w:rFonts w:ascii="Times New Roman" w:hAnsi="Times New Roman"/>
          <w:color w:val="000000"/>
          <w:sz w:val="20"/>
          <w:u w:val="single"/>
        </w:rPr>
        <w:t>No Third Party Beneficiaries; No Guarantee of Employment</w:t>
      </w:r>
      <w:r>
        <w:rPr>
          <w:rFonts w:ascii="Times New Roman" w:hAnsi="Times New Roman"/>
          <w:color w:val="000000"/>
          <w:sz w:val="20"/>
        </w:rPr>
        <w:t>. Notwithstanding anything to the contrary in the foregoing, nothing contained herein, whether expressed or implied, (i) shall be treated as an establishment, amendment of or an undertaking to amend or modify any Benefit Plan; (ii) is intended to confer any third-party right, benefit, remedy, obligation or Liability hereunder upon any Person (including any director, manager, officer or employee and any dependent or beneficiary thereof) other than the Parties hereto and their respective successors and assigns; or (iii) is intended to confer upon any Continuing Employee any right to continued employment or service with Buyer or any of its Affiliates (including any Business Company).</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5.07        </w:t>
      </w:r>
      <w:r>
        <w:rPr>
          <w:rFonts w:ascii="Times New Roman" w:hAnsi="Times New Roman"/>
          <w:color w:val="000000"/>
          <w:sz w:val="20"/>
          <w:u w:val="single"/>
        </w:rPr>
        <w:t>Tax Matters</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w:t>
      </w:r>
      <w:r>
        <w:rPr>
          <w:rFonts w:ascii="Times New Roman" w:hAnsi="Times New Roman"/>
          <w:color w:val="000000"/>
          <w:sz w:val="20"/>
          <w:u w:val="single"/>
        </w:rPr>
        <w:t>Tax Returns</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(i)         Except as provided in </w:t>
      </w:r>
      <w:r>
        <w:rPr>
          <w:rFonts w:ascii="Times New Roman" w:hAnsi="Times New Roman"/>
          <w:color w:val="000000"/>
          <w:sz w:val="20"/>
          <w:u w:val="single"/>
        </w:rPr>
        <w:t>Section 5.07(b)</w:t>
      </w:r>
      <w:r>
        <w:rPr>
          <w:rFonts w:ascii="Times New Roman" w:hAnsi="Times New Roman"/>
          <w:color w:val="000000"/>
          <w:sz w:val="20"/>
        </w:rPr>
        <w:t xml:space="preserve"> with respect to Transfer Taxes, Seller shall prepare or cause to be prepared all Tax Returns of the Business Companies for Pre-Closing Tax Periods (other than a Straddle Period) required to be filed on or before the Closing Date (taking into account any automatically available extensions of time to file) (a “Seller Return”). Such Seller Returns shall be prepared in a manner consistent with past practice, unless otherwise required by applicable Law. Seller shall provide a copy of such Seller Return no less than ten days prior to the due date thereof for Buyer’s review and approval (such approval not to be unreasonably withheld, conditioned or delayed).</w:t>
      </w:r>
    </w:p>
    <w:p>
      <w:pPr>
        <w:pStyle w:val="TextBody"/>
        <w:bidi w:val="0"/>
        <w:spacing w:before="0" w:after="0"/>
        <w:jc w:val="left"/>
        <w:rPr>
          <w:sz w:val="20"/>
        </w:rPr>
      </w:pPr>
      <w:r>
        <w:rPr>
          <w:sz w:val="20"/>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(ii)       Buyer shall prepare or cause to be prepared, and file or cause to be filed, all other Tax Returns of the Business Companies for any Pre-Closing Tax Period (including any Straddle Periods), other than Seller Returns. All such Tax Returns with respect to a tax period ending on or before the Closing Date shall be prepared in a manner consistent with past practice, unless otherwise required by applicable Law. Buyer shall provide a copy of such Tax Return relating to the Pre-Closing Tax Period or Straddle Period to Seller no less than ten days prior to the due date thereof for Seller’s review and approval (such approval not to be unreasonably withheld, conditioned or delayed).</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w:t>
      </w:r>
      <w:r>
        <w:rPr>
          <w:rFonts w:ascii="Times New Roman" w:hAnsi="Times New Roman"/>
          <w:color w:val="000000"/>
          <w:sz w:val="20"/>
          <w:u w:val="single"/>
        </w:rPr>
        <w:t>Transfer Taxes</w:t>
      </w:r>
      <w:r>
        <w:rPr>
          <w:rFonts w:ascii="Times New Roman" w:hAnsi="Times New Roman"/>
          <w:color w:val="000000"/>
          <w:sz w:val="20"/>
        </w:rPr>
        <w:t>. Buyer and Seller shall each be liable for and pay one-half of any and all Transfer Taxes, and shall share equally all costs and expenses relating to preparing, executing and filing Tax Returns with respect to such Transfer Taxes; provided that if Seller is required under applicable Law to pay any such Transfer Taxes, Seller shall pay such Transfer Taxes and Buyer shall promptly reimburse Seller for such payment in accordance with the preceding sentence. The Parties will use commercially reasonable efforts to cooperate and timely prepare any Tax Returns relating to such Transfer Taxes, including any claim for exemption or exclusion from the application or imposition of any Transfer Taxes. Unless otherwise required by applicable Law, Buyer will prepare and timely file all Tax Returns with respect to Transfer Taxes. Seller or any of its Affiliates will file any other Tax Return with respect to Transfer Taxes required to be filed by Seller or any of its Affiliates. The Party that files such Tax Return shall furnish to the other Party a copy of any such Tax Return and a copy of a receipt showing payment of any such Transfer Taxes within ten (10) Business Days of availability of such receipt.</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w:t>
      </w:r>
      <w:r>
        <w:rPr>
          <w:rFonts w:ascii="Times New Roman" w:hAnsi="Times New Roman"/>
          <w:color w:val="000000"/>
          <w:sz w:val="20"/>
          <w:u w:val="single"/>
        </w:rPr>
        <w:t>Cooperation</w:t>
      </w:r>
      <w:r>
        <w:rPr>
          <w:rFonts w:ascii="Times New Roman" w:hAnsi="Times New Roman"/>
          <w:color w:val="000000"/>
          <w:sz w:val="20"/>
        </w:rPr>
        <w:t xml:space="preserve">. Seller and Buyer agree to furnish or cause their Affiliates to furnish, to each other, upon request and at the sole cost of the requesting party, as promptly as reasonably practicable, such information and assistance relating to the Transferred Assets as is reasonably necessary for the filing of all Tax Returns and other Tax filings contemplated by this Agreement, the preparation for any audit or Tax proceeding by any Governmental Authority and the defense of any Tax claim relating to the Transferred Assets; </w:t>
      </w:r>
      <w:r>
        <w:rPr>
          <w:rFonts w:ascii="Times New Roman" w:hAnsi="Times New Roman"/>
          <w:color w:val="000000"/>
          <w:sz w:val="20"/>
          <w:u w:val="single"/>
        </w:rPr>
        <w:t>provided</w:t>
      </w:r>
      <w:r>
        <w:rPr>
          <w:rFonts w:ascii="Times New Roman" w:hAnsi="Times New Roman"/>
          <w:color w:val="000000"/>
          <w:sz w:val="20"/>
        </w:rPr>
        <w:t xml:space="preserve"> that in no event shall Seller be required to provide any Person with any Consolidated Tax Return and neither Buyer nor any of its Affiliates shall have any rights with respect to any Tax proceeding involving a Seller Consolidated Group.</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(d)         </w:t>
      </w:r>
      <w:r>
        <w:rPr>
          <w:rFonts w:ascii="Times New Roman" w:hAnsi="Times New Roman"/>
          <w:color w:val="000000"/>
          <w:sz w:val="20"/>
          <w:u w:val="single"/>
        </w:rPr>
        <w:t>Limitations on Actions</w:t>
      </w:r>
      <w:r>
        <w:rPr>
          <w:rFonts w:ascii="Times New Roman" w:hAnsi="Times New Roman"/>
          <w:color w:val="000000"/>
          <w:sz w:val="20"/>
        </w:rPr>
        <w:t>. Without the prior written consent of Seller, following the Closing, none of Buyer, the Transferred Companies or any of their Affiliates shall (i) amend, refile, revoke or otherwise modify (or cause any of their respective Affiliates to amend, refile, revoke or otherwise modify) any Tax Return of any Business Company with respect to any Pre-Closing Tax Period or Straddle Period; (ii) make, revoke or amend any election relating to Taxes with respect or relating to a Pre-Closing Tax Period or Straddle Period, including making any election under Section 336 or Section 338 of the Code; or (iii) take any action on the Closing Date after the Closing that could result in any increase in Tax Liability (or a reduction in a Tax refund or Tax attribute) in respect of a Pre</w:t>
        <w:noBreakHyphen/>
        <w:t>Closing Tax Period or Straddle Period of Seller (or its Affiliates), the Business Companies or their respective Subsidiaries.</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(e)          </w:t>
      </w:r>
      <w:r>
        <w:rPr>
          <w:rFonts w:ascii="Times New Roman" w:hAnsi="Times New Roman"/>
          <w:color w:val="000000"/>
          <w:sz w:val="20"/>
          <w:u w:val="single"/>
        </w:rPr>
        <w:t>Close of Taxable Year</w:t>
      </w:r>
      <w:r>
        <w:rPr>
          <w:rFonts w:ascii="Times New Roman" w:hAnsi="Times New Roman"/>
          <w:color w:val="000000"/>
          <w:sz w:val="20"/>
        </w:rPr>
        <w:t>. The Parties shall, to the extent permitted or required under applicable Law, treat the Closing Date as the last day of the taxable period of the Business Companies for all Tax purposes. The Parties agree that, to the extent permitted under applicable Law, any transactions outside the ordinary course of business on the Closing Date, but after the Closing shall be allocated to Buyer under the “next day” rule of Treasury Regulations Section 1.1502-76(b)(1)(ii)(B) (or any similar, or analogous rule under state, local or foreign Tax Law that would allocate such items to Buyer). With respect to any Business Company that is a controlled foreign corporation for U.S. federal income tax purposes, Seller shall be entitled to make an election under Treasury Regulation Section 1.245A-5(e)(3)(i) to close the taxable year of such entity as of the Closing Date for U.S. federal income tax purposes (and any comparable provisions of applicable state, local or non-US Tax Law) (the “</w:t>
      </w:r>
      <w:r>
        <w:rPr>
          <w:rFonts w:ascii="Times New Roman" w:hAnsi="Times New Roman"/>
          <w:color w:val="000000"/>
          <w:sz w:val="20"/>
          <w:u w:val="single"/>
        </w:rPr>
        <w:t>245A Election</w:t>
      </w:r>
      <w:r>
        <w:rPr>
          <w:rFonts w:ascii="Times New Roman" w:hAnsi="Times New Roman"/>
          <w:color w:val="000000"/>
          <w:sz w:val="20"/>
        </w:rPr>
        <w:t xml:space="preserve">”). If requested by Seller, Buyer shall cooperate to take all actions necessary and appropriate (including entering into any agreements and filing such additional forms, returns or other documents as may be required) to effect and preserve the 245A Election in accordance with the provisions of Treasury Regulation Section 1.245A-5(e)(3)(i) (or any comparable provisions of state or local Tax Law). Buyer and Seller further agree to file all Tax Returns and any other filings in a manner consistent with this </w:t>
      </w:r>
      <w:r>
        <w:rPr>
          <w:rFonts w:ascii="Times New Roman" w:hAnsi="Times New Roman"/>
          <w:color w:val="000000"/>
          <w:sz w:val="20"/>
          <w:u w:val="single"/>
        </w:rPr>
        <w:t>Section 5.07(e)</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(f)        </w:t>
      </w:r>
      <w:r>
        <w:rPr>
          <w:rFonts w:ascii="Times New Roman" w:hAnsi="Times New Roman"/>
          <w:color w:val="000000"/>
          <w:sz w:val="20"/>
          <w:u w:val="single"/>
        </w:rPr>
        <w:t>Straddle Periods</w:t>
      </w:r>
      <w:r>
        <w:rPr>
          <w:rFonts w:ascii="Times New Roman" w:hAnsi="Times New Roman"/>
          <w:color w:val="000000"/>
          <w:sz w:val="20"/>
        </w:rPr>
        <w:t>. The amount of Taxes (and any refund of or credit for such Taxes) allocable to either a pre-Closing or post-Closing portion of any Straddle Period shall equal: (a) for any real, personal and intangible property Taxes (and any refund of or credit for such Taxes), the amount of such Taxes for the entire Straddle Period multiplied by a fraction, the denominator of which is the total number of days in the Straddle Period, and the numerator being either (i) the number of days during the Straddle Period that are prior to the Closing Date (for the pre-Closing portion), or (ii) the number of days during the Straddle Period that include and follow the Closing Date (for the post-Closing portion); and (b) for all other Taxes, determined on a closing of the books basis, effective as of the end of the day on the Closing Date.</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(g)         </w:t>
      </w:r>
      <w:r>
        <w:rPr>
          <w:rFonts w:ascii="Times New Roman" w:hAnsi="Times New Roman"/>
          <w:color w:val="000000"/>
          <w:sz w:val="20"/>
          <w:u w:val="single"/>
        </w:rPr>
        <w:t>Closing Structure</w:t>
      </w:r>
      <w:r>
        <w:rPr>
          <w:rFonts w:ascii="Times New Roman" w:hAnsi="Times New Roman"/>
          <w:color w:val="000000"/>
          <w:sz w:val="20"/>
        </w:rPr>
        <w:t>. Prior to the Closing, Seller may, and may cause its Affiliates (including the Business Companies), to take actions to effect the transfer (which transfer shall be effected in such manner as Seller may determine, directly or indirectly, by way of distribution, sale or otherwise) of any stock, assets, cash, employees or other interests held by (or in) any Seller Entity or Business Company, as the case may be, in furtherance of the consummation of the transactions contemplated by this Agreement.</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(h)        </w:t>
      </w:r>
      <w:r>
        <w:rPr>
          <w:rFonts w:ascii="Times New Roman" w:hAnsi="Times New Roman"/>
          <w:color w:val="000000"/>
          <w:sz w:val="20"/>
          <w:u w:val="single"/>
        </w:rPr>
        <w:t>Withholding Taxes</w:t>
      </w:r>
      <w:r>
        <w:rPr>
          <w:rFonts w:ascii="Times New Roman" w:hAnsi="Times New Roman"/>
          <w:color w:val="000000"/>
          <w:sz w:val="20"/>
        </w:rPr>
        <w:t>. Each Party is permitted to deduct and withhold Taxes from all amounts payable hereunder as required under applicable Law; provided, that if Buyer intends to deduct and withhold any such amounts, it shall promptly notify Seller in writing of its intention to deduct and withhold such amounts and the reason therefore at least ten (10) days prior to effecting any such withholding, with a reasonably detailed description of the basis for such deduction and withholding and each Party shall use commercially reasonable efforts to minimize such withholding or deduction. To the extent that any such required notice is timely provided to Seller and amounts are so withheld and timely paid over to the appropriate Governmental Authority, such withheld amounts shall be treated for all purposes of this Agreement as having been paid to Seller in respect of which such deduction and withholding was made.</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(i)         </w:t>
      </w:r>
      <w:r>
        <w:rPr>
          <w:rFonts w:ascii="Times New Roman" w:hAnsi="Times New Roman"/>
          <w:color w:val="000000"/>
          <w:sz w:val="20"/>
          <w:u w:val="single"/>
        </w:rPr>
        <w:t>Tax Characterization of Adjustments</w:t>
      </w:r>
      <w:r>
        <w:rPr>
          <w:rFonts w:ascii="Times New Roman" w:hAnsi="Times New Roman"/>
          <w:color w:val="000000"/>
          <w:sz w:val="20"/>
        </w:rPr>
        <w:t>. Seller and Buyer agree to treat all payments made either to or for the benefit of the other following the Closing (including any payments made under any indemnity provisions of this Agreement), as adjustments to the Purchase Price for all Tax purposes, except as otherwise required by applicable Law.</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5.08        </w:t>
      </w:r>
      <w:r>
        <w:rPr>
          <w:rFonts w:ascii="Times New Roman" w:hAnsi="Times New Roman"/>
          <w:color w:val="000000"/>
          <w:sz w:val="20"/>
          <w:u w:val="single"/>
        </w:rPr>
        <w:t>R&amp;W Policy</w:t>
      </w:r>
      <w:r>
        <w:rPr>
          <w:rFonts w:ascii="Times New Roman" w:hAnsi="Times New Roman"/>
          <w:color w:val="000000"/>
          <w:sz w:val="20"/>
        </w:rPr>
        <w:t>. In the event that Buyer or any of its Affiliates obtains a representation and warranty policy in connection with this Agreement (a “</w:t>
      </w:r>
      <w:r>
        <w:rPr>
          <w:rFonts w:ascii="Times New Roman" w:hAnsi="Times New Roman"/>
          <w:color w:val="000000"/>
          <w:sz w:val="20"/>
          <w:u w:val="single"/>
        </w:rPr>
        <w:t>R&amp;W Policy</w:t>
      </w:r>
      <w:r>
        <w:rPr>
          <w:rFonts w:ascii="Times New Roman" w:hAnsi="Times New Roman"/>
          <w:color w:val="000000"/>
          <w:sz w:val="20"/>
        </w:rPr>
        <w:t xml:space="preserve">”) (a) Buyer and its Affiliates shall ensure that any such R&amp;W Policy shall provide that the insurer may not seek to enforce any subrogation right the insurer might have against Seller, its Affiliates or any of their respective Representatives, based upon, arising out of or related to this Agreement, or the negotiation, execution or performance of this Agreement, other than in the case of Fraud and (b) neither Buyer nor any of its Affiliates shall enter into any R&amp;W Policy that is inconsistent with the foregoing requirements. Buyer and its Affiliates shall not amend, waive or otherwise modify any R&amp;W Policy in any manner that would allow the insurer thereunder or any other Person to subrogate or otherwise make or bring any Action against Seller, its Affiliates or any of their respective Representatives, based upon, arising out of or related to this Agreement, or the negotiation, execution or performance of this Agreement, other than in the case of Fraud. Each of Buyer and Seller shall be responsible for 50% of the retention and premiums under any R&amp;W Policy; </w:t>
      </w:r>
      <w:r>
        <w:rPr>
          <w:rFonts w:ascii="Times New Roman" w:hAnsi="Times New Roman"/>
          <w:color w:val="000000"/>
          <w:sz w:val="20"/>
          <w:u w:val="single"/>
        </w:rPr>
        <w:t>provided</w:t>
      </w:r>
      <w:r>
        <w:rPr>
          <w:rFonts w:ascii="Times New Roman" w:hAnsi="Times New Roman"/>
          <w:color w:val="000000"/>
          <w:sz w:val="20"/>
        </w:rPr>
        <w:t xml:space="preserve"> that Buyer shall be responsible for all taxes, expenses and other costs of any nature whatsoever (other than the retention and premiums, which shall be shared as set forth above).</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5.09       </w:t>
      </w:r>
      <w:r>
        <w:rPr>
          <w:rFonts w:ascii="Times New Roman" w:hAnsi="Times New Roman"/>
          <w:color w:val="000000"/>
          <w:sz w:val="20"/>
          <w:u w:val="single"/>
        </w:rPr>
        <w:t>Retained Name Rights</w:t>
      </w:r>
      <w:r>
        <w:rPr>
          <w:rFonts w:ascii="Times New Roman" w:hAnsi="Times New Roman"/>
          <w:color w:val="000000"/>
          <w:sz w:val="20"/>
        </w:rPr>
        <w:t xml:space="preserve">. Buyer acknowledges and agrees that, notwithstanding the transfer of the Shares as set forth in </w:t>
      </w:r>
      <w:r>
        <w:rPr>
          <w:rFonts w:ascii="Times New Roman" w:hAnsi="Times New Roman"/>
          <w:color w:val="000000"/>
          <w:sz w:val="20"/>
          <w:u w:val="single"/>
        </w:rPr>
        <w:t>Section 2.01(a)</w:t>
      </w:r>
      <w:r>
        <w:rPr>
          <w:rFonts w:ascii="Times New Roman" w:hAnsi="Times New Roman"/>
          <w:color w:val="000000"/>
          <w:sz w:val="20"/>
        </w:rPr>
        <w:t xml:space="preserve"> and the assignment of the Transferred Intellectual Property Assets as set forth in </w:t>
      </w:r>
      <w:r>
        <w:rPr>
          <w:rFonts w:ascii="Times New Roman" w:hAnsi="Times New Roman"/>
          <w:color w:val="000000"/>
          <w:sz w:val="20"/>
          <w:u w:val="single"/>
        </w:rPr>
        <w:t>Section 2.01(b)(i)</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the Seller Entities and the Microfluidics Buyer may use the Specified Marks, Specified Domain Names and any Social Media Accounts within the Business Owned Intellectual Property:</w:t>
      </w:r>
    </w:p>
    <w:p>
      <w:pPr>
        <w:pStyle w:val="TextBody"/>
        <w:bidi w:val="0"/>
        <w:spacing w:before="0" w:after="0"/>
        <w:jc w:val="left"/>
        <w:rPr>
          <w:sz w:val="20"/>
        </w:rPr>
      </w:pPr>
      <w:r>
        <w:rPr>
          <w:sz w:val="20"/>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          in connection with the operation of the microfluidics business for a period ending ninety (90) days after the closing of the Microfluidics Divestiture (the “</w:t>
      </w:r>
      <w:r>
        <w:rPr>
          <w:rFonts w:ascii="Times New Roman" w:hAnsi="Times New Roman"/>
          <w:color w:val="000000"/>
          <w:sz w:val="20"/>
          <w:u w:val="single"/>
        </w:rPr>
        <w:t>Microfluidics Divestiture Closing Date</w:t>
      </w:r>
      <w:r>
        <w:rPr>
          <w:rFonts w:ascii="Times New Roman" w:hAnsi="Times New Roman"/>
          <w:color w:val="000000"/>
          <w:sz w:val="20"/>
        </w:rPr>
        <w:t>”); and</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72</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(ii)       in the case of the Specified Marks, solely as they appear on any inventory of products other than the Products, together with any related packaging, labels and package inserts, in existence as of the Microfluidics Divestiture Closing Date, until the earliest to occur of (A) the depletion or other disposition of all such existing inventory, (B) the expiration of the applicable shelf life or expiration dating of all such existing inventory and (C) the date that is six (6) months after the Microfluidics Divestiture Closing Date;</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the Seller Entities may use the Specified Marks, Specified Domain Names and any Social Media Accounts within the Business Owned Intellectual Property to:</w:t>
      </w:r>
    </w:p>
    <w:p>
      <w:pPr>
        <w:pStyle w:val="TextBody"/>
        <w:bidi w:val="0"/>
        <w:spacing w:before="0" w:after="0"/>
        <w:jc w:val="left"/>
        <w:rPr>
          <w:sz w:val="20"/>
        </w:rPr>
      </w:pPr>
      <w:r>
        <w:rPr>
          <w:sz w:val="20"/>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         perform any activities contemplated under this Agreement and any Ancillary Agreement, or to otherwise comply with Seller’s obligations under the Merger Agreement, until the completion of such activities; and</w:t>
      </w:r>
    </w:p>
    <w:p>
      <w:pPr>
        <w:pStyle w:val="TextBody"/>
        <w:bidi w:val="0"/>
        <w:spacing w:before="0" w:after="0"/>
        <w:jc w:val="left"/>
        <w:rPr>
          <w:sz w:val="20"/>
        </w:rPr>
      </w:pPr>
      <w:r>
        <w:rPr>
          <w:sz w:val="20"/>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(ii)         perform any actions that would be required in order to wind down any business of the Seller Entities, including the Business, until the completion of such actions;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(all such rights set out in the foregoing </w:t>
      </w:r>
      <w:r>
        <w:rPr>
          <w:rFonts w:ascii="Times New Roman" w:hAnsi="Times New Roman"/>
          <w:color w:val="000000"/>
          <w:sz w:val="20"/>
          <w:u w:val="single"/>
        </w:rPr>
        <w:t>Section 5.09(a)</w:t>
      </w:r>
      <w:r>
        <w:rPr>
          <w:rFonts w:ascii="Times New Roman" w:hAnsi="Times New Roman"/>
          <w:color w:val="000000"/>
          <w:sz w:val="20"/>
        </w:rPr>
        <w:t xml:space="preserve"> and </w:t>
      </w:r>
      <w:r>
        <w:rPr>
          <w:rFonts w:ascii="Times New Roman" w:hAnsi="Times New Roman"/>
          <w:color w:val="000000"/>
          <w:sz w:val="20"/>
          <w:u w:val="single"/>
        </w:rPr>
        <w:t>Section 5.09(b)</w:t>
      </w:r>
      <w:r>
        <w:rPr>
          <w:rFonts w:ascii="Times New Roman" w:hAnsi="Times New Roman"/>
          <w:color w:val="000000"/>
          <w:sz w:val="20"/>
        </w:rPr>
        <w:t>, collectively, the “</w:t>
      </w:r>
      <w:r>
        <w:rPr>
          <w:rFonts w:ascii="Times New Roman" w:hAnsi="Times New Roman"/>
          <w:color w:val="000000"/>
          <w:sz w:val="20"/>
          <w:u w:val="single"/>
        </w:rPr>
        <w:t>Retained Name Rights</w:t>
      </w:r>
      <w:r>
        <w:rPr>
          <w:rFonts w:ascii="Times New Roman" w:hAnsi="Times New Roman"/>
          <w:color w:val="000000"/>
          <w:sz w:val="20"/>
        </w:rPr>
        <w:t xml:space="preserve">” and each applicable period for the Retained Name Rights set out in the foregoing </w:t>
      </w:r>
      <w:r>
        <w:rPr>
          <w:rFonts w:ascii="Times New Roman" w:hAnsi="Times New Roman"/>
          <w:color w:val="000000"/>
          <w:sz w:val="20"/>
          <w:u w:val="single"/>
        </w:rPr>
        <w:t>Section 5.09(a)</w:t>
      </w:r>
      <w:r>
        <w:rPr>
          <w:rFonts w:ascii="Times New Roman" w:hAnsi="Times New Roman"/>
          <w:color w:val="000000"/>
          <w:sz w:val="20"/>
        </w:rPr>
        <w:t xml:space="preserve"> and </w:t>
      </w:r>
      <w:r>
        <w:rPr>
          <w:rFonts w:ascii="Times New Roman" w:hAnsi="Times New Roman"/>
          <w:color w:val="000000"/>
          <w:sz w:val="20"/>
          <w:u w:val="single"/>
        </w:rPr>
        <w:t>Section 5.09(b)</w:t>
      </w:r>
      <w:r>
        <w:rPr>
          <w:rFonts w:ascii="Times New Roman" w:hAnsi="Times New Roman"/>
          <w:color w:val="000000"/>
          <w:sz w:val="20"/>
        </w:rPr>
        <w:t>, a “</w:t>
      </w:r>
      <w:r>
        <w:rPr>
          <w:rFonts w:ascii="Times New Roman" w:hAnsi="Times New Roman"/>
          <w:color w:val="000000"/>
          <w:sz w:val="20"/>
          <w:u w:val="single"/>
        </w:rPr>
        <w:t>Retained Name Rights Period</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0"/>
        <w:jc w:val="left"/>
        <w:rPr>
          <w:sz w:val="20"/>
        </w:rPr>
      </w:pPr>
      <w:r>
        <w:rPr>
          <w:sz w:val="20"/>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         until the last to expire of the Retained Name Rights Periods, the Seller Entities shall retain administrative access and credentials (including usernames, passwords, security settings, two-factor authentication recovery codes and associated email addresses) to continue accessing and utilizing the Specified Domain Names and any Social Media Accounts within the Business Owned Intellectual Property for the exercise and enjoyment of the Retained Name Rights, and Buyer shall cooperate to maintain such access and shall not (and shall cause its Affiliates not to) modify, deactivate, interfere with or terminate such access;</w:t>
      </w:r>
    </w:p>
    <w:p>
      <w:pPr>
        <w:pStyle w:val="TextBody"/>
        <w:bidi w:val="0"/>
        <w:spacing w:before="0" w:after="0"/>
        <w:jc w:val="left"/>
        <w:rPr>
          <w:sz w:val="20"/>
        </w:rPr>
      </w:pPr>
      <w:r>
        <w:rPr>
          <w:sz w:val="20"/>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(ii)        upon the expiration of the last to expire of the Retained Name Rights Periods, Buyer may remove all personnel of Seller Entities as administrators of any Specified Domain Name and any Social Media Account within the Business Owned Intellectual Property;</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(d)         until the last to expire of the Retained Name Rights Periods, Buyer shall not (and shall cause its Affiliates not to) use any Trademarks, Internet domain name or Social Media Account within the Business Owned Intellectual Property in any manner that:</w:t>
      </w:r>
    </w:p>
    <w:p>
      <w:pPr>
        <w:pStyle w:val="TextBody"/>
        <w:bidi w:val="0"/>
        <w:spacing w:before="0" w:after="0"/>
        <w:jc w:val="left"/>
        <w:rPr>
          <w:sz w:val="20"/>
        </w:rPr>
      </w:pPr>
      <w:r>
        <w:rPr>
          <w:sz w:val="20"/>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         reflects negatively on, creates a likelihood of confusion with respect to, dilutes or otherwise adversely affects the Specified Marks, Specified Domain Names, any Social Media Accounts within the Business Owned Intellectual Property, the Seller Entities or the Microfluidics Buyer; or</w:t>
      </w:r>
    </w:p>
    <w:p>
      <w:pPr>
        <w:pStyle w:val="TextBody"/>
        <w:bidi w:val="0"/>
        <w:spacing w:before="0" w:after="0"/>
        <w:jc w:val="left"/>
        <w:rPr>
          <w:sz w:val="20"/>
        </w:rPr>
      </w:pPr>
      <w:r>
        <w:rPr>
          <w:sz w:val="20"/>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(ii)        interferes with or impacts the Seller Entities’ ability to enter into and consummate the Microfluidics Divestiture or complete the wind down of any business of the Seller Entities;</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(e)         Buyer shall, and shall cause its Affiliates and any successor or assignee of any such Trademark, Internet domain name and Social Media Account to, take no action inconsistent with, and shall permit the exercise and enjoyment of, the Retained Name Rights in accordance with their terms; and</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(f)          nothing in this Agreement requires, or shall be interpreted to require, Seller or any of its Subsidiaries to breach, terminate or modify the Retained Name Rights.</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5.10       </w:t>
      </w:r>
      <w:r>
        <w:rPr>
          <w:rFonts w:ascii="Times New Roman" w:hAnsi="Times New Roman"/>
          <w:color w:val="000000"/>
          <w:sz w:val="20"/>
          <w:u w:val="single"/>
        </w:rPr>
        <w:t>Separation of Business IT and Data</w:t>
      </w:r>
      <w:r>
        <w:rPr>
          <w:rFonts w:ascii="Times New Roman" w:hAnsi="Times New Roman"/>
          <w:color w:val="000000"/>
          <w:sz w:val="20"/>
        </w:rPr>
        <w:t xml:space="preserve">. Prior to Closing, Buyer shall deliver to Seller a preliminary plan for the transfer and hand-over of any Business IT and Data that is not already included in the assets of any Business Company, which plan shall be mutually agreed by the Parties within 60 days after Closing. Except as may be otherwise agreed to under the TSA, Buyer acknowledges and agrees that Seller’s sole obligations with respect to such Business IT and Data shall be to facilitate a “lift and shift”, </w:t>
      </w:r>
      <w:r>
        <w:rPr>
          <w:rFonts w:ascii="Times New Roman" w:hAnsi="Times New Roman"/>
          <w:i/>
          <w:color w:val="000000"/>
          <w:sz w:val="20"/>
        </w:rPr>
        <w:t>i.e.</w:t>
      </w:r>
      <w:r>
        <w:rPr>
          <w:rFonts w:ascii="Times New Roman" w:hAnsi="Times New Roman"/>
          <w:color w:val="000000"/>
          <w:sz w:val="20"/>
        </w:rPr>
        <w:t>, Seller will sell, transfer and hand-over the Business IT and Data in its “as-is” state (notwithstanding any of Seller’s representations and warranties under this Agreement), at Buyer’s sole cost and expense. Seller shall not be obliged to perform any transformation activities or to set-up any new Business IT and Data. In particular, Buyer shall be solely responsible for (x) the integration and migration of the Business IT and Data in its own IT environment (and any costs and expenses related thereto); (y) obtaining any required IT systems contracts to operate the Business (and any costs and expenses related thereto, including any consent fees); and (z) the usability of the Business IT and Data in Buyer’s systems and environment (and any costs and expenses related thereto).</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5.11         </w:t>
      </w:r>
      <w:r>
        <w:rPr>
          <w:rFonts w:ascii="Times New Roman" w:hAnsi="Times New Roman"/>
          <w:color w:val="000000"/>
          <w:sz w:val="20"/>
          <w:u w:val="single"/>
        </w:rPr>
        <w:t>Certain Services and Benefits Provided by Affiliates; Intercompany Matters; Further Assurances</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Buyer acknowledges that the Business currently receives Overhead and Shared Services from Seller and its Affiliates. Buyer further acknowledges that, except as otherwise expressly provided in the TSA, all such Overhead and Shared Services shall cease, and any agreement with Seller or any Affiliate of Seller in respect thereof shall terminate, in each case, as of the Closing Date.</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Except as set forth in </w:t>
      </w:r>
      <w:r>
        <w:rPr>
          <w:rFonts w:ascii="Times New Roman" w:hAnsi="Times New Roman"/>
          <w:color w:val="000000"/>
          <w:sz w:val="20"/>
          <w:u w:val="single"/>
        </w:rPr>
        <w:t>Section 5.11(b)</w:t>
      </w:r>
      <w:r>
        <w:rPr>
          <w:rFonts w:ascii="Times New Roman" w:hAnsi="Times New Roman"/>
          <w:color w:val="000000"/>
          <w:sz w:val="20"/>
        </w:rPr>
        <w:t xml:space="preserve"> of the Disclosure Schedule or the TSA, Buyer and Seller agree that, from and after the Closing, all rights and obligations of any Party under all agreements and arrangements between Seller and its Affiliates, on the one hand, and the Business, on the other hand, shall terminate and be cancelled without any further Liability, including Liabilities relating to any period prior to the Closing.</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(c)       Each of the Parties shall execute and deliver such documents and other papers and take such further actions as may reasonably be required to carry out the provisions of this Agreement and the Ancillary Agreements and give effect to the transactions contemplated hereby or thereby as promptly as practicable, including the execution and delivery of such assignments, deeds and other documents as may be necessary to transfer any Transferred Assets or Assumed Liabilities as provided in this Agreement. Seller shall use its commercially reasonable efforts to take the actions set forth on </w:t>
      </w:r>
      <w:r>
        <w:rPr>
          <w:rFonts w:ascii="Times New Roman" w:hAnsi="Times New Roman"/>
          <w:color w:val="000000"/>
          <w:sz w:val="20"/>
          <w:u w:val="single"/>
        </w:rPr>
        <w:t>Section 5.11(c)</w:t>
      </w:r>
      <w:r>
        <w:rPr>
          <w:rFonts w:ascii="Times New Roman" w:hAnsi="Times New Roman"/>
          <w:color w:val="000000"/>
          <w:sz w:val="20"/>
        </w:rPr>
        <w:t xml:space="preserve"> of the Disclosure Schedule.</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5.12        </w:t>
      </w:r>
      <w:r>
        <w:rPr>
          <w:rFonts w:ascii="Times New Roman" w:hAnsi="Times New Roman"/>
          <w:color w:val="000000"/>
          <w:sz w:val="20"/>
          <w:u w:val="single"/>
        </w:rPr>
        <w:t>Shared Contracts</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The Parties acknowledge and agree that Seller and its Affiliates are parties to, or benefit from, certain Contracts that relate to both the Business and the other businesses of Seller and its Affiliates (other than any Contract in respect of the Overhead and Shared Services) (collectively, the “</w:t>
      </w:r>
      <w:r>
        <w:rPr>
          <w:rFonts w:ascii="Times New Roman" w:hAnsi="Times New Roman"/>
          <w:color w:val="000000"/>
          <w:sz w:val="20"/>
          <w:u w:val="single"/>
        </w:rPr>
        <w:t>Shared Contracts</w:t>
      </w:r>
      <w:r>
        <w:rPr>
          <w:rFonts w:ascii="Times New Roman" w:hAnsi="Times New Roman"/>
          <w:color w:val="000000"/>
          <w:sz w:val="20"/>
        </w:rPr>
        <w:t>”). With respect to the Shared Contracts, Buyer and Seller shall, for the respective periods following the Closing set forth in the TSA (the “</w:t>
      </w:r>
      <w:r>
        <w:rPr>
          <w:rFonts w:ascii="Times New Roman" w:hAnsi="Times New Roman"/>
          <w:color w:val="000000"/>
          <w:sz w:val="20"/>
          <w:u w:val="single"/>
        </w:rPr>
        <w:t>Shared Contract Transition Periods</w:t>
      </w:r>
      <w:r>
        <w:rPr>
          <w:rFonts w:ascii="Times New Roman" w:hAnsi="Times New Roman"/>
          <w:color w:val="000000"/>
          <w:sz w:val="20"/>
        </w:rPr>
        <w:t>”), provide Buyer with the benefits relating to the Business Portion of certain Shared Contracts as a service on the terms and subject to the conditions set forth in the TSA (including by means of any licensing, operating, subcontracting, sublicensing or subleasing arrangement) and Buyer shall bear all costs, Liabilities and burdens with respect to the Business Portion of such Shared Contracts.</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With respect to the Shared Contracts set forth on </w:t>
      </w:r>
      <w:r>
        <w:rPr>
          <w:rFonts w:ascii="Times New Roman" w:hAnsi="Times New Roman"/>
          <w:color w:val="000000"/>
          <w:sz w:val="20"/>
          <w:u w:val="single"/>
        </w:rPr>
        <w:t>Section 5.12(b)</w:t>
      </w:r>
      <w:r>
        <w:rPr>
          <w:rFonts w:ascii="Times New Roman" w:hAnsi="Times New Roman"/>
          <w:color w:val="000000"/>
          <w:sz w:val="20"/>
        </w:rPr>
        <w:t xml:space="preserve"> of the Disclosure Schedule (collectively, the “</w:t>
      </w:r>
      <w:r>
        <w:rPr>
          <w:rFonts w:ascii="Times New Roman" w:hAnsi="Times New Roman"/>
          <w:color w:val="000000"/>
          <w:sz w:val="20"/>
          <w:u w:val="single"/>
        </w:rPr>
        <w:t>Specified Shared Contracts</w:t>
      </w:r>
      <w:r>
        <w:rPr>
          <w:rFonts w:ascii="Times New Roman" w:hAnsi="Times New Roman"/>
          <w:color w:val="000000"/>
          <w:sz w:val="20"/>
        </w:rPr>
        <w:t xml:space="preserve">”), during the Shared Contract Transition Periods, Seller shall use commercially reasonable efforts to cooperate with Buyer (to the extent Buyer requests such cooperation) in Buyer’s attempt to (i) divide, partially assign or license such Specified Shared Contract such that, after the Closing, Buyer or a Business Company is the beneficiary of the rights and is responsible for the obligations of the portion of the Specified Shared Contract Related to the Business or any Transferred Asset or (ii) enter into a new replacement Contract on commercially reasonable terms with respect to the subject matter of the Specified Shared Contracts that relates to the Business or any Transferred Asset; </w:t>
      </w:r>
      <w:r>
        <w:rPr>
          <w:rFonts w:ascii="Times New Roman" w:hAnsi="Times New Roman"/>
          <w:color w:val="000000"/>
          <w:sz w:val="20"/>
          <w:u w:val="single"/>
        </w:rPr>
        <w:t>provided</w:t>
      </w:r>
      <w:r>
        <w:rPr>
          <w:rFonts w:ascii="Times New Roman" w:hAnsi="Times New Roman"/>
          <w:color w:val="000000"/>
          <w:sz w:val="20"/>
        </w:rPr>
        <w:t xml:space="preserve"> that such cooperation shall in no event require any Seller Entity to make any payment or make any non-monetary concession that would bind any Seller Entity following the Closing. Buyer acknowledges and agrees that the terms and conditions of any divided or partially assigned Specified Shared Contract that would apply to Buyer, the Business Companies, the Business or the Transferred Assets after the Closing, or of any replacement Contract in respect of any Specified Shared Contract, may not be as favorable to Buyer, the Business Companies, the Business or the Transferred Assets as the terms and conditions of the existing Specified Shared Contract.</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If Buyer fails to divide or partially assign any Specified Shared Contract or enter into a new replacement Contract with respect to the subject matter of any of the Specified Shared Contracts that relates to the Business or any Transferred Asset, under no circumstance shall the Purchase Price be reduced or any Seller Entity be subject to any Liability on account thereof. Buyer further acknowledges and agrees that no representation, warranty or covenant of Seller, the Transferred Companies or the Subsidiary Transferors contained in this Agreement shall be breached or deemed breached, and no condition to Buyer’s obligation to close the transactions contemplated by this Agreement shall be deemed not satisfied as a result of the failure to divide or partially assign any Specified Shared Contract or to enter into a new replacement Contract in respect of any Specified Shared Contract.</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5.13        </w:t>
      </w:r>
      <w:r>
        <w:rPr>
          <w:rFonts w:ascii="Times New Roman" w:hAnsi="Times New Roman"/>
          <w:color w:val="000000"/>
          <w:sz w:val="20"/>
          <w:u w:val="single"/>
        </w:rPr>
        <w:t>Credit and Performance Support Obligations</w:t>
      </w:r>
      <w:r>
        <w:rPr>
          <w:rFonts w:ascii="Times New Roman" w:hAnsi="Times New Roman"/>
          <w:color w:val="000000"/>
          <w:sz w:val="20"/>
        </w:rPr>
        <w:t>. Buyer agrees to use all commercially reasonable efforts to cause Seller and its Affiliates to be absolutely and unconditionally relieved on or prior to the Closing of all Liabilities arising out of the letters of credit, performance bonds, corporate guarantees and other similar items issued and outstanding in connection with the Business that are Assumed Liabilities (together, the “</w:t>
      </w:r>
      <w:r>
        <w:rPr>
          <w:rFonts w:ascii="Times New Roman" w:hAnsi="Times New Roman"/>
          <w:color w:val="000000"/>
          <w:sz w:val="20"/>
          <w:u w:val="single"/>
        </w:rPr>
        <w:t>Business Guarantees</w:t>
      </w:r>
      <w:r>
        <w:rPr>
          <w:rFonts w:ascii="Times New Roman" w:hAnsi="Times New Roman"/>
          <w:color w:val="000000"/>
          <w:sz w:val="20"/>
        </w:rPr>
        <w:t xml:space="preserve">”), and Seller’s and its Affiliates’ obligations under any Real Property Lease to the extent that the same is an Assumed Liability, and Buyer shall, in accordance with the procedures set forth in </w:t>
      </w:r>
      <w:r>
        <w:rPr>
          <w:rFonts w:ascii="Times New Roman" w:hAnsi="Times New Roman"/>
          <w:color w:val="000000"/>
          <w:sz w:val="20"/>
          <w:u w:val="single"/>
        </w:rPr>
        <w:t>Article VIII</w:t>
      </w:r>
      <w:r>
        <w:rPr>
          <w:rFonts w:ascii="Times New Roman" w:hAnsi="Times New Roman"/>
          <w:color w:val="000000"/>
          <w:sz w:val="20"/>
        </w:rPr>
        <w:t>, indemnify Seller and its Affiliates against any Losses arising with respect to such Liabilities. Buyer agrees to continue to use all commercially reasonable efforts after the Closing to relieve Seller and its Affiliates of all such Business Guarantees and such Liabilities under any Real Property Lease. With respect to any Real Property Lease, commercially reasonable efforts shall include but not be limited to, if requested by the landlord, (i) providing additional credit support (whether in the form of a letter of credit, additional security deposit or similar form of credit support) and/or a guaranty, whether new or replacement, with a guarantor reasonably acceptable to landlord on such landlord’s commercially reasonable form and (ii) entering into a consent agreement on landlord’s commercially reasonable form. In connection with the foregoing, Buyer shall provide landlord with such information reasonably requested by landlord (including financial information) to facilitate landlord’s review and approval of any such additional credit support, the creditworthiness of such guarantor and/or the projected creditworthiness of the tenant.</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5.14        </w:t>
      </w:r>
      <w:r>
        <w:rPr>
          <w:rFonts w:ascii="Times New Roman" w:hAnsi="Times New Roman"/>
          <w:color w:val="000000"/>
          <w:sz w:val="20"/>
          <w:u w:val="single"/>
        </w:rPr>
        <w:t>Insurance</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Buyer hereby acknowledges that the Seller Policies will not transfer with the Business as part of the Sale. Buyer shall not, and shall cause its Affiliates not to, assert, by way of any Action or otherwise, any right to any Seller Policies or any benefit under any such Seller Policies. Seller and its Affiliates shall retain after the Closing all right, title and interest in and to Seller Policies, including the right to any credit or return premiums due, paid or payable in connection with the termination thereof; </w:t>
      </w:r>
      <w:r>
        <w:rPr>
          <w:rFonts w:ascii="Times New Roman" w:hAnsi="Times New Roman"/>
          <w:color w:val="000000"/>
          <w:sz w:val="20"/>
          <w:u w:val="single"/>
        </w:rPr>
        <w:t>provided</w:t>
      </w:r>
      <w:r>
        <w:rPr>
          <w:rFonts w:ascii="Times New Roman" w:hAnsi="Times New Roman"/>
          <w:color w:val="000000"/>
          <w:sz w:val="20"/>
        </w:rPr>
        <w:t xml:space="preserve"> that in the event Seller or its Affiliates receive any insurance proceeds or refunds after the Closing Date with respect to a loss concerning the Transferred Assets, all such proceeds or refunds actually received by Seller shall be paid to Buyer within fifteen (15) Business Days of receipt thereof, less any deductible or reasonable out-of-pocket costs incurred by Seller in connection with the recovery of such proceeds. Notwithstanding the foregoing, nothing in this </w:t>
      </w:r>
      <w:r>
        <w:rPr>
          <w:rFonts w:ascii="Times New Roman" w:hAnsi="Times New Roman"/>
          <w:color w:val="000000"/>
          <w:sz w:val="20"/>
          <w:u w:val="single"/>
        </w:rPr>
        <w:t>Section 5.14</w:t>
      </w:r>
      <w:r>
        <w:rPr>
          <w:rFonts w:ascii="Times New Roman" w:hAnsi="Times New Roman"/>
          <w:color w:val="000000"/>
          <w:sz w:val="20"/>
        </w:rPr>
        <w:t xml:space="preserve"> shall require Seller to pay to Buyer any insurance proceeds or refunds received by Seller to the extent such proceeds or refunds are in respect of any Excluded Liability.</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Effective as of the Closing, except as set forth in </w:t>
      </w:r>
      <w:r>
        <w:rPr>
          <w:rFonts w:ascii="Times New Roman" w:hAnsi="Times New Roman"/>
          <w:color w:val="000000"/>
          <w:sz w:val="20"/>
          <w:u w:val="single"/>
        </w:rPr>
        <w:t>Section 5.14(a)</w:t>
      </w:r>
      <w:r>
        <w:rPr>
          <w:rFonts w:ascii="Times New Roman" w:hAnsi="Times New Roman"/>
          <w:color w:val="000000"/>
          <w:sz w:val="20"/>
        </w:rPr>
        <w:t>, Buyer hereby releases, on behalf of itself and its Affiliates, all rights to all Seller Policies.</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5.15        </w:t>
      </w:r>
      <w:r>
        <w:rPr>
          <w:rFonts w:ascii="Times New Roman" w:hAnsi="Times New Roman"/>
          <w:color w:val="000000"/>
          <w:sz w:val="20"/>
          <w:u w:val="single"/>
        </w:rPr>
        <w:t>Business Acquisition Proposals; Change in Recommendation</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w:t>
      </w:r>
      <w:r>
        <w:rPr>
          <w:rFonts w:ascii="Times New Roman" w:hAnsi="Times New Roman"/>
          <w:color w:val="000000"/>
          <w:sz w:val="20"/>
          <w:u w:val="single"/>
        </w:rPr>
        <w:t>No Solicitation or Negotiation</w:t>
      </w:r>
      <w:r>
        <w:rPr>
          <w:rFonts w:ascii="Times New Roman" w:hAnsi="Times New Roman"/>
          <w:color w:val="000000"/>
          <w:sz w:val="20"/>
        </w:rPr>
        <w:t xml:space="preserve">.  During the Pre-Closing Period, except as expressly permitted by this </w:t>
      </w:r>
      <w:r>
        <w:rPr>
          <w:rFonts w:ascii="Times New Roman" w:hAnsi="Times New Roman"/>
          <w:color w:val="000000"/>
          <w:sz w:val="20"/>
          <w:u w:val="single"/>
        </w:rPr>
        <w:t>Section 5.15</w:t>
      </w:r>
      <w:r>
        <w:rPr>
          <w:rFonts w:ascii="Times New Roman" w:hAnsi="Times New Roman"/>
          <w:color w:val="000000"/>
          <w:sz w:val="20"/>
        </w:rPr>
        <w:t>, Seller shall not, and Seller shall cause its and its Subsidiaries’ directors, officers and employees not to, and shall cause its and their respective Representatives not to, directly or indirectly:</w:t>
      </w:r>
    </w:p>
    <w:p>
      <w:pPr>
        <w:pStyle w:val="TextBody"/>
        <w:bidi w:val="0"/>
        <w:spacing w:before="0" w:after="0"/>
        <w:jc w:val="left"/>
        <w:rPr>
          <w:sz w:val="20"/>
        </w:rPr>
      </w:pPr>
      <w:r>
        <w:rPr>
          <w:sz w:val="20"/>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         solicit, initiate, induce, knowingly encourage or knowingly facilitate (including by way of granting a waiver under Section 203 of the DGCL) any inquiries or the making of any proposal or offer that constitutes, or could reasonably be expected to lead to, a Business Acquisition Proposal;</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76</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(ii)       participate in any discussions or negotiations or cooperate in any way with any Person regarding any Business Acquisition Proposal or any inquiry, proposal or offer that could reasonably be expected to lead to a Business Acquisition Proposal;</w:t>
      </w:r>
    </w:p>
    <w:p>
      <w:pPr>
        <w:pStyle w:val="TextBody"/>
        <w:bidi w:val="0"/>
        <w:spacing w:before="0" w:after="0"/>
        <w:jc w:val="left"/>
        <w:rPr>
          <w:sz w:val="20"/>
        </w:rPr>
      </w:pPr>
      <w:r>
        <w:rPr>
          <w:sz w:val="20"/>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(iii)       provide any non-public information or data concerning Seller or any of its Subsidiaries to any Person in connection with, or for the purpose of soliciting, initiating, inducing, encouraging or facilitating, any Business Acquisition Proposal or any inquiry, proposal or offer that could reasonably be expected to lead to a Business Acquisition Proposal;</w:t>
      </w:r>
    </w:p>
    <w:p>
      <w:pPr>
        <w:pStyle w:val="TextBody"/>
        <w:bidi w:val="0"/>
        <w:spacing w:before="0" w:after="0"/>
        <w:jc w:val="left"/>
        <w:rPr>
          <w:sz w:val="20"/>
        </w:rPr>
      </w:pPr>
      <w:r>
        <w:rPr>
          <w:sz w:val="20"/>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(iv)        enter into any binding or nonbinding letter of intent, term sheet, memorandum of understanding, merger agreement, acquisition agreement, agreement in principle, option agreement, joint venture agreement, partnership agreement, lease agreement or other similar agreement with respect to, or that could reasonably be expected to lead to, a Business Acquisition Proposal (other than an Acceptable Confidentiality Agreement entered into in accordance with </w:t>
      </w:r>
      <w:r>
        <w:rPr>
          <w:rFonts w:ascii="Times New Roman" w:hAnsi="Times New Roman"/>
          <w:color w:val="000000"/>
          <w:sz w:val="20"/>
          <w:u w:val="single"/>
        </w:rPr>
        <w:t>Section 5.15(b)</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(v)        adopt, approve, declare advisable or recommend or make any public statement approving or recommending any inquiry, proposal or offer that constitutes, or could reasonably be expected to lead to, a Business Acquisition Proposal (including by approving any transaction, or approving any Person becoming an “interested stockholder,” for purposes of Section 203 of the DGCL);</w:t>
      </w:r>
    </w:p>
    <w:p>
      <w:pPr>
        <w:pStyle w:val="TextBody"/>
        <w:bidi w:val="0"/>
        <w:spacing w:before="0" w:after="0"/>
        <w:jc w:val="left"/>
        <w:rPr>
          <w:sz w:val="20"/>
        </w:rPr>
      </w:pPr>
      <w:r>
        <w:rPr>
          <w:sz w:val="20"/>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(vi)      take any action or exempt any Person (other than Buyer and its Subsidiaries) from the restriction on “business combinations” or any similar provision contained in applicable takeover laws or Seller’s organizational or other governing documents; or</w:t>
      </w:r>
    </w:p>
    <w:p>
      <w:pPr>
        <w:pStyle w:val="TextBody"/>
        <w:bidi w:val="0"/>
        <w:spacing w:before="0" w:after="0"/>
        <w:jc w:val="left"/>
        <w:rPr>
          <w:sz w:val="20"/>
        </w:rPr>
      </w:pPr>
      <w:r>
        <w:rPr>
          <w:sz w:val="20"/>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(vii)       resolve, publicly propose or agree to do any of the foregoing.</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Seller shall, and shall cause its Subsidiaries and Representatives to, immediately cease and cause to be terminated any solicitation, encouragement, discussions and negotiations with any Person conducted heretofore with respect to any Business Acquisition Proposal, or inquiry, proposal or offer that could reasonably be expected to lead to a Business Acquisition Proposal and shall promptly terminate access by any such Person to any physical or electronic data rooms relating to any such Business Acquisition Proposal.  Seller shall (i) as soon as reasonably practicable after the date of this Agreement (and in all events no later than three Business Days), deliver a written notice to each Person that entered into a confidentiality agreement in anticipation of potentially making a Business Acquisition Proposal within the last 12 months, to the effect that Seller is ending all discussions and negotiations with such Person with respect to any such Business Acquisition Proposal effective as of the date hereof and requesting the prompt return or destruction of all confidential information previously furnished to such Person by or on behalf of Seller relating to any Business Acquisition Proposal (and Seller shall use its reasonable best efforts to have such information returned or destroyed) and immediately terminate all physical and electronic data room access previously granted to any such party or its Representatives and (ii) commencing on the date of this Agreement, prohibit any third party (other than Buyer and its Representatives) from having access to any physical or electronic data room relating to any possible Business Acquisition Proposal.  Seller shall use its reasonable best efforts to enforce the terms of each confidentiality agreement with any such Person.  Seller shall not grant any waiver of, or agree to any amendment or modification to, or release any such Person from, any such agreement, to permit such Person to submit a Business Acquisition Proposal, unless in any such case the Seller Board shall have determined, in good faith, after consultation with outside legal counsel, that the failure to take such actions would be inconsistent with the fiduciary duties of the Seller Board to the holders of Seller capital stock under applicable Law.</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w:t>
      </w:r>
      <w:r>
        <w:rPr>
          <w:rFonts w:ascii="Times New Roman" w:hAnsi="Times New Roman"/>
          <w:color w:val="000000"/>
          <w:sz w:val="20"/>
          <w:u w:val="single"/>
        </w:rPr>
        <w:t>Fiduciary Exception to No Solicitation Provision</w:t>
      </w:r>
      <w:r>
        <w:rPr>
          <w:rFonts w:ascii="Times New Roman" w:hAnsi="Times New Roman"/>
          <w:color w:val="000000"/>
          <w:sz w:val="20"/>
        </w:rPr>
        <w:t xml:space="preserve">.  Notwithstanding anything to the contrary in </w:t>
      </w:r>
      <w:r>
        <w:rPr>
          <w:rFonts w:ascii="Times New Roman" w:hAnsi="Times New Roman"/>
          <w:color w:val="000000"/>
          <w:sz w:val="20"/>
          <w:u w:val="single"/>
        </w:rPr>
        <w:t>Section 5.15(a)</w:t>
      </w:r>
      <w:r>
        <w:rPr>
          <w:rFonts w:ascii="Times New Roman" w:hAnsi="Times New Roman"/>
          <w:color w:val="000000"/>
          <w:sz w:val="20"/>
        </w:rPr>
        <w:t xml:space="preserve">, prior to the time, but not after, the Seller Stockholder Approval is obtained, Seller may, in response to a </w:t>
      </w:r>
      <w:r>
        <w:rPr>
          <w:rFonts w:ascii="Times New Roman" w:hAnsi="Times New Roman"/>
          <w:i/>
          <w:color w:val="000000"/>
          <w:sz w:val="20"/>
        </w:rPr>
        <w:t>bona fide</w:t>
      </w:r>
      <w:r>
        <w:rPr>
          <w:rFonts w:ascii="Times New Roman" w:hAnsi="Times New Roman"/>
          <w:color w:val="000000"/>
          <w:sz w:val="20"/>
        </w:rPr>
        <w:t xml:space="preserve"> written Business Acquisition Proposal (which Business Acquisition Proposal was made after the date of this Agreement and has not been withdrawn) which did not result from a breach of this </w:t>
      </w:r>
      <w:r>
        <w:rPr>
          <w:rFonts w:ascii="Times New Roman" w:hAnsi="Times New Roman"/>
          <w:color w:val="000000"/>
          <w:sz w:val="20"/>
          <w:u w:val="single"/>
        </w:rPr>
        <w:t>Section 5.15(b)</w:t>
      </w:r>
      <w:r>
        <w:rPr>
          <w:rFonts w:ascii="Times New Roman" w:hAnsi="Times New Roman"/>
          <w:color w:val="000000"/>
          <w:sz w:val="20"/>
        </w:rPr>
        <w:t xml:space="preserve"> and so long as it has provided written notice to Buyer of the identity of such Person or group making the Business Acquisition Proposal, the material terms and conditions of such Business Acquisition Proposal (including, if applicable, copies of any material written communications) and its intention to engage or participate in any discussions or negotiations with any such Person or group, (i) provide access to non-public information regarding Seller or any of its Subsidiaries to the Person or group making the Business Acquisition Proposal (</w:t>
      </w:r>
      <w:r>
        <w:rPr>
          <w:rFonts w:ascii="Times New Roman" w:hAnsi="Times New Roman"/>
          <w:color w:val="000000"/>
          <w:sz w:val="20"/>
          <w:u w:val="single"/>
        </w:rPr>
        <w:t>provided</w:t>
      </w:r>
      <w:r>
        <w:rPr>
          <w:rFonts w:ascii="Times New Roman" w:hAnsi="Times New Roman"/>
          <w:color w:val="000000"/>
          <w:sz w:val="20"/>
        </w:rPr>
        <w:t> that such information has previously been made available to Buyer or is provided to Buyer substantially concurrently with the making of such information available to such Person or group and that, prior to furnishing any such non-public information, Seller receives from the Person or group making such Business Acquisition Proposal an executed confidentiality agreement with terms at least as restrictive in all material respects (including with respect to confidentiality and restrictions on use) on such Person(s) as the Confidentiality Agreement’s terms are on with Buyer (an “</w:t>
      </w:r>
      <w:r>
        <w:rPr>
          <w:rFonts w:ascii="Times New Roman" w:hAnsi="Times New Roman"/>
          <w:color w:val="000000"/>
          <w:sz w:val="20"/>
          <w:u w:val="single"/>
        </w:rPr>
        <w:t>Acceptable Confidentiality Agreement</w:t>
      </w:r>
      <w:r>
        <w:rPr>
          <w:rFonts w:ascii="Times New Roman" w:hAnsi="Times New Roman"/>
          <w:color w:val="000000"/>
          <w:sz w:val="20"/>
        </w:rPr>
        <w:t xml:space="preserve">”)) (it being understood that such confidentiality agreement need not include a “standstill” agreement or prohibit the making or amending of a Business Acquisition Proposal) and (ii) engage or participate in any discussions or negotiations with any such Person or group regarding such Business Acquisition Proposal if, and only if, prior to taking any action described in clause (i) or (ii) above, the Seller Board determines in good faith after consultation with outside financial advisors and outside legal counsel that (x) such Business Acquisition Proposal either constitutes a Business Superior Proposal or could reasonably be expected to result in a Business Superior Proposal and (y) the failure to take such action would reasonably be expected to be inconsistent with the fiduciary duties of the Seller Board to the holders of Seller capital stock under applicable Law.  Seller shall provide Buyer with an accurate and complete copy of the Acceptable Confidentiality Agreement entered into as contemplated by this </w:t>
      </w:r>
      <w:r>
        <w:rPr>
          <w:rFonts w:ascii="Times New Roman" w:hAnsi="Times New Roman"/>
          <w:color w:val="000000"/>
          <w:sz w:val="20"/>
          <w:u w:val="single"/>
        </w:rPr>
        <w:t>Section 5.15(b)</w:t>
      </w:r>
      <w:r>
        <w:rPr>
          <w:rFonts w:ascii="Times New Roman" w:hAnsi="Times New Roman"/>
          <w:color w:val="000000"/>
          <w:sz w:val="20"/>
        </w:rPr>
        <w:t xml:space="preserve"> promptly (and in any event within 24 hours) after the execution thereof.</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(c)         </w:t>
      </w:r>
      <w:r>
        <w:rPr>
          <w:rFonts w:ascii="Times New Roman" w:hAnsi="Times New Roman"/>
          <w:color w:val="000000"/>
          <w:sz w:val="20"/>
          <w:u w:val="single"/>
        </w:rPr>
        <w:t>Notice</w:t>
      </w:r>
      <w:r>
        <w:rPr>
          <w:rFonts w:ascii="Times New Roman" w:hAnsi="Times New Roman"/>
          <w:color w:val="000000"/>
          <w:sz w:val="20"/>
        </w:rPr>
        <w:t xml:space="preserve">.  Seller shall promptly (and, in any event, within 24 hours) notify Buyer (orally and in writing) if (i) any written or other inquiries, proposals or offers with respect to a Business Acquisition Proposal or any inquiries, proposals, offers or requests for information relating to or that could reasonably be expected to lead to a Business Acquisition Proposal are received by Seller or any of its Representatives, (ii) any Person requests non-public information from Seller or any of its Representatives in connection with any Business Acquisition Proposal (provided that Seller shall only be required to provide notice once per Person under this clause (ii)) or (iii) any discussions or negotiations with respect to or that could reasonably be expected to lead to a Business Acquisition Proposal are sought to be initiated with Seller, indicating, in connection with such notice, the name of such Person and the material terms and conditions of any proposals or offers (including, if applicable, copies of any written requests, proposals or offers, including proposed agreements and other material written communications or, if oral, a summary of the material terms and conditions of such proposal or offer), and thereafter shall keep Buyer reasonably informed, on a current basis (and in any event within 24 hours), of any material developments with respect to any such proposals or offers (including any amendments thereto), including by promptly providing copies of any additional requests, proposals or offers, including any drafts of proposed agreements and any amendments thereto and other information set forth above and copies of any written materials provided to such Person by Seller or any of its Representatives.  Seller agrees that it and its Subsidiaries will not enter into any confidentiality agreement with any Person subsequent to the date of this Agreement which prohibits Seller from providing any information to Buyer in accordance with this </w:t>
      </w:r>
      <w:r>
        <w:rPr>
          <w:rFonts w:ascii="Times New Roman" w:hAnsi="Times New Roman"/>
          <w:color w:val="000000"/>
          <w:sz w:val="20"/>
          <w:u w:val="single"/>
        </w:rPr>
        <w:t>Section 5.18</w:t>
      </w:r>
      <w:r>
        <w:rPr>
          <w:rFonts w:ascii="Times New Roman" w:hAnsi="Times New Roman"/>
          <w:color w:val="000000"/>
          <w:sz w:val="20"/>
        </w:rPr>
        <w:t xml:space="preserve"> or otherwise prohibits Seller from complying with its obligations under this </w:t>
      </w:r>
      <w:r>
        <w:rPr>
          <w:rFonts w:ascii="Times New Roman" w:hAnsi="Times New Roman"/>
          <w:color w:val="000000"/>
          <w:sz w:val="20"/>
          <w:u w:val="single"/>
        </w:rPr>
        <w:t>Section 5.18</w:t>
      </w:r>
      <w:r>
        <w:rPr>
          <w:rFonts w:ascii="Times New Roman" w:hAnsi="Times New Roman"/>
          <w:color w:val="000000"/>
          <w:sz w:val="20"/>
        </w:rPr>
        <w:t xml:space="preserve">.  Seller further agrees that it will not provide information to any Person pursuant to any confidentiality agreement entered into prior to the date of this Agreement unless such Person agrees prior to receipt of such information to waive any provision that would prohibit Seller from providing any information to Buyer in accordance with this </w:t>
      </w:r>
      <w:r>
        <w:rPr>
          <w:rFonts w:ascii="Times New Roman" w:hAnsi="Times New Roman"/>
          <w:color w:val="000000"/>
          <w:sz w:val="20"/>
          <w:u w:val="single"/>
        </w:rPr>
        <w:t>Section 5.18</w:t>
      </w:r>
      <w:r>
        <w:rPr>
          <w:rFonts w:ascii="Times New Roman" w:hAnsi="Times New Roman"/>
          <w:color w:val="000000"/>
          <w:sz w:val="20"/>
        </w:rPr>
        <w:t xml:space="preserve"> or otherwise prohibit Seller from complying with its obligations under this </w:t>
      </w:r>
      <w:r>
        <w:rPr>
          <w:rFonts w:ascii="Times New Roman" w:hAnsi="Times New Roman"/>
          <w:color w:val="000000"/>
          <w:sz w:val="20"/>
          <w:u w:val="single"/>
        </w:rPr>
        <w:t>Section 5.18</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(d)          </w:t>
      </w:r>
      <w:r>
        <w:rPr>
          <w:rFonts w:ascii="Times New Roman" w:hAnsi="Times New Roman"/>
          <w:color w:val="000000"/>
          <w:sz w:val="20"/>
          <w:u w:val="single"/>
        </w:rPr>
        <w:t>Definitions</w:t>
      </w:r>
      <w:r>
        <w:rPr>
          <w:rFonts w:ascii="Times New Roman" w:hAnsi="Times New Roman"/>
          <w:color w:val="000000"/>
          <w:sz w:val="20"/>
        </w:rPr>
        <w:t>.  For purposes of this Agreement:</w:t>
      </w:r>
    </w:p>
    <w:p>
      <w:pPr>
        <w:pStyle w:val="TextBody"/>
        <w:bidi w:val="0"/>
        <w:spacing w:before="0" w:after="0"/>
        <w:jc w:val="left"/>
        <w:rPr>
          <w:sz w:val="20"/>
        </w:rPr>
      </w:pPr>
      <w:r>
        <w:rPr>
          <w:sz w:val="20"/>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Business Acquisition Proposal</w:t>
      </w:r>
      <w:r>
        <w:rPr>
          <w:rFonts w:ascii="Times New Roman" w:hAnsi="Times New Roman"/>
          <w:color w:val="000000"/>
          <w:sz w:val="20"/>
        </w:rPr>
        <w:t xml:space="preserve">” means any transaction or series of related transactions (other than the Sale) involving: (i) any acquisition or purchase from Seller by any Person or “group” (as defined in or under Section 13(d) of the Exchange Act), directly or indirectly, of more than a 15% interest in the total outstanding securities (or instruments convertible into or exercisable or exchangeable for 15% or more of such securities) of the Transferred Companies, including pursuant to a stock purchase, merger, consolidation, tender offer, share exchange or other transaction involving Seller or any of its Subsidiaries; (ii) any tender offer (including self-tender) or exchange offer that if consummated would result in any Person or “group” (as defined in or under Section 13(d) of the Exchange Act) beneficially owning 15% or more of the total outstanding securities (or instruments convertible into or exercisable or exchangeable for 15% or more of such securities) of the Transferred Companies; (iii) any merger, consolidation, business combination, share exchange, issuance of securities, acquisition of securities, reorganization, recapitalization or other similar transaction involving any Transferred Company, pursuant to which the stockholders of such Transferred Company immediately preceding such transaction hold less than 85% of the equity interests in the surviving or resulting entity of such transaction or any parent entity thereof; (iv) any sale, lease, exchange, transfer or disposition (in each case, other than in the ordinary course of business) of more than 15% of the assets of the Business (taken as a whole) (measured by the fair market value thereof); or (v) any combination of the foregoing; </w:t>
      </w:r>
      <w:r>
        <w:rPr>
          <w:rFonts w:ascii="Times New Roman" w:hAnsi="Times New Roman"/>
          <w:color w:val="000000"/>
          <w:sz w:val="20"/>
          <w:u w:val="single"/>
        </w:rPr>
        <w:t>provided</w:t>
      </w:r>
      <w:r>
        <w:rPr>
          <w:rFonts w:ascii="Times New Roman" w:hAnsi="Times New Roman"/>
          <w:color w:val="000000"/>
          <w:sz w:val="20"/>
        </w:rPr>
        <w:t xml:space="preserve"> that the transactions contemplated by the Merger Agreement shall not constitute a Business Acquisition Proposal.</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olor w:val="000000"/>
        </w:rPr>
      </w:pPr>
      <w:r>
        <w:rPr>
          <w:color w:val="000000"/>
        </w:rPr>
        <w:t>“</w:t>
      </w:r>
      <w:r>
        <w:rPr>
          <w:rFonts w:ascii="Times New Roman" w:hAnsi="Times New Roman"/>
          <w:color w:val="000000"/>
          <w:sz w:val="20"/>
          <w:u w:val="single"/>
        </w:rPr>
        <w:t>Business Intervening Event</w:t>
      </w:r>
      <w:r>
        <w:rPr>
          <w:rFonts w:ascii="Times New Roman" w:hAnsi="Times New Roman"/>
          <w:color w:val="000000"/>
          <w:sz w:val="20"/>
        </w:rPr>
        <w:t>” means any Effect that is material to the Business, occurring or arising after the date of this Agreement that (i) was not known to, or reasonably foreseeable by, the Seller Board (or if known, the magnitude or effect of which was not known to, or reasonably foreseeable) prior to the execution of this Agreement, which Effect (or the magnitude or effect thereof) becomes known to, or reasonably foreseeable by, the Seller Board prior to the receipt of the Seller Stockholder Approval and (ii) does not relate to (A) a Business Acquisition Proposal or (B) (1) any changes in the market price or trading volume of Seller, (2) the mere fact Buyer or the Business meets or exceeds any internal or analysts’ published projections, forecasts, estimates or predictions of revenue, earnings or other financial or operating metrics for any period ending on or after the date of this Agreement, or changes after the date of this Agreement in the market price or trading volume of the common stock of Seller or the credit rating of Seller (it being understood that, with respect to clause (2), the facts or occurrences giving rise or contributing to such change or event may be taken into account when determining a Business Intervening Event), (3) any events or developments relating to Buyer or any of its Affiliates, (4) any event or development generally affecting the industries in which Seller or Buyer operate or in the economy generally or other general business, financial, market or political conditions, including changes in interest rates in the United States or any other country or region in the world and changes in exchange rates for the currencies of any countries and any suspension of trading in securities (whether equity, debt, derivative or hybrid securities) generally on any securities exchange or over-the-counter market operating in the United States or any other country or region in the world, (5) any change in any applicable Law or other legal or regulatory conditions or changes in GAAP or other accounting standards, (6) any event or development to the extent directly resulting from the announcement or pendency of, or any actions required to be taken by Seller or Buyer (or refrained to be taken by Seller or Buyer) pursuant to the Agreement or the consummation of the Sale, including expiration or termination of waiting periods or the receipt of approvals, consents or clearances applicable to the Sale under the Antitrust Laws, (7) earthquakes, hurricanes, tsunamis, tornadoes, floods, mudslides, wildfires or other natural disasters, weather conditions and other force majeure events or (8) any Actions made or brought by any of the current or former stockholders of Seller or Buyer (on their own behalf or on behalf of Seller or Buyer) against Seller or Buyer, including Actions arising out of the Sale.</w:t>
      </w:r>
    </w:p>
    <w:p>
      <w:pPr>
        <w:pStyle w:val="TextBody"/>
        <w:bidi w:val="0"/>
        <w:spacing w:before="0" w:after="0"/>
        <w:jc w:val="left"/>
        <w:rPr>
          <w:sz w:val="20"/>
        </w:rPr>
      </w:pPr>
      <w:r>
        <w:rPr>
          <w:sz w:val="20"/>
        </w:rPr>
      </w:r>
    </w:p>
    <w:p>
      <w:pPr>
        <w:pStyle w:val="TextBody"/>
        <w:bidi w:val="0"/>
        <w:spacing w:before="0" w:after="0"/>
        <w:ind w:left="0" w:right="0" w:firstLine="1440"/>
        <w:jc w:val="both"/>
        <w:rPr>
          <w:color w:val="000000"/>
        </w:rPr>
      </w:pPr>
      <w:r>
        <w:rPr>
          <w:color w:val="000000"/>
        </w:rPr>
        <w:t>“</w:t>
      </w:r>
      <w:r>
        <w:rPr>
          <w:rFonts w:ascii="Times New Roman" w:hAnsi="Times New Roman"/>
          <w:color w:val="000000"/>
          <w:sz w:val="20"/>
          <w:u w:val="single"/>
        </w:rPr>
        <w:t>Business Superior Proposal</w:t>
      </w:r>
      <w:r>
        <w:rPr>
          <w:rFonts w:ascii="Times New Roman" w:hAnsi="Times New Roman"/>
          <w:color w:val="000000"/>
          <w:sz w:val="20"/>
        </w:rPr>
        <w:t xml:space="preserve">” means any bona fide, written Business Acquisition Proposal on terms which the Seller Board determines in its good faith judgment, after consultation with outside financial advisors and outside legal counsel, would reasonably be expected to be consummated in accordance with its terms, taking into account all legal, financial and regulatory aspects of the proposal and the Person or group of Persons making the proposal, and, if consummated, would result in a transaction more favorable to Seller’s stockholders from a financial point of view than the Sale (after taking into account any revisions to the terms of the Sale pursuant to </w:t>
      </w:r>
      <w:r>
        <w:rPr>
          <w:rFonts w:ascii="Times New Roman" w:hAnsi="Times New Roman"/>
          <w:color w:val="000000"/>
          <w:sz w:val="20"/>
          <w:u w:val="single"/>
        </w:rPr>
        <w:t>Section 5.15(f)</w:t>
      </w:r>
      <w:r>
        <w:rPr>
          <w:rFonts w:ascii="Times New Roman" w:hAnsi="Times New Roman"/>
          <w:color w:val="000000"/>
          <w:sz w:val="20"/>
        </w:rPr>
        <w:t xml:space="preserve"> of this Agreement and the time likely to be required to consummate such Business Acquisition Proposal); </w:t>
      </w:r>
      <w:r>
        <w:rPr>
          <w:rFonts w:ascii="Times New Roman" w:hAnsi="Times New Roman"/>
          <w:color w:val="000000"/>
          <w:sz w:val="20"/>
          <w:u w:val="single"/>
        </w:rPr>
        <w:t>provided</w:t>
      </w:r>
      <w:r>
        <w:rPr>
          <w:rFonts w:ascii="Times New Roman" w:hAnsi="Times New Roman"/>
          <w:color w:val="000000"/>
          <w:sz w:val="20"/>
        </w:rPr>
        <w:t xml:space="preserve"> that for purposes of the definition of “Business Superior Proposal”, the references to “15%” in the definition of Business Acquisition Proposal shall be deemed to be references to “50%”.</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(e)         </w:t>
      </w:r>
      <w:r>
        <w:rPr>
          <w:rFonts w:ascii="Times New Roman" w:hAnsi="Times New Roman"/>
          <w:color w:val="000000"/>
          <w:sz w:val="20"/>
          <w:u w:val="single"/>
        </w:rPr>
        <w:t>No Change in Recommendation or Business Alternative Acquisition Agreement</w:t>
      </w:r>
      <w:r>
        <w:rPr>
          <w:rFonts w:ascii="Times New Roman" w:hAnsi="Times New Roman"/>
          <w:color w:val="000000"/>
          <w:sz w:val="20"/>
        </w:rPr>
        <w:t xml:space="preserve">.  Except as provided in </w:t>
      </w:r>
      <w:r>
        <w:rPr>
          <w:rFonts w:ascii="Times New Roman" w:hAnsi="Times New Roman"/>
          <w:color w:val="000000"/>
          <w:sz w:val="20"/>
          <w:u w:val="single"/>
        </w:rPr>
        <w:t>Section 5.15(f)</w:t>
      </w:r>
      <w:r>
        <w:rPr>
          <w:rFonts w:ascii="Times New Roman" w:hAnsi="Times New Roman"/>
          <w:color w:val="000000"/>
          <w:sz w:val="20"/>
        </w:rPr>
        <w:t>, the Seller Board and each committee of the Seller Board shall not (i)(A) withhold, withdraw, qualify or modify (or publicly propose or resolve to withhold, withdraw, qualify or modify), in a manner adverse to Buyer, the Seller Board Recommendation or (B) approve, recommend or otherwise declare advisable (or publicly propose or resolve to approve, recommend or otherwise declare advisable) any Business Acquisition Proposal or make or authorize the making of any public statement (oral or written), (C) remove the Seller Board Recommendation from or fail to include the Seller Board Recommendation in the Proxy Statement (any such action referred to in this clause (i), a “</w:t>
      </w:r>
      <w:r>
        <w:rPr>
          <w:rFonts w:ascii="Times New Roman" w:hAnsi="Times New Roman"/>
          <w:color w:val="000000"/>
          <w:sz w:val="20"/>
          <w:u w:val="single"/>
        </w:rPr>
        <w:t>Change in Recommendation</w:t>
      </w:r>
      <w:r>
        <w:rPr>
          <w:rFonts w:ascii="Times New Roman" w:hAnsi="Times New Roman"/>
          <w:color w:val="000000"/>
          <w:sz w:val="20"/>
        </w:rPr>
        <w:t xml:space="preserve">”) or (ii) approve, recommend or declare advisable, or propose to approve, recommend or declare advisable, or cause or permit Seller or any of its Subsidiaries to enter into any letter of intent, term sheet, memorandum of understanding, agreement in principle, acquisition agreement, merger agreement, option agreement, joint venture agreement, partnership agreement, lease agreement or other similar agreement (other than an Acceptable Confidentiality Agreement entered into in compliance with </w:t>
      </w:r>
      <w:r>
        <w:rPr>
          <w:rFonts w:ascii="Times New Roman" w:hAnsi="Times New Roman"/>
          <w:color w:val="000000"/>
          <w:sz w:val="20"/>
          <w:u w:val="single"/>
        </w:rPr>
        <w:t>Section 5.15(b)</w:t>
      </w:r>
      <w:r>
        <w:rPr>
          <w:rFonts w:ascii="Times New Roman" w:hAnsi="Times New Roman"/>
          <w:color w:val="000000"/>
          <w:sz w:val="20"/>
        </w:rPr>
        <w:t>) relating to or that could reasonably be expected to lead to any Business Acquisition Proposal or any agreement requiring Seller (or that would require or could reasonably be expected to require Seller) to abandon, terminate, delay or fail to consummate the Sale or any other transaction contemplated by this Agreement or that would otherwise materially impede, interfere with or be inconsistent with, the Sale (a “</w:t>
      </w:r>
      <w:r>
        <w:rPr>
          <w:rFonts w:ascii="Times New Roman" w:hAnsi="Times New Roman"/>
          <w:color w:val="000000"/>
          <w:sz w:val="20"/>
          <w:u w:val="single"/>
        </w:rPr>
        <w:t>Business Alternative Acquisition Agreement</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(f)        </w:t>
      </w:r>
      <w:r>
        <w:rPr>
          <w:rFonts w:ascii="Times New Roman" w:hAnsi="Times New Roman"/>
          <w:color w:val="000000"/>
          <w:sz w:val="20"/>
          <w:u w:val="single"/>
        </w:rPr>
        <w:t>Change in Recommendation Due to Superior Proposal</w:t>
      </w:r>
      <w:r>
        <w:rPr>
          <w:rFonts w:ascii="Times New Roman" w:hAnsi="Times New Roman"/>
          <w:color w:val="000000"/>
          <w:sz w:val="20"/>
        </w:rPr>
        <w:t xml:space="preserve">.  Notwithstanding anything to the contrary set forth in </w:t>
      </w:r>
      <w:r>
        <w:rPr>
          <w:rFonts w:ascii="Times New Roman" w:hAnsi="Times New Roman"/>
          <w:color w:val="000000"/>
          <w:sz w:val="20"/>
          <w:u w:val="single"/>
        </w:rPr>
        <w:t>Section 5.15(e)</w:t>
      </w:r>
      <w:r>
        <w:rPr>
          <w:rFonts w:ascii="Times New Roman" w:hAnsi="Times New Roman"/>
          <w:color w:val="000000"/>
          <w:sz w:val="20"/>
        </w:rPr>
        <w:t xml:space="preserve">, following receipt of a </w:t>
      </w:r>
      <w:r>
        <w:rPr>
          <w:rFonts w:ascii="Times New Roman" w:hAnsi="Times New Roman"/>
          <w:i/>
          <w:color w:val="000000"/>
          <w:sz w:val="20"/>
        </w:rPr>
        <w:t>bona fide</w:t>
      </w:r>
      <w:r>
        <w:rPr>
          <w:rFonts w:ascii="Times New Roman" w:hAnsi="Times New Roman"/>
          <w:color w:val="000000"/>
          <w:sz w:val="20"/>
        </w:rPr>
        <w:t xml:space="preserve"> written Business Acquisition Proposal by Seller after the date of this Agreement that did not result from a breach of this </w:t>
      </w:r>
      <w:r>
        <w:rPr>
          <w:rFonts w:ascii="Times New Roman" w:hAnsi="Times New Roman"/>
          <w:color w:val="000000"/>
          <w:sz w:val="20"/>
          <w:u w:val="single"/>
        </w:rPr>
        <w:t>Section 5.15</w:t>
      </w:r>
      <w:r>
        <w:rPr>
          <w:rFonts w:ascii="Times New Roman" w:hAnsi="Times New Roman"/>
          <w:color w:val="000000"/>
          <w:sz w:val="20"/>
        </w:rPr>
        <w:t xml:space="preserve"> and with respect to which Seller has received a written, definitive form of a Business Alternative Acquisition Agreement that has not been withdrawn, and the Seller Board determining in good faith, after consultation with outside financial advisors and outside legal counsel, that such Business Acquisition Proposal constitutes a Business Superior Proposal, the Seller Board may, at any time prior to the time the Seller Stockholder Approval is obtained, make a Change in Recommendation, if all of the following conditions are met:</w:t>
      </w:r>
    </w:p>
    <w:p>
      <w:pPr>
        <w:pStyle w:val="TextBody"/>
        <w:bidi w:val="0"/>
        <w:spacing w:before="0" w:after="0"/>
        <w:jc w:val="left"/>
        <w:rPr>
          <w:sz w:val="20"/>
        </w:rPr>
      </w:pPr>
      <w:r>
        <w:rPr>
          <w:sz w:val="20"/>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(i)        Seller shall have complied in all material respects with the provisions of this </w:t>
      </w:r>
      <w:r>
        <w:rPr>
          <w:rFonts w:ascii="Times New Roman" w:hAnsi="Times New Roman"/>
          <w:color w:val="000000"/>
          <w:sz w:val="20"/>
          <w:u w:val="single"/>
        </w:rPr>
        <w:t>Section 5.15</w:t>
      </w:r>
      <w:r>
        <w:rPr>
          <w:rFonts w:ascii="Times New Roman" w:hAnsi="Times New Roman"/>
          <w:color w:val="000000"/>
          <w:sz w:val="20"/>
        </w:rPr>
        <w:t xml:space="preserve"> with respect to such Business Acquisition Proposal and shall have (A) provided to Buyer four Business Days’ prior written notice, which shall state expressly (1) that it has received a written Business Acquisition Proposal that constitutes a Business Superior Proposal, (2) the material terms and conditions of the Business Acquisition Proposal (including the consideration offered therein and the identity of the Person or group making the Business Acquisition Proposal), including an unredacted copy of the Business Alternative Acquisition Agreement and all other written documents and a summary of the material terms of oral communications related to the Business Superior Proposal (it being understood and agreed that any material amendment to any Business Acquisition Proposal (including the financial terms or any other material term or condition of such Business Acquisition Proposal) shall require a new notice to Buyer and an additional two Business Day notice period) and (3) that, subject to clause (ii) below, the Seller Board has determined to effect a Change in Recommendation and (B) prior to making such a Change in Recommendation, (x) engaged, and used its reasonable best efforts to cause its Representatives to engage, in good faith negotiations with Buyer (to the extent Buyer wishes to engage) during such four Business Day period to consider adjustments to the terms and conditions of this Agreement or other proposals that may be proposed in writing by Buyer during such notice period such that the Business Acquisition Proposal ceases to constitute a Business Superior Proposal and (y) in determining whether to make a Change in Recommendation, the Seller Board shall take into account any changes to the terms of this Agreement, and any other proposals, proposed in writing by Buyer; and</w:t>
      </w:r>
    </w:p>
    <w:p>
      <w:pPr>
        <w:pStyle w:val="TextBody"/>
        <w:bidi w:val="0"/>
        <w:spacing w:before="0" w:after="0"/>
        <w:jc w:val="left"/>
        <w:rPr>
          <w:sz w:val="20"/>
        </w:rPr>
      </w:pPr>
      <w:r>
        <w:rPr>
          <w:sz w:val="20"/>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(ii)         the Seller Board shall have determined, in good faith, after consultation with outside financial advisors and outside legal counsel, that, in light of such Business Acquisition Proposal and taking into account any revised terms proposed in writing by Buyer and the results of negotiations with Seller pursuant to clause (i) above, such Business Acquisition Proposal continues to constitute a Business Superior Proposal and, after consultation with outside legal counsel, that the failure to make such Change in Recommendation would reasonably be expected to be inconsistent with the fiduciary duties of the Seller Board to the holders of Seller capital stock under applicable Law.</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(g)       </w:t>
      </w:r>
      <w:r>
        <w:rPr>
          <w:rFonts w:ascii="Times New Roman" w:hAnsi="Times New Roman"/>
          <w:color w:val="000000"/>
          <w:sz w:val="20"/>
          <w:u w:val="single"/>
        </w:rPr>
        <w:t>Change in Recommendation Due to Business Intervening Event</w:t>
      </w:r>
      <w:r>
        <w:rPr>
          <w:rFonts w:ascii="Times New Roman" w:hAnsi="Times New Roman"/>
          <w:color w:val="000000"/>
          <w:sz w:val="20"/>
        </w:rPr>
        <w:t xml:space="preserve">.  Notwithstanding anything to the contrary set forth in </w:t>
      </w:r>
      <w:r>
        <w:rPr>
          <w:rFonts w:ascii="Times New Roman" w:hAnsi="Times New Roman"/>
          <w:color w:val="000000"/>
          <w:sz w:val="20"/>
          <w:u w:val="single"/>
        </w:rPr>
        <w:t>Section 5.15(e</w:t>
      </w:r>
      <w:r>
        <w:rPr>
          <w:rFonts w:ascii="Times New Roman" w:hAnsi="Times New Roman"/>
          <w:color w:val="000000"/>
          <w:sz w:val="20"/>
        </w:rPr>
        <w:t>), upon the occurrence of any Business Intervening Event, the Seller Board may, at any time prior to the time the Seller Stockholder Approval is obtained, make a Change in Recommendation, if all of the following conditions are met:</w:t>
      </w:r>
    </w:p>
    <w:p>
      <w:pPr>
        <w:pStyle w:val="TextBody"/>
        <w:bidi w:val="0"/>
        <w:spacing w:before="0" w:after="0"/>
        <w:jc w:val="left"/>
        <w:rPr>
          <w:sz w:val="20"/>
        </w:rPr>
      </w:pPr>
      <w:r>
        <w:rPr>
          <w:sz w:val="20"/>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       Seller shall have (A) provided to Buyer four Business Days’ prior written notice, which shall (1) set forth in reasonable detail information describing the Business Intervening Event and the rationale for the Change in Recommendation (it being understood and agreed that any amendment to the facts and circumstances relating to the Business Intervening Event shall require a new notice to Buyer and an additional two Business Day notice period) and (2) state expressly that, subject to clause (ii) below, the Seller Board has determined to effect a Change in Recommendation and (B) prior to making such a Change in Recommendation, engaged in good faith negotiations with Buyer (to the extent Buyer wishes to engage) during such four Business Day period to consider adjustments to the terms and conditions of this Agreement or other proposals that may be proposed in writing by Buyer during such notice period in such a manner that the failure of the Seller Board to make a Change in Recommendation in response to the Business Intervening Event in accordance with clause (ii) below would no longer be inconsistent with the fiduciary duties of the Seller Board to the holders of Seller capital stock under applicable Law; and</w:t>
      </w:r>
    </w:p>
    <w:p>
      <w:pPr>
        <w:pStyle w:val="TextBody"/>
        <w:bidi w:val="0"/>
        <w:spacing w:before="0" w:after="0"/>
        <w:jc w:val="left"/>
        <w:rPr>
          <w:sz w:val="20"/>
        </w:rPr>
      </w:pPr>
      <w:r>
        <w:rPr>
          <w:sz w:val="20"/>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(ii)        the Seller Board shall have determined in good faith, after consultation with outside financial advisors and outside legal counsel, that in light of such Business Intervening Event and taking into account any revised terms proposed in writing by Buyer and the results of negotiations with Buyer pursuant to clause (i) above, the failure to make a Change in Recommendation, would be inconsistent with the fiduciary duties of Seller Board to the holders of Seller’s capital stock under applicable Law.</w:t>
      </w:r>
    </w:p>
    <w:p>
      <w:pPr>
        <w:pStyle w:val="TextBody"/>
        <w:bidi w:val="0"/>
        <w:spacing w:before="0" w:after="0"/>
        <w:jc w:val="left"/>
        <w:rPr>
          <w:sz w:val="20"/>
        </w:rPr>
      </w:pPr>
      <w:r>
        <w:rPr>
          <w:sz w:val="20"/>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(iii)      Seller’s obligation to call, give notice of and hold the Seller Stockholders Meeting in accordance with </w:t>
      </w:r>
      <w:r>
        <w:rPr>
          <w:rFonts w:ascii="Times New Roman" w:hAnsi="Times New Roman"/>
          <w:color w:val="000000"/>
          <w:sz w:val="20"/>
          <w:u w:val="single"/>
        </w:rPr>
        <w:t>Section 5.17(a)</w:t>
      </w:r>
      <w:r>
        <w:rPr>
          <w:rFonts w:ascii="Times New Roman" w:hAnsi="Times New Roman"/>
          <w:color w:val="000000"/>
          <w:sz w:val="20"/>
        </w:rPr>
        <w:t xml:space="preserve"> shall not be limited or otherwise affected by the commencement, disclosure, announcement or submission of any Business Superior Proposal or Business Acquisition Proposal or by any Change in Recommendation.</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(h)         </w:t>
      </w:r>
      <w:r>
        <w:rPr>
          <w:rFonts w:ascii="Times New Roman" w:hAnsi="Times New Roman"/>
          <w:color w:val="000000"/>
          <w:sz w:val="20"/>
          <w:u w:val="single"/>
        </w:rPr>
        <w:t>Certain Permitted Disclosure</w:t>
      </w:r>
      <w:r>
        <w:rPr>
          <w:rFonts w:ascii="Times New Roman" w:hAnsi="Times New Roman"/>
          <w:color w:val="000000"/>
          <w:sz w:val="20"/>
        </w:rPr>
        <w:t xml:space="preserve">.  Nothing contained in this </w:t>
      </w:r>
      <w:r>
        <w:rPr>
          <w:rFonts w:ascii="Times New Roman" w:hAnsi="Times New Roman"/>
          <w:color w:val="000000"/>
          <w:sz w:val="20"/>
          <w:u w:val="single"/>
        </w:rPr>
        <w:t>Section 5.15</w:t>
      </w:r>
      <w:r>
        <w:rPr>
          <w:rFonts w:ascii="Times New Roman" w:hAnsi="Times New Roman"/>
          <w:color w:val="000000"/>
          <w:sz w:val="20"/>
        </w:rPr>
        <w:t xml:space="preserve"> shall be deemed to prohibit Seller from complying with its disclosure obligations under applicable U.S. federal or state Law (as determined in good faith by Seller) with regard to a Business Acquisition Proposal; </w:t>
      </w:r>
      <w:r>
        <w:rPr>
          <w:rFonts w:ascii="Times New Roman" w:hAnsi="Times New Roman"/>
          <w:color w:val="000000"/>
          <w:sz w:val="20"/>
          <w:u w:val="single"/>
        </w:rPr>
        <w:t>provided</w:t>
      </w:r>
      <w:r>
        <w:rPr>
          <w:rFonts w:ascii="Times New Roman" w:hAnsi="Times New Roman"/>
          <w:color w:val="000000"/>
          <w:sz w:val="20"/>
        </w:rPr>
        <w:t xml:space="preserve"> that any “stop look and listen” communication to its stockholders of the nature contemplated by Rule 14d-9 under the Exchange Act shall include an affirmative statement to the effect that the recommendation of the Seller Board is affirmed or remains unchanged;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this </w:t>
      </w:r>
      <w:r>
        <w:rPr>
          <w:rFonts w:ascii="Times New Roman" w:hAnsi="Times New Roman"/>
          <w:color w:val="000000"/>
          <w:sz w:val="20"/>
          <w:u w:val="single"/>
        </w:rPr>
        <w:t>Section 5.15(h)</w:t>
      </w:r>
      <w:r>
        <w:rPr>
          <w:rFonts w:ascii="Times New Roman" w:hAnsi="Times New Roman"/>
          <w:color w:val="000000"/>
          <w:sz w:val="20"/>
        </w:rPr>
        <w:t xml:space="preserve"> shall not be deemed to permit the Seller Board to effect a Change in Recommendation except in accordance with </w:t>
      </w:r>
      <w:r>
        <w:rPr>
          <w:rFonts w:ascii="Times New Roman" w:hAnsi="Times New Roman"/>
          <w:color w:val="000000"/>
          <w:sz w:val="20"/>
          <w:u w:val="single"/>
        </w:rPr>
        <w:t>Section 5.15(f)</w:t>
      </w:r>
      <w:r>
        <w:rPr>
          <w:rFonts w:ascii="Times New Roman" w:hAnsi="Times New Roman"/>
          <w:color w:val="000000"/>
          <w:sz w:val="20"/>
        </w:rPr>
        <w:t xml:space="preserve"> or </w:t>
      </w:r>
      <w:r>
        <w:rPr>
          <w:rFonts w:ascii="Times New Roman" w:hAnsi="Times New Roman"/>
          <w:color w:val="000000"/>
          <w:sz w:val="20"/>
          <w:u w:val="single"/>
        </w:rPr>
        <w:t>Section 5.15(g)</w:t>
      </w:r>
      <w:r>
        <w:rPr>
          <w:rFonts w:ascii="Times New Roman" w:hAnsi="Times New Roman"/>
          <w:color w:val="000000"/>
          <w:sz w:val="20"/>
        </w:rPr>
        <w:t>.  Seller shall not submit to the vote of its stockholders any Business Acquisition Proposal or Business Superior Proposal prior to the valid termination of this Agreement.</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(i)         Seller agrees that in the event that Seller or any Representative of Seller takes any action which, if taken by Seller, would constitute a breach of this </w:t>
      </w:r>
      <w:r>
        <w:rPr>
          <w:rFonts w:ascii="Times New Roman" w:hAnsi="Times New Roman"/>
          <w:color w:val="000000"/>
          <w:sz w:val="20"/>
          <w:u w:val="single"/>
        </w:rPr>
        <w:t>Section 5.15</w:t>
      </w:r>
      <w:r>
        <w:rPr>
          <w:rFonts w:ascii="Times New Roman" w:hAnsi="Times New Roman"/>
          <w:color w:val="000000"/>
          <w:sz w:val="20"/>
        </w:rPr>
        <w:t xml:space="preserve">, Seller shall be deemed to be in breach of this </w:t>
      </w:r>
      <w:r>
        <w:rPr>
          <w:rFonts w:ascii="Times New Roman" w:hAnsi="Times New Roman"/>
          <w:color w:val="000000"/>
          <w:sz w:val="20"/>
          <w:u w:val="single"/>
        </w:rPr>
        <w:t>Section 5.15</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5.16        </w:t>
      </w:r>
      <w:r>
        <w:rPr>
          <w:rFonts w:ascii="Times New Roman" w:hAnsi="Times New Roman"/>
          <w:color w:val="000000"/>
          <w:sz w:val="20"/>
          <w:u w:val="single"/>
        </w:rPr>
        <w:t>Information Supplied</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Seller shall prepare and cause to be filed with the SEC a proxy statement (as amended or supplemented from time to time, the “</w:t>
      </w:r>
      <w:r>
        <w:rPr>
          <w:rFonts w:ascii="Times New Roman" w:hAnsi="Times New Roman"/>
          <w:color w:val="000000"/>
          <w:sz w:val="20"/>
          <w:u w:val="single"/>
        </w:rPr>
        <w:t>Proxy Statement</w:t>
      </w:r>
      <w:r>
        <w:rPr>
          <w:rFonts w:ascii="Times New Roman" w:hAnsi="Times New Roman"/>
          <w:color w:val="000000"/>
          <w:sz w:val="20"/>
        </w:rPr>
        <w:t>”) with respect to the Seller Stockholders Meeting, which may be included in the Registration Statement, and combined with other proposals related to the Merger Agreement.  Seller shall use its reasonable best efforts to respond as promptly as reasonably practicable to any comments received from the SEC concerning the Proxy Statement and to resolve any such comments with the SEC.  Each of Buyer and Seller shall furnish or cause to be furnished all information about such Party and its officers, directors and shareholders requested by the other Party that is required to be disclosed in the Proxy Statement.  Seller shall use reasonable best efforts to cause the Proxy Statement to be mailed to Seller’s stockholders as promptly as practicable after the Proxy Statement Clearance Date, but in any event if included in the Registration Statement at the same time it is sent to Seller’s stockholders pursuant to the Merger Agreement.</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No filing of, or amendment or supplement to, the Proxy Statement will be made by Seller without providing Buyer a reasonable opportunity to review and comment thereon (other than any filing, amendment or supplement in connection with a Change in Recommendation or a Business Alternative Acquisition Agreement), and Seller shall consider in good faith and reflect all comments reasonably proposed by Buyer.  Seller shall promptly provide Buyer with copies of all such filings, amendments or supplements to the extent not publicly available.  Each of Buyer and Seller shall furnish all information concerning such Person and its Affiliates to the other and provide such other assistance as may be reasonably requested by such other Party to be included therein and shall otherwise reasonably assist and cooperate with the other in the preparation of the Proxy Statement and the resolution of any comments received from the SEC.  If at any time prior to the receipt of the Seller Stockholder Approval, any information relating to Buyer or Seller, or any of their respective Affiliates, directors or officers, should be discovered by Buyer or Seller which is required to be set forth in an amendment or supplement to the Proxy Statement, so that either such document would not include any misstatement of a material fact or omit to state any material fact required to be stated therein or necessary to make the statements therein, in light of the circumstances under which they were made, not misleading, the Party which discovers such information shall promptly notify the other Party and an appropriate amendment or supplement describing such information shall be promptly filed with the SEC and, to the extent required by applicable Law, disseminated to the stockholders of Seller.  The Parties shall notify each other promptly of the receipt of any comments from the SEC or the staff of the SEC related to the Business or the Transferred Assets and of any request by the SEC or the staff of the SEC for amendments or supplements related to the Business or the Transferred Assets, or for additional information related to the Business or the Transferred Assets, and shall supply each other with copies of (i) all correspondence between it or any of its Representatives, on the one hand, and the SEC or the staff of the SEC, on the other hand, with respect to the Sale related to the Business or the Transferred Assets and (ii) all orders of the SEC relating to the Proxy Statement.  No response to any comments from the SEC or the staff of the SEC relating to the Proxy Statement will be made by Seller without providing Buyer a reasonable opportunity to review and comment thereon unless pursuant to a telephone call initiated by the SEC, and Seller shall consider in good faith and reflect all comments reasonably proposed by Buyer.  Seller will cause the Proxy Statement to comply as to form in all material respects with the applicable provisions of the Securities Act and the Exchange Act and the rules and regulations thereunder.</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Prior to the Closing, Buyer shall, and shall cause its Subsidiaries to, use commercially reasonable efforts to (A) cooperate in connection with Seller’s compliance with its obligations under the Exchange Act and the Securities Act and the rules and regulations promulgated thereunder as may be reasonably requested by Seller, including with respect to preparation of the Proxy Statement, (B) provide on a timely basis all audited and unaudited consolidated financial statements of Buyer and its Subsidiaries required by applicable Law to be included in any filing with the SEC of Seller or any of its Affiliates, including the Proxy Statement and any Form 8-K related to the transactions contemplated by this Agreement, (C) provide such financial records and information regarding Buyer and its Subsidiaries as may be reasonably necessary for Seller to prepare any pro forma financial statements required by applicable Law to be included in any statements, forms, schedules, reports or other documents filed or furnished by Seller or its Affiliates with the SEC, including the Proxy Statement and any Form 8-K relating to the transactions contemplated by this Agreement and (D) in connection with the provision of audited and unaudited consolidated financial statements of Buyer and its Subsidiaries to be included in the Proxy Statement, provide a customary “management’s discussion and analysis of financial condition and results of operations” for each period included in such audited and unaudited consolidated financial statements.</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(d)         Notwithstanding anything to the contrary contained in this </w:t>
      </w:r>
      <w:r>
        <w:rPr>
          <w:rFonts w:ascii="Times New Roman" w:hAnsi="Times New Roman"/>
          <w:color w:val="000000"/>
          <w:sz w:val="20"/>
          <w:u w:val="single"/>
        </w:rPr>
        <w:t>Section 5.16</w:t>
      </w:r>
      <w:r>
        <w:rPr>
          <w:rFonts w:ascii="Times New Roman" w:hAnsi="Times New Roman"/>
          <w:color w:val="000000"/>
          <w:sz w:val="20"/>
        </w:rPr>
        <w:t xml:space="preserve">, Seller shall not be in breach of any of the foregoing provisions of this </w:t>
      </w:r>
      <w:r>
        <w:rPr>
          <w:rFonts w:ascii="Times New Roman" w:hAnsi="Times New Roman"/>
          <w:color w:val="000000"/>
          <w:sz w:val="20"/>
          <w:u w:val="single"/>
        </w:rPr>
        <w:t>Section 5.16</w:t>
      </w:r>
      <w:r>
        <w:rPr>
          <w:rFonts w:ascii="Times New Roman" w:hAnsi="Times New Roman"/>
          <w:color w:val="000000"/>
          <w:sz w:val="20"/>
        </w:rPr>
        <w:t xml:space="preserve"> to the extent the failure by Buyer or any of its Subsidiaries to deliver any required information to Seller in connection with the Proxy Statement resulted in Seller’s failure to meet its obligations under the foregoing provisions of this </w:t>
      </w:r>
      <w:r>
        <w:rPr>
          <w:rFonts w:ascii="Times New Roman" w:hAnsi="Times New Roman"/>
          <w:color w:val="000000"/>
          <w:sz w:val="20"/>
          <w:u w:val="single"/>
        </w:rPr>
        <w:t>Section 5.16</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(e)         During the period from the date of this Agreement to the earlier of the Closing and the time, if any, at which this Agreement is terminated pursuant to </w:t>
      </w:r>
      <w:r>
        <w:rPr>
          <w:rFonts w:ascii="Times New Roman" w:hAnsi="Times New Roman"/>
          <w:color w:val="000000"/>
          <w:sz w:val="20"/>
          <w:u w:val="single"/>
        </w:rPr>
        <w:t>Article VII</w:t>
      </w:r>
      <w:r>
        <w:rPr>
          <w:rFonts w:ascii="Times New Roman" w:hAnsi="Times New Roman"/>
          <w:color w:val="000000"/>
          <w:sz w:val="20"/>
        </w:rPr>
        <w:t>, Buyer shall request its auditors to (i) cooperate with respect to any filing with the SEC of Seller or any of its Affiliates, including the Proxy Statement and any Form 8-K relating to the transactions contemplated by this Agreement, including in connection with the preparation of any required pro forma financial statements or the delivery of any auditor consents and (ii) provide access to Seller and its Representatives to the work papers of Buyer’s auditors.</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5.17        </w:t>
      </w:r>
      <w:r>
        <w:rPr>
          <w:rFonts w:ascii="Times New Roman" w:hAnsi="Times New Roman"/>
          <w:color w:val="000000"/>
          <w:sz w:val="20"/>
          <w:u w:val="single"/>
        </w:rPr>
        <w:t>Seller Stockholders Meeting</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Seller will, as promptly as practicable in accordance with applicable Law and its Organizational Documents, establish a record date for, duly call and give notice of, and use its reasonable best efforts to convene a meeting of holders of common stock of Seller to consider and vote upon the Sale, which meeting shall in any event take place within 45 days after the Proxy Statement Clearance Date (the “</w:t>
      </w:r>
      <w:r>
        <w:rPr>
          <w:rFonts w:ascii="Times New Roman" w:hAnsi="Times New Roman"/>
          <w:color w:val="000000"/>
          <w:sz w:val="20"/>
          <w:u w:val="single"/>
        </w:rPr>
        <w:t>Seller Stockholders Meeting</w:t>
      </w:r>
      <w:r>
        <w:rPr>
          <w:rFonts w:ascii="Times New Roman" w:hAnsi="Times New Roman"/>
          <w:color w:val="000000"/>
          <w:sz w:val="20"/>
        </w:rPr>
        <w:t xml:space="preserve">”).  Seller shall use its reasonable best efforts to hold the Seller Stockholders Meeting as soon as practicable after Proxy Statement Clearance Date;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notwithstanding anything to the contrary herein, Seller shall be entitled to submit the proposal to approve the Sale to the holders of common stock of Seller at the Parent Stockholders Meeting (as defined in the Merger Agreement) and include such proposal in the registration statement on Form S-4 (as amended or supplemented from time to time, the “</w:t>
      </w:r>
      <w:r>
        <w:rPr>
          <w:rFonts w:ascii="Times New Roman" w:hAnsi="Times New Roman"/>
          <w:color w:val="000000"/>
          <w:sz w:val="20"/>
          <w:u w:val="single"/>
        </w:rPr>
        <w:t>Registration Statement</w:t>
      </w:r>
      <w:r>
        <w:rPr>
          <w:rFonts w:ascii="Times New Roman" w:hAnsi="Times New Roman"/>
          <w:color w:val="000000"/>
          <w:sz w:val="20"/>
        </w:rPr>
        <w:t xml:space="preserve">”) filed pursuant to the Merger Agreement, in each case in accordance with the timing required for the Parent Stockholders Meeting and the Registration Statement in accordance with and pursuant to the Merger Agreement.  Subject to the provisions of </w:t>
      </w:r>
      <w:r>
        <w:rPr>
          <w:rFonts w:ascii="Times New Roman" w:hAnsi="Times New Roman"/>
          <w:color w:val="000000"/>
          <w:sz w:val="20"/>
          <w:u w:val="single"/>
        </w:rPr>
        <w:t>Section 5.15</w:t>
      </w:r>
      <w:r>
        <w:rPr>
          <w:rFonts w:ascii="Times New Roman" w:hAnsi="Times New Roman"/>
          <w:color w:val="000000"/>
          <w:sz w:val="20"/>
        </w:rPr>
        <w:t>, the Seller Board shall include the Seller Board Recommendation in the Proxy Statement and recommend at the Seller Stockholders Meeting that the holders of capital stock of Seller approve the Sale, and shall use its reasonable best efforts to obtain and solicit such approval.  Notwithstanding the foregoing, to the extent the Proxy Statement is not included in the Registration Statement (A) if on or before the date on which the Seller Stockholders Meeting is scheduled, Seller reasonably believes that (1) it will not receive proxies representing the Seller Stockholder Approval, whether or not a quorum is present or (2) it will not have enough shares of common stock represented to constitute a quorum necessary to conduct the business of the Seller Stockholders Meeting, Seller may (and, if requested by Buyer, Seller shall) postpone or adjourn, or make one or more successive postponements or adjournments of, the Seller Stockholders Meeting and (B) Seller may postpone or adjourn the Seller Stockholders Meeting to allow reasonable additional time for the filing or mailing of any supplemental or amended disclosure that Seller has determined, after consultation with outside legal counsel, is reasonably likely to be required under applicable Law and for such supplemental or amended disclosure to be disseminated and reviewed by stockholders of Seller prior to the Seller Stockholders Meeting, as long as the date of the Seller Stockholders Meeting is not postponed or adjourned more than an aggregate of 30 days in connection with all such postponements or adjournments pursuant to either or both of the preceding clauses (A) and (B).</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Notwithstanding any Change in Recommendation, Seller shall comply with its obligations under </w:t>
      </w:r>
      <w:r>
        <w:rPr>
          <w:rFonts w:ascii="Times New Roman" w:hAnsi="Times New Roman"/>
          <w:color w:val="000000"/>
          <w:sz w:val="20"/>
          <w:u w:val="single"/>
        </w:rPr>
        <w:t>Section 5.17(a)</w:t>
      </w:r>
      <w:r>
        <w:rPr>
          <w:rFonts w:ascii="Times New Roman" w:hAnsi="Times New Roman"/>
          <w:color w:val="000000"/>
          <w:sz w:val="20"/>
        </w:rPr>
        <w:t xml:space="preserve"> unless this Agreement is terminated in accordance with </w:t>
      </w:r>
      <w:r>
        <w:rPr>
          <w:rFonts w:ascii="Times New Roman" w:hAnsi="Times New Roman"/>
          <w:color w:val="000000"/>
          <w:sz w:val="20"/>
          <w:u w:val="single"/>
        </w:rPr>
        <w:t>Article VII</w:t>
      </w:r>
      <w:r>
        <w:rPr>
          <w:rFonts w:ascii="Times New Roman" w:hAnsi="Times New Roman"/>
          <w:color w:val="000000"/>
          <w:sz w:val="20"/>
        </w:rPr>
        <w:t xml:space="preserve"> prior to the Seller Stockholders Meeting.</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5.18       </w:t>
      </w:r>
      <w:r>
        <w:rPr>
          <w:rFonts w:ascii="Times New Roman" w:hAnsi="Times New Roman"/>
          <w:color w:val="000000"/>
          <w:sz w:val="20"/>
          <w:u w:val="single"/>
        </w:rPr>
        <w:t>Obligations of Business Companies and Subsidiary Transferors</w:t>
      </w:r>
      <w:r>
        <w:rPr>
          <w:rFonts w:ascii="Times New Roman" w:hAnsi="Times New Roman"/>
          <w:color w:val="000000"/>
          <w:sz w:val="20"/>
        </w:rPr>
        <w:t>. (a) Prior to the Closing, Seller shall take all action necessary to cause the Business Companies and the Subsidiary Transferors to perform any obligations under this Agreement that are stated to apply to the Business Companies or the Subsidiary Transferors, as applicable and (b) from and after the Closing, Buyer shall take all action necessary to cause the Business Companies to perform any obligations under this Agreement that are stated to apply to the Business Companies and Seller shall take all action necessary to cause the Subsidiary Transferors to perform any obligations under this Agreement that are stated to apply to the Subsidiary Transferors.</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5.19        </w:t>
      </w:r>
      <w:r>
        <w:rPr>
          <w:rFonts w:ascii="Times New Roman" w:hAnsi="Times New Roman"/>
          <w:color w:val="000000"/>
          <w:sz w:val="20"/>
          <w:u w:val="single"/>
        </w:rPr>
        <w:t>Debt Financing</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During the period from the date of this Agreement to the Closing Date, Buyer shall, and shall cause its respective Affiliates and their respective Representatives to, use commercially reasonable best efforts to obtain a senior secured working capital loan facility to be available to Buyer after the Closing on terms reasonably satisfactory to Seller (the “</w:t>
      </w:r>
      <w:r>
        <w:rPr>
          <w:rFonts w:ascii="Times New Roman" w:hAnsi="Times New Roman"/>
          <w:color w:val="000000"/>
          <w:sz w:val="20"/>
          <w:u w:val="single"/>
        </w:rPr>
        <w:t>Working Capital Debt Financing</w:t>
      </w:r>
      <w:r>
        <w:rPr>
          <w:rFonts w:ascii="Times New Roman" w:hAnsi="Times New Roman"/>
          <w:color w:val="000000"/>
          <w:sz w:val="20"/>
        </w:rPr>
        <w:t xml:space="preserve">”).  Buyer agrees to keep Seller reasonably informed, on a current basis, on the status of its efforts to obtain the capital contemplated by this </w:t>
      </w:r>
      <w:r>
        <w:rPr>
          <w:rFonts w:ascii="Times New Roman" w:hAnsi="Times New Roman"/>
          <w:color w:val="000000"/>
          <w:sz w:val="20"/>
          <w:u w:val="single"/>
        </w:rPr>
        <w:t>Section 5.19</w:t>
      </w:r>
      <w:r>
        <w:rPr>
          <w:rFonts w:ascii="Times New Roman" w:hAnsi="Times New Roman"/>
          <w:color w:val="000000"/>
          <w:sz w:val="20"/>
        </w:rPr>
        <w:t xml:space="preserve">.  Seller agrees to use its reasonable best efforts to provide, and shall cause the Business Companies and their Representatives to use their respective reasonable best efforts to provide, such cooperation and assistance as may be reasonably requested by Buyer in connection with the arrangement or consummation of the Working Capital Debt Financing, at Buyer’s sole cost and expense, provided that (i) such cooperation shall not unreasonably disrupt or interfere with the business or the operations of Seller or the Business Companies, (ii) nothing in this </w:t>
      </w:r>
      <w:r>
        <w:rPr>
          <w:rFonts w:ascii="Times New Roman" w:hAnsi="Times New Roman"/>
          <w:color w:val="000000"/>
          <w:sz w:val="20"/>
          <w:u w:val="single"/>
        </w:rPr>
        <w:t>Section 5.19</w:t>
      </w:r>
      <w:r>
        <w:rPr>
          <w:rFonts w:ascii="Times New Roman" w:hAnsi="Times New Roman"/>
          <w:color w:val="000000"/>
          <w:sz w:val="20"/>
        </w:rPr>
        <w:t xml:space="preserve"> shall require cooperation to the extent that it would (A) subject Seller or the Business Companies to any actual or potential personal liability, (B) materially conflict with, or violate, the Organizational Documents of Seller or the Business Companies or any applicable Law or any material Contract to which any of them are a party or (C) cause any breach of this Agreement or cause any condition to the Closing set forth in </w:t>
      </w:r>
      <w:r>
        <w:rPr>
          <w:rFonts w:ascii="Times New Roman" w:hAnsi="Times New Roman"/>
          <w:color w:val="000000"/>
          <w:sz w:val="20"/>
          <w:u w:val="single"/>
        </w:rPr>
        <w:t>Article VI</w:t>
      </w:r>
      <w:r>
        <w:rPr>
          <w:rFonts w:ascii="Times New Roman" w:hAnsi="Times New Roman"/>
          <w:color w:val="000000"/>
          <w:sz w:val="20"/>
        </w:rPr>
        <w:t xml:space="preserve"> to not be satisfied, (iii) none Seller nor any of the Business Companies shall be required to pay any commitment or other fee or incur or assume any liability or other obligation in connection with the Working Capital Debt Financing or be required to take any action that would subject it to actual or potential liability, to bear any cost or expense or to make any other payment or agree to provide any indemnity in connection with the Working Capital Debt Financing or any information utilized in connection therewith that will not be repaid, reimbursed or indemnified in full by Buyer or disclose information where Seller determines that such access or disclosure would contravene any confidentiality agreement or jeopardize any legal or other privilege and (iv) none of Seller, the Business Companies or their respective directors, managers, officers or employees shall be required to approve, execute, deliver or enter into, or perform any agreement, document or instrument with respect to the Working Capital Debt Financing that would be effective prior to the Closing and none of Seller, the Business Companies or their respective directors, officers and employees shall be required to adopt resolutions approving the agreements, documents and instruments for the Working Capital Debt Financing.</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In the event that Buyer, using its reasonable best efforts, is unable to obtain the Working Capital Debt Financing prior to Closing, Seller will provide a working capital loan in an amount no greater than $10,000,000, on the terms attached hereto as </w:t>
      </w:r>
      <w:r>
        <w:rPr>
          <w:rFonts w:ascii="Times New Roman" w:hAnsi="Times New Roman"/>
          <w:color w:val="000000"/>
          <w:sz w:val="20"/>
          <w:u w:val="single"/>
        </w:rPr>
        <w:t>Exhibit J</w:t>
      </w:r>
      <w:r>
        <w:rPr>
          <w:rFonts w:ascii="Times New Roman" w:hAnsi="Times New Roman"/>
          <w:color w:val="000000"/>
          <w:sz w:val="20"/>
        </w:rPr>
        <w:t xml:space="preserve"> and otherwise as mutually agreed by Buyer and Seller (the “</w:t>
      </w:r>
      <w:r>
        <w:rPr>
          <w:rFonts w:ascii="Times New Roman" w:hAnsi="Times New Roman"/>
          <w:color w:val="000000"/>
          <w:sz w:val="20"/>
          <w:u w:val="single"/>
        </w:rPr>
        <w:t>Seller Working Capital Note</w:t>
      </w:r>
      <w:r>
        <w:rPr>
          <w:rFonts w:ascii="Times New Roman" w:hAnsi="Times New Roman"/>
          <w:color w:val="000000"/>
          <w:sz w:val="20"/>
        </w:rPr>
        <w:t xml:space="preserve">”). The Parties shall negotiate in good faith the terms of any Seller Working Capital Note and use reasonable best efforts to (i) provide such cooperation and assistance as may be reasonably required to consummate the Seller Working Capital Note within one business day of Closing and (ii) agree on the terms of the Seller Working Capital Note not contained in </w:t>
      </w:r>
      <w:r>
        <w:rPr>
          <w:rFonts w:ascii="Times New Roman" w:hAnsi="Times New Roman"/>
          <w:color w:val="000000"/>
          <w:sz w:val="20"/>
          <w:u w:val="single"/>
        </w:rPr>
        <w:t>Exhibit J</w:t>
      </w:r>
      <w:r>
        <w:rPr>
          <w:rFonts w:ascii="Times New Roman" w:hAnsi="Times New Roman"/>
          <w:color w:val="000000"/>
          <w:sz w:val="20"/>
        </w:rPr>
        <w:t xml:space="preserve"> within 90 days of the date hereof (or such other later date as the Parties may mutually agree in writing).</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(c)         Buyer shall, promptly upon written request by Seller, reimburse Seller for all reasonable and documented out-of-pocket costs and expenses incurred by Seller or the Business Companies (including those of its accountants, consultants, legal counsel, agents and other Representatives) in connection with the cooperation and assistance required by this </w:t>
      </w:r>
      <w:r>
        <w:rPr>
          <w:rFonts w:ascii="Times New Roman" w:hAnsi="Times New Roman"/>
          <w:color w:val="000000"/>
          <w:sz w:val="20"/>
          <w:u w:val="single"/>
        </w:rPr>
        <w:t xml:space="preserve">Section 5.19 </w:t>
      </w:r>
      <w:r>
        <w:rPr>
          <w:rFonts w:ascii="Times New Roman" w:hAnsi="Times New Roman"/>
          <w:color w:val="000000"/>
          <w:sz w:val="20"/>
        </w:rPr>
        <w:t>(other than ordinary course out-of-pocket costs and expenses incurred by Seller or the Business Companies that would have been incurred regardless of the cooperation of the contemplated hereby).</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5.20        </w:t>
      </w:r>
      <w:r>
        <w:rPr>
          <w:rFonts w:ascii="Times New Roman" w:hAnsi="Times New Roman"/>
          <w:color w:val="000000"/>
          <w:sz w:val="20"/>
          <w:u w:val="single"/>
        </w:rPr>
        <w:t>Non-Competition; Non-Solicitation</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For a period of three years following the Closing, Seller shall not, and shall cause its controlled Affiliates and its and their respective successors and assigns not to, directly or indirectly, engage in, own or operate engage in any business of the type described in the definition of Business (a “</w:t>
      </w:r>
      <w:r>
        <w:rPr>
          <w:rFonts w:ascii="Times New Roman" w:hAnsi="Times New Roman"/>
          <w:color w:val="000000"/>
          <w:sz w:val="20"/>
          <w:u w:val="single"/>
        </w:rPr>
        <w:t>Competing Business</w:t>
      </w:r>
      <w:r>
        <w:rPr>
          <w:rFonts w:ascii="Times New Roman" w:hAnsi="Times New Roman"/>
          <w:color w:val="000000"/>
          <w:sz w:val="20"/>
        </w:rPr>
        <w:t xml:space="preserve">”) anywhere in the world; </w:t>
      </w:r>
      <w:r>
        <w:rPr>
          <w:rFonts w:ascii="Times New Roman" w:hAnsi="Times New Roman"/>
          <w:color w:val="000000"/>
          <w:sz w:val="20"/>
          <w:u w:val="single"/>
        </w:rPr>
        <w:t>provided</w:t>
      </w:r>
      <w:r>
        <w:rPr>
          <w:rFonts w:ascii="Times New Roman" w:hAnsi="Times New Roman"/>
          <w:color w:val="000000"/>
          <w:sz w:val="20"/>
        </w:rPr>
        <w:t xml:space="preserve"> that nothing herein shall prevent or restrict:</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86</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        Seller or any of its controlled Affiliates from acquiring or owning, directly or indirectly, as a passive, non-controlling investor 10% or less of the outstanding securities of any Person;</w:t>
      </w:r>
    </w:p>
    <w:p>
      <w:pPr>
        <w:pStyle w:val="TextBody"/>
        <w:bidi w:val="0"/>
        <w:spacing w:before="0" w:after="0"/>
        <w:jc w:val="left"/>
        <w:rPr>
          <w:sz w:val="20"/>
        </w:rPr>
      </w:pPr>
      <w:r>
        <w:rPr>
          <w:sz w:val="20"/>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(ii)        Seller or any of its controlled Affiliates from acquiring or owning, directly or indirectly, 5% or less of any class of capital stock of any Person if such stock is publicly traded and listed on any national exchange or quoted on the NASDAQ National Market;</w:t>
      </w:r>
    </w:p>
    <w:p>
      <w:pPr>
        <w:pStyle w:val="TextBody"/>
        <w:bidi w:val="0"/>
        <w:spacing w:before="0" w:after="0"/>
        <w:jc w:val="left"/>
        <w:rPr>
          <w:sz w:val="20"/>
        </w:rPr>
      </w:pPr>
      <w:r>
        <w:rPr>
          <w:sz w:val="20"/>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(iii)       Seller or any of its controlled Affiliates from acquiring any Persons or businesses (an “</w:t>
      </w:r>
      <w:r>
        <w:rPr>
          <w:rFonts w:ascii="Times New Roman" w:hAnsi="Times New Roman"/>
          <w:color w:val="000000"/>
          <w:sz w:val="20"/>
          <w:u w:val="single"/>
        </w:rPr>
        <w:t>Acquired Business</w:t>
      </w:r>
      <w:r>
        <w:rPr>
          <w:rFonts w:ascii="Times New Roman" w:hAnsi="Times New Roman"/>
          <w:color w:val="000000"/>
          <w:sz w:val="20"/>
        </w:rPr>
        <w:t>”) that include a Competing Business (the portion that includes such a Competing Business, an “</w:t>
      </w:r>
      <w:r>
        <w:rPr>
          <w:rFonts w:ascii="Times New Roman" w:hAnsi="Times New Roman"/>
          <w:color w:val="000000"/>
          <w:sz w:val="20"/>
          <w:u w:val="single"/>
        </w:rPr>
        <w:t>Acquired Competing Business</w:t>
      </w:r>
      <w:r>
        <w:rPr>
          <w:rFonts w:ascii="Times New Roman" w:hAnsi="Times New Roman"/>
          <w:color w:val="000000"/>
          <w:sz w:val="20"/>
        </w:rPr>
        <w:t>”) and carrying on the Acquired Competing Business if such Acquired Competing Business comprises less than 25% of the revenues of the Acquired Business (measured as of the completed calendar year preceding the year in which the acquisition of the Acquired Business is completed and using the exchange rate as of the last Business Day of such preceding calendar year);</w:t>
      </w:r>
    </w:p>
    <w:p>
      <w:pPr>
        <w:pStyle w:val="TextBody"/>
        <w:bidi w:val="0"/>
        <w:spacing w:before="0" w:after="0"/>
        <w:jc w:val="left"/>
        <w:rPr>
          <w:sz w:val="20"/>
        </w:rPr>
      </w:pPr>
      <w:r>
        <w:rPr>
          <w:sz w:val="20"/>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(iv)      the combination with or acquisition of any equity interests of Seller or any of its Affiliates or the acquisition of assets, operations or a business from Seller or one or more of its Affiliates in an arm’s-length transaction by a Person engaged, directly or indirectly, in a Competing Business or the activities of any such Person or its Affiliates (other than Parent or its controlled Affiliates); or</w:t>
      </w:r>
    </w:p>
    <w:p>
      <w:pPr>
        <w:pStyle w:val="TextBody"/>
        <w:bidi w:val="0"/>
        <w:spacing w:before="0" w:after="0"/>
        <w:jc w:val="left"/>
        <w:rPr>
          <w:sz w:val="20"/>
        </w:rPr>
      </w:pPr>
      <w:r>
        <w:rPr>
          <w:sz w:val="20"/>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(v)         Seller or any of its controlled Affiliates from (A) taking any actions contemplated by or required in order to comply with its obligations under this Agreement or any of the other Transaction Documents or (B) conducting any Retained Business or any other business, product or service conducted as of the date hereof or as of immediately prior to the Closing by Seller or any of its Affiliates (other than the Business) and any extensions or new lines of business related to or derived from the Retained Business or such other business, product or service or the use of Excluded Assets.</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For a period of two years following the Closing, Seller shall not, and shall cause its controlled Affiliates and its and their respective successors and assigns not to, directly or indirectly, solicit for employment or hire any Continuing Employee; </w:t>
      </w:r>
      <w:r>
        <w:rPr>
          <w:rFonts w:ascii="Times New Roman" w:hAnsi="Times New Roman"/>
          <w:color w:val="000000"/>
          <w:sz w:val="20"/>
          <w:u w:val="single"/>
        </w:rPr>
        <w:t>provided</w:t>
      </w:r>
      <w:r>
        <w:rPr>
          <w:rFonts w:ascii="Times New Roman" w:hAnsi="Times New Roman"/>
          <w:color w:val="000000"/>
          <w:sz w:val="20"/>
        </w:rPr>
        <w:t xml:space="preserve">, that Seller and its controlled Affiliates shall not be restricted from (i) (A) making general solicitations of employment (whether through advertisements on any medium or through the efforts of a search firm or otherwise) not specifically directed at any Continuing Employee or (B) hiring any Continuing Employee who responds to a general solicitation that was permitted under clause (A) (so long as such Continuing Employee was not otherwise solicited in breach of this </w:t>
      </w:r>
      <w:r>
        <w:rPr>
          <w:rFonts w:ascii="Times New Roman" w:hAnsi="Times New Roman"/>
          <w:color w:val="000000"/>
          <w:sz w:val="20"/>
          <w:u w:val="single"/>
        </w:rPr>
        <w:t>Section 5.20(b)</w:t>
      </w:r>
      <w:r>
        <w:rPr>
          <w:rFonts w:ascii="Times New Roman" w:hAnsi="Times New Roman"/>
          <w:color w:val="000000"/>
          <w:sz w:val="20"/>
        </w:rPr>
        <w:t>), or (ii) soliciting for employment or hiring any Continuing Employee whose employment with Buyer or any of its Affiliates (including following the Closing, any Business Company) was terminated at least one year prior to such solicitation or hiring. Seller hereby waives each non-competition, non-solicitation or similar restrictive covenant binding on any Continuing Employee in favor of Seller or any of its Affiliates solely to the extent such covenant would restrict such Continuing Employee from being employed by Buyer or any of its Affiliates after the Closing.</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87</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VI</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CONDITIONS TO THE SALE</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6.01        </w:t>
      </w:r>
      <w:r>
        <w:rPr>
          <w:rFonts w:ascii="Times New Roman" w:hAnsi="Times New Roman"/>
          <w:color w:val="000000"/>
          <w:sz w:val="20"/>
          <w:u w:val="single"/>
        </w:rPr>
        <w:t>Conditions to Obligations of Each Party to Effect the Sale</w:t>
      </w:r>
      <w:r>
        <w:rPr>
          <w:rFonts w:ascii="Times New Roman" w:hAnsi="Times New Roman"/>
          <w:color w:val="000000"/>
          <w:sz w:val="20"/>
        </w:rPr>
        <w:t>. The respective obligations of each Party hereto to effect the Sale and consummate the transactions contemplated by this Agreement shall be subject to the satisfaction or waiver by each Party (where permitted by applicable Law) at or prior to the Closing, of each of the following conditions:</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w:t>
      </w:r>
      <w:r>
        <w:rPr>
          <w:rFonts w:ascii="Times New Roman" w:hAnsi="Times New Roman"/>
          <w:color w:val="000000"/>
          <w:sz w:val="20"/>
          <w:u w:val="single"/>
        </w:rPr>
        <w:t>Stockholder Approval</w:t>
      </w:r>
      <w:r>
        <w:rPr>
          <w:rFonts w:ascii="Times New Roman" w:hAnsi="Times New Roman"/>
          <w:color w:val="000000"/>
          <w:sz w:val="20"/>
        </w:rPr>
        <w:t>.  The Seller Stockholder Approval shall have been obtained in accordance with applicable Law and Seller’s Organizational Documents.</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w:t>
      </w:r>
      <w:r>
        <w:rPr>
          <w:rFonts w:ascii="Times New Roman" w:hAnsi="Times New Roman"/>
          <w:color w:val="000000"/>
          <w:sz w:val="20"/>
          <w:u w:val="single"/>
        </w:rPr>
        <w:t>No Injunction</w:t>
      </w:r>
      <w:r>
        <w:rPr>
          <w:rFonts w:ascii="Times New Roman" w:hAnsi="Times New Roman"/>
          <w:color w:val="000000"/>
          <w:sz w:val="20"/>
        </w:rPr>
        <w:t>. No Action or Order by any Governmental Entity of competent jurisdiction shall exist, and no Governmental Entity of competent jurisdiction shall have enacted any Law after the date of this Agreement that remains in effect (or would become effective upon the Closing), in each case that prohibits or otherwise prevents the consummation of the transactions contemplated by this Agreement (any of the foregoing, a “</w:t>
      </w:r>
      <w:r>
        <w:rPr>
          <w:rFonts w:ascii="Times New Roman" w:hAnsi="Times New Roman"/>
          <w:color w:val="000000"/>
          <w:sz w:val="20"/>
          <w:u w:val="single"/>
        </w:rPr>
        <w:t>Legal Restraint</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6.02        </w:t>
      </w:r>
      <w:r>
        <w:rPr>
          <w:rFonts w:ascii="Times New Roman" w:hAnsi="Times New Roman"/>
          <w:color w:val="000000"/>
          <w:sz w:val="20"/>
          <w:u w:val="single"/>
        </w:rPr>
        <w:t>Additional Conditions to Obligations of Buyer</w:t>
      </w:r>
      <w:r>
        <w:rPr>
          <w:rFonts w:ascii="Times New Roman" w:hAnsi="Times New Roman"/>
          <w:color w:val="000000"/>
          <w:sz w:val="20"/>
        </w:rPr>
        <w:t>. The obligations of Buyer to effect the Sale and consummate the transactions contemplated by this Agreement are also subject to the satisfaction or waiver (where permitted by applicable Law) by Buyer of each of the following additional conditions:</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w:t>
      </w:r>
      <w:r>
        <w:rPr>
          <w:rFonts w:ascii="Times New Roman" w:hAnsi="Times New Roman"/>
          <w:color w:val="000000"/>
          <w:sz w:val="20"/>
          <w:u w:val="single"/>
        </w:rPr>
        <w:t>Representations and Warranties</w:t>
      </w:r>
      <w:r>
        <w:rPr>
          <w:rFonts w:ascii="Times New Roman" w:hAnsi="Times New Roman"/>
          <w:color w:val="000000"/>
          <w:sz w:val="20"/>
        </w:rPr>
        <w:t xml:space="preserve">. Each of the (i) representations and warranties of Seller contained in </w:t>
      </w:r>
      <w:r>
        <w:rPr>
          <w:rFonts w:ascii="Times New Roman" w:hAnsi="Times New Roman"/>
          <w:color w:val="000000"/>
          <w:sz w:val="20"/>
          <w:u w:val="single"/>
        </w:rPr>
        <w:t>Section 3.07(a)</w:t>
      </w:r>
      <w:r>
        <w:rPr>
          <w:rFonts w:ascii="Times New Roman" w:hAnsi="Times New Roman"/>
          <w:color w:val="000000"/>
          <w:sz w:val="20"/>
        </w:rPr>
        <w:t xml:space="preserve"> shall be true and correct in all respects, (ii) the Seller Fundamental Representations shall be true and correct in all material respects and (iii) the remaining representations and warranties of Seller contained in </w:t>
      </w:r>
      <w:r>
        <w:rPr>
          <w:rFonts w:ascii="Times New Roman" w:hAnsi="Times New Roman"/>
          <w:color w:val="000000"/>
          <w:sz w:val="20"/>
          <w:u w:val="single"/>
        </w:rPr>
        <w:t>Article III</w:t>
      </w:r>
      <w:r>
        <w:rPr>
          <w:rFonts w:ascii="Times New Roman" w:hAnsi="Times New Roman"/>
          <w:color w:val="000000"/>
          <w:sz w:val="20"/>
        </w:rPr>
        <w:t xml:space="preserve"> shall be true and correct, in each case on and as of the Closing Date as though made on and as of the Closing Date (except for such representations and warranties expressly stated to relate to an earlier date, in which case, as of such earlier date);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clause (iii) of this condition shall be considered satisfied unless the failure of such representations or warranties to be true and correct (without giving effect to any limitation indicated hereunder by the words “Business Material Adverse Effect,” “in all material respects,” “material” or “materially”) has had or would reasonably be expected to have, individually or in the aggregate, a Business Material Adverse Effect.</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w:t>
      </w:r>
      <w:r>
        <w:rPr>
          <w:rFonts w:ascii="Times New Roman" w:hAnsi="Times New Roman"/>
          <w:color w:val="000000"/>
          <w:sz w:val="20"/>
          <w:u w:val="single"/>
        </w:rPr>
        <w:t>Agreements and Covenants</w:t>
      </w:r>
      <w:r>
        <w:rPr>
          <w:rFonts w:ascii="Times New Roman" w:hAnsi="Times New Roman"/>
          <w:color w:val="000000"/>
          <w:sz w:val="20"/>
        </w:rPr>
        <w:t>. Seller shall have performed or complied in all material respects with all agreements and covenants required by this Agreement to be performed or complied with by it on or prior to the Closing Date.</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(c)         </w:t>
      </w:r>
      <w:r>
        <w:rPr>
          <w:rFonts w:ascii="Times New Roman" w:hAnsi="Times New Roman"/>
          <w:color w:val="000000"/>
          <w:sz w:val="20"/>
          <w:u w:val="single"/>
        </w:rPr>
        <w:t>Officer Certificate</w:t>
      </w:r>
      <w:r>
        <w:rPr>
          <w:rFonts w:ascii="Times New Roman" w:hAnsi="Times New Roman"/>
          <w:color w:val="000000"/>
          <w:sz w:val="20"/>
        </w:rPr>
        <w:t xml:space="preserve">. Seller shall have delivered to Buyer a certificate, signed by an officer of Seller in his or her capacity as such on behalf of Seller, dated as of the Closing Date, certifying that each of the conditions set forth in </w:t>
      </w:r>
      <w:r>
        <w:rPr>
          <w:rFonts w:ascii="Times New Roman" w:hAnsi="Times New Roman"/>
          <w:color w:val="000000"/>
          <w:sz w:val="20"/>
          <w:u w:val="single"/>
        </w:rPr>
        <w:t>Section 6.02(a)</w:t>
      </w:r>
      <w:r>
        <w:rPr>
          <w:rFonts w:ascii="Times New Roman" w:hAnsi="Times New Roman"/>
          <w:color w:val="000000"/>
          <w:sz w:val="20"/>
        </w:rPr>
        <w:t xml:space="preserve"> and </w:t>
      </w:r>
      <w:r>
        <w:rPr>
          <w:rFonts w:ascii="Times New Roman" w:hAnsi="Times New Roman"/>
          <w:color w:val="000000"/>
          <w:sz w:val="20"/>
          <w:u w:val="single"/>
        </w:rPr>
        <w:t>Section 6.02(b)</w:t>
      </w:r>
      <w:r>
        <w:rPr>
          <w:rFonts w:ascii="Times New Roman" w:hAnsi="Times New Roman"/>
          <w:color w:val="000000"/>
          <w:sz w:val="20"/>
        </w:rPr>
        <w:t xml:space="preserve"> has been satisfied.</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(d)         No Business Material Adverse Effect. Since the date of this Agreement, there shall not have occurred any event, change or circumstance that, individually or in the aggregate, has had or would reasonably be expected to have a Business Material Adverse Effect.</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6.03        </w:t>
      </w:r>
      <w:r>
        <w:rPr>
          <w:rFonts w:ascii="Times New Roman" w:hAnsi="Times New Roman"/>
          <w:color w:val="000000"/>
          <w:sz w:val="20"/>
          <w:u w:val="single"/>
        </w:rPr>
        <w:t>Additional Conditions to Obligations of Seller</w:t>
      </w:r>
      <w:r>
        <w:rPr>
          <w:rFonts w:ascii="Times New Roman" w:hAnsi="Times New Roman"/>
          <w:color w:val="000000"/>
          <w:sz w:val="20"/>
        </w:rPr>
        <w:t>. The obligations of Seller to effect the Sale and consummate the transactions contemplated by this Agreement are also subject to the satisfaction or waiver (where permitted by applicable Law) by Seller of each of the following additional conditions:</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w:t>
      </w:r>
      <w:r>
        <w:rPr>
          <w:rFonts w:ascii="Times New Roman" w:hAnsi="Times New Roman"/>
          <w:color w:val="000000"/>
          <w:sz w:val="20"/>
          <w:u w:val="single"/>
        </w:rPr>
        <w:t>Representations and Warranties</w:t>
      </w:r>
      <w:r>
        <w:rPr>
          <w:rFonts w:ascii="Times New Roman" w:hAnsi="Times New Roman"/>
          <w:color w:val="000000"/>
          <w:sz w:val="20"/>
        </w:rPr>
        <w:t xml:space="preserve">. Each of the representations and warranties of Buyer contained in </w:t>
      </w:r>
      <w:r>
        <w:rPr>
          <w:rFonts w:ascii="Times New Roman" w:hAnsi="Times New Roman"/>
          <w:color w:val="000000"/>
          <w:sz w:val="20"/>
          <w:u w:val="single"/>
        </w:rPr>
        <w:t>Article IV</w:t>
      </w:r>
      <w:r>
        <w:rPr>
          <w:rFonts w:ascii="Times New Roman" w:hAnsi="Times New Roman"/>
          <w:color w:val="000000"/>
          <w:sz w:val="20"/>
        </w:rPr>
        <w:t xml:space="preserve"> shall be true and correct in all material respects, in each case on and as of the Closing Date as though made on and as of the Closing Date (except for such representations and warranties expressly stated to relate to an earlier date, in which case, as of such earlier date).</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w:t>
      </w:r>
      <w:r>
        <w:rPr>
          <w:rFonts w:ascii="Times New Roman" w:hAnsi="Times New Roman"/>
          <w:color w:val="000000"/>
          <w:sz w:val="20"/>
          <w:u w:val="single"/>
        </w:rPr>
        <w:t>Agreements and Covenants</w:t>
      </w:r>
      <w:r>
        <w:rPr>
          <w:rFonts w:ascii="Times New Roman" w:hAnsi="Times New Roman"/>
          <w:color w:val="000000"/>
          <w:sz w:val="20"/>
        </w:rPr>
        <w:t>. Buyer shall have performed or complied in all material respects with all agreements and covenants required by this Agreement to be performed or complied with by Buyer on or prior to the Closing Date.</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w:t>
      </w:r>
      <w:r>
        <w:rPr>
          <w:rFonts w:ascii="Times New Roman" w:hAnsi="Times New Roman"/>
          <w:color w:val="000000"/>
          <w:sz w:val="20"/>
          <w:u w:val="single"/>
        </w:rPr>
        <w:t>Base Seller Note</w:t>
      </w:r>
      <w:r>
        <w:rPr>
          <w:rFonts w:ascii="Times New Roman" w:hAnsi="Times New Roman"/>
          <w:color w:val="000000"/>
          <w:sz w:val="20"/>
        </w:rPr>
        <w:t>. Buyer shall have delivered to Seller the duly executed Base Seller Note.</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(d)         </w:t>
      </w:r>
      <w:r>
        <w:rPr>
          <w:rFonts w:ascii="Times New Roman" w:hAnsi="Times New Roman"/>
          <w:color w:val="000000"/>
          <w:sz w:val="20"/>
          <w:u w:val="single"/>
        </w:rPr>
        <w:t>Officer Certificate</w:t>
      </w:r>
      <w:r>
        <w:rPr>
          <w:rFonts w:ascii="Times New Roman" w:hAnsi="Times New Roman"/>
          <w:color w:val="000000"/>
          <w:sz w:val="20"/>
        </w:rPr>
        <w:t xml:space="preserve">. Buyer shall have delivered to Seller a certificate, signed by an officer of Buyer in his or her capacity as such on behalf of Buyer, dated as of the Closing Date, certifying that each of the conditions set forth in </w:t>
      </w:r>
      <w:r>
        <w:rPr>
          <w:rFonts w:ascii="Times New Roman" w:hAnsi="Times New Roman"/>
          <w:color w:val="000000"/>
          <w:sz w:val="20"/>
          <w:u w:val="single"/>
        </w:rPr>
        <w:t>Section 6.03(a)</w:t>
      </w:r>
      <w:r>
        <w:rPr>
          <w:rFonts w:ascii="Times New Roman" w:hAnsi="Times New Roman"/>
          <w:color w:val="000000"/>
          <w:sz w:val="20"/>
        </w:rPr>
        <w:t xml:space="preserve"> and </w:t>
      </w:r>
      <w:r>
        <w:rPr>
          <w:rFonts w:ascii="Times New Roman" w:hAnsi="Times New Roman"/>
          <w:color w:val="000000"/>
          <w:sz w:val="20"/>
          <w:u w:val="single"/>
        </w:rPr>
        <w:t>Section 6.03(b)</w:t>
      </w:r>
      <w:r>
        <w:rPr>
          <w:rFonts w:ascii="Times New Roman" w:hAnsi="Times New Roman"/>
          <w:color w:val="000000"/>
          <w:sz w:val="20"/>
        </w:rPr>
        <w:t xml:space="preserve"> has been satisfied.</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(e)         </w:t>
      </w:r>
      <w:r>
        <w:rPr>
          <w:rFonts w:ascii="Times New Roman" w:hAnsi="Times New Roman"/>
          <w:color w:val="000000"/>
          <w:sz w:val="20"/>
          <w:u w:val="single"/>
        </w:rPr>
        <w:t>Merger Agreement Closing</w:t>
      </w:r>
      <w:r>
        <w:rPr>
          <w:rFonts w:ascii="Times New Roman" w:hAnsi="Times New Roman"/>
          <w:color w:val="000000"/>
          <w:sz w:val="20"/>
        </w:rPr>
        <w:t>. The transactions contemplated by the Merger Agreement shall have been completed or shall be completed substantially concurrently with the Closing.</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6.04       </w:t>
      </w:r>
      <w:r>
        <w:rPr>
          <w:rFonts w:ascii="Times New Roman" w:hAnsi="Times New Roman"/>
          <w:color w:val="000000"/>
          <w:sz w:val="20"/>
          <w:u w:val="single"/>
        </w:rPr>
        <w:t>Frustration of Closing Conditions</w:t>
      </w:r>
      <w:r>
        <w:rPr>
          <w:rFonts w:ascii="Times New Roman" w:hAnsi="Times New Roman"/>
          <w:color w:val="000000"/>
          <w:sz w:val="20"/>
        </w:rPr>
        <w:t xml:space="preserve">. Notwithstanding anything to the contrary set forth in this Agreement, including in this </w:t>
      </w:r>
      <w:r>
        <w:rPr>
          <w:rFonts w:ascii="Times New Roman" w:hAnsi="Times New Roman"/>
          <w:color w:val="000000"/>
          <w:sz w:val="20"/>
          <w:u w:val="single"/>
        </w:rPr>
        <w:t>Article VI</w:t>
      </w:r>
      <w:r>
        <w:rPr>
          <w:rFonts w:ascii="Times New Roman" w:hAnsi="Times New Roman"/>
          <w:color w:val="000000"/>
          <w:sz w:val="20"/>
        </w:rPr>
        <w:t xml:space="preserve">, no Party may rely on the failure of any condition set forth in this </w:t>
      </w:r>
      <w:r>
        <w:rPr>
          <w:rFonts w:ascii="Times New Roman" w:hAnsi="Times New Roman"/>
          <w:color w:val="000000"/>
          <w:sz w:val="20"/>
          <w:u w:val="single"/>
        </w:rPr>
        <w:t>Article VI</w:t>
      </w:r>
      <w:r>
        <w:rPr>
          <w:rFonts w:ascii="Times New Roman" w:hAnsi="Times New Roman"/>
          <w:color w:val="000000"/>
          <w:sz w:val="20"/>
        </w:rPr>
        <w:t xml:space="preserve"> to be satisfied if such failure was caused by the failure of such Party to perform any of its agreements or obligations under this Agreement.</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VII</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TERMINATION</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7.01        </w:t>
      </w:r>
      <w:r>
        <w:rPr>
          <w:rFonts w:ascii="Times New Roman" w:hAnsi="Times New Roman"/>
          <w:color w:val="000000"/>
          <w:sz w:val="20"/>
          <w:u w:val="single"/>
        </w:rPr>
        <w:t>Termination</w:t>
      </w:r>
      <w:r>
        <w:rPr>
          <w:rFonts w:ascii="Times New Roman" w:hAnsi="Times New Roman"/>
          <w:color w:val="000000"/>
          <w:sz w:val="20"/>
        </w:rPr>
        <w:t>. This Agreement may be terminated at any time prior to the Closing:</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by mutual written consent of Buyer and Seller;</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by Seller, on the one hand, or Buyer, on the other hand, by written notice to the other, if the Closing shall not have occurred on or before 11:59 p.m. (Eastern Time) on June 30, 2027 (the “</w:t>
      </w:r>
      <w:r>
        <w:rPr>
          <w:rFonts w:ascii="Times New Roman" w:hAnsi="Times New Roman"/>
          <w:color w:val="000000"/>
          <w:sz w:val="20"/>
          <w:u w:val="single"/>
        </w:rPr>
        <w:t>Outside Date</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w:t>
      </w:r>
      <w:r>
        <w:rPr>
          <w:rFonts w:ascii="Times New Roman" w:hAnsi="Times New Roman"/>
          <w:color w:val="000000"/>
          <w:sz w:val="20"/>
          <w:u w:val="single"/>
        </w:rPr>
        <w:t>however</w:t>
      </w:r>
      <w:r>
        <w:rPr>
          <w:rFonts w:ascii="Times New Roman" w:hAnsi="Times New Roman"/>
          <w:color w:val="000000"/>
          <w:sz w:val="20"/>
        </w:rPr>
        <w:t xml:space="preserve"> that the right to terminate this Agreement under this </w:t>
      </w:r>
      <w:r>
        <w:rPr>
          <w:rFonts w:ascii="Times New Roman" w:hAnsi="Times New Roman"/>
          <w:color w:val="000000"/>
          <w:sz w:val="20"/>
          <w:u w:val="single"/>
        </w:rPr>
        <w:t>Section 7.01(b)</w:t>
      </w:r>
      <w:r>
        <w:rPr>
          <w:rFonts w:ascii="Times New Roman" w:hAnsi="Times New Roman"/>
          <w:color w:val="000000"/>
          <w:sz w:val="20"/>
        </w:rPr>
        <w:t xml:space="preserve"> shall not be available to any Party if such Party has breached its obligations under this Agreement in any manner that was the principal cause of, or principally resulted in, the failure of the Closing to have occurred on or before the Outside Date; </w:t>
      </w:r>
      <w:r>
        <w:rPr>
          <w:rFonts w:ascii="Times New Roman" w:hAnsi="Times New Roman"/>
          <w:color w:val="000000"/>
          <w:sz w:val="20"/>
          <w:u w:val="single"/>
        </w:rPr>
        <w:t>provided</w:t>
      </w:r>
      <w:r>
        <w:rPr>
          <w:rFonts w:ascii="Times New Roman" w:hAnsi="Times New Roman"/>
          <w:color w:val="000000"/>
          <w:sz w:val="20"/>
        </w:rPr>
        <w:t> </w:t>
      </w:r>
      <w:r>
        <w:rPr>
          <w:rFonts w:ascii="Times New Roman" w:hAnsi="Times New Roman"/>
          <w:color w:val="000000"/>
          <w:sz w:val="20"/>
          <w:u w:val="single"/>
        </w:rPr>
        <w:t>further</w:t>
      </w:r>
      <w:r>
        <w:rPr>
          <w:rFonts w:ascii="Times New Roman" w:hAnsi="Times New Roman"/>
          <w:color w:val="000000"/>
          <w:sz w:val="20"/>
        </w:rPr>
        <w:t xml:space="preserve"> that if on the initial Outside Date the conditions set forth in </w:t>
      </w:r>
      <w:r>
        <w:rPr>
          <w:rFonts w:ascii="Times New Roman" w:hAnsi="Times New Roman"/>
          <w:color w:val="000000"/>
          <w:sz w:val="20"/>
          <w:u w:val="single"/>
        </w:rPr>
        <w:t>Section 6.01(a)</w:t>
      </w:r>
      <w:r>
        <w:rPr>
          <w:rFonts w:ascii="Times New Roman" w:hAnsi="Times New Roman"/>
          <w:color w:val="000000"/>
          <w:sz w:val="20"/>
        </w:rPr>
        <w:t xml:space="preserve"> (solely to the extent such condition has not been satisfied due to the failure of Seller to duly convene a meeting to obtain the Seller Stockholder Approval by such date) or </w:t>
      </w:r>
      <w:r>
        <w:rPr>
          <w:rFonts w:ascii="Times New Roman" w:hAnsi="Times New Roman"/>
          <w:color w:val="000000"/>
          <w:sz w:val="20"/>
          <w:u w:val="single"/>
        </w:rPr>
        <w:t>Section 6.01(b)</w:t>
      </w:r>
      <w:r>
        <w:rPr>
          <w:rFonts w:ascii="Times New Roman" w:hAnsi="Times New Roman"/>
          <w:color w:val="000000"/>
          <w:sz w:val="20"/>
        </w:rPr>
        <w:t xml:space="preserve"> (solely to the extent such condition has not been satisfied due to an Antitrust Law or Order arising under any Antitrust Law) are not satisfied, then the Outside Date shall automatically extend for an additional three months from such date, in which case the Outside Date shall be deemed, for all purposes under this Agreement, to be such later date; </w:t>
      </w:r>
      <w:r>
        <w:rPr>
          <w:rFonts w:ascii="Times New Roman" w:hAnsi="Times New Roman"/>
          <w:color w:val="000000"/>
          <w:sz w:val="20"/>
          <w:u w:val="single"/>
        </w:rPr>
        <w:t>provided</w:t>
      </w:r>
      <w:r>
        <w:rPr>
          <w:rFonts w:ascii="Times New Roman" w:hAnsi="Times New Roman"/>
          <w:color w:val="000000"/>
          <w:sz w:val="20"/>
        </w:rPr>
        <w:t> </w:t>
      </w:r>
      <w:r>
        <w:rPr>
          <w:rFonts w:ascii="Times New Roman" w:hAnsi="Times New Roman"/>
          <w:color w:val="000000"/>
          <w:sz w:val="20"/>
          <w:u w:val="single"/>
        </w:rPr>
        <w:t>further</w:t>
      </w:r>
      <w:r>
        <w:rPr>
          <w:rFonts w:ascii="Times New Roman" w:hAnsi="Times New Roman"/>
          <w:color w:val="000000"/>
          <w:sz w:val="20"/>
        </w:rPr>
        <w:t xml:space="preserve"> that if on such later Outside Date the conditions set forth in </w:t>
      </w:r>
      <w:r>
        <w:rPr>
          <w:rFonts w:ascii="Times New Roman" w:hAnsi="Times New Roman"/>
          <w:color w:val="000000"/>
          <w:sz w:val="20"/>
          <w:u w:val="single"/>
        </w:rPr>
        <w:t>Section 6.01(a)</w:t>
      </w:r>
      <w:r>
        <w:rPr>
          <w:rFonts w:ascii="Times New Roman" w:hAnsi="Times New Roman"/>
          <w:color w:val="000000"/>
          <w:sz w:val="20"/>
        </w:rPr>
        <w:t xml:space="preserve"> (solely to the extent such condition has not been satisfied due to the failure of Seller to duly convene a meeting to obtain the Seller Stockholder Approval by such date) or </w:t>
      </w:r>
      <w:r>
        <w:rPr>
          <w:rFonts w:ascii="Times New Roman" w:hAnsi="Times New Roman"/>
          <w:color w:val="000000"/>
          <w:sz w:val="20"/>
          <w:u w:val="single"/>
        </w:rPr>
        <w:t>Section 6.01(b)</w:t>
      </w:r>
      <w:r>
        <w:rPr>
          <w:rFonts w:ascii="Times New Roman" w:hAnsi="Times New Roman"/>
          <w:color w:val="000000"/>
          <w:sz w:val="20"/>
        </w:rPr>
        <w:t xml:space="preserve"> (solely to the extent such condition has not been satisfied due to an Antitrust Law or Order arising under any Antitrust Law) are not satisfied, then the Outside Date shall automatically extend for an additional three months from such date, in which case the Outside Date shall be deemed, for all purposes under this Agreement, to be such later date;</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(c)        by Seller, on the one hand, or Buyer, on the other hand, by written notice to the other, if any Legal Restraint permanently prohibiting the transactions contemplated by this Agreement shall have become final and non-appealable; provided that the right to terminate this Agreement under this </w:t>
      </w:r>
      <w:r>
        <w:rPr>
          <w:rFonts w:ascii="Times New Roman" w:hAnsi="Times New Roman"/>
          <w:color w:val="000000"/>
          <w:sz w:val="20"/>
          <w:u w:val="single"/>
        </w:rPr>
        <w:t>Section 7.01(c)</w:t>
      </w:r>
      <w:r>
        <w:rPr>
          <w:rFonts w:ascii="Times New Roman" w:hAnsi="Times New Roman"/>
          <w:color w:val="000000"/>
          <w:sz w:val="20"/>
        </w:rPr>
        <w:t xml:space="preserve"> shall not be available to any Party if such Party has breached its obligations under this Agreement and such breach has been a principal cause of, or principally resulted in, such Legal Restraint;</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(d)        by Seller, on the one hand, or Buyer, on the other hand, by written notice to the other, if the Seller Stockholder Approval shall not have been obtained at a meeting duly convened therefor or at any adjournment or postponement thereof, in each case at which a vote upon the Seller Stockholder Approval was taken;</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(e)        by Buyer, by written notice to Seller, if at any time prior to the Seller Stockholder Approval having been obtained, (i) a Change in Recommendation shall have occurred, (ii) the Seller Board shall have failed to publicly reaffirm the Seller Board Recommendation within 10 Business Days after Buyer so requests in writing (provided that Buyer shall be limited to one such request with respect to any Business Acquisition Proposal unless such Business Acquisition Proposal has been modified, and then one such request with respect to any such modification) following the public disclosure of any Business Acquisition Proposal with any Person other than Buyer (or if the Seller Stockholders Meeting is scheduled to be held within 10 Business Days of the written request of Buyer, promptly and in any event prior to the date on which the Seller Stockholders Meeting is scheduled to be held), (iii) the Seller Board shall have failed to publicly recommend against any tender offer or exchange offer subject to Regulation 14D under the Exchange Act that constitutes a Business Acquisition Proposal (including, for these purposes, by taking no position with respect to the acceptance of such tender offer or exchange offer by Seller’s stockholders) within 10 Business Days of the commencement of such tender offer or exchange offer or (iv) Seller shall have intentionally and materially breached its obligations set forth in </w:t>
      </w:r>
      <w:r>
        <w:rPr>
          <w:rFonts w:ascii="Times New Roman" w:hAnsi="Times New Roman"/>
          <w:color w:val="000000"/>
          <w:sz w:val="20"/>
          <w:u w:val="single"/>
        </w:rPr>
        <w:t>Section 5.15(a)</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that Buyer’s right to terminate this Agreement pursuant to this </w:t>
      </w:r>
      <w:r>
        <w:rPr>
          <w:rFonts w:ascii="Times New Roman" w:hAnsi="Times New Roman"/>
          <w:color w:val="000000"/>
          <w:sz w:val="20"/>
          <w:u w:val="single"/>
        </w:rPr>
        <w:t>Section 7.01(e)</w:t>
      </w:r>
      <w:r>
        <w:rPr>
          <w:rFonts w:ascii="Times New Roman" w:hAnsi="Times New Roman"/>
          <w:color w:val="000000"/>
          <w:sz w:val="20"/>
        </w:rPr>
        <w:t xml:space="preserve"> shall expire upon receipt of the Seller Stockholder Approval;</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(f)       by Buyer (if Buyer is not then in breach of any of its representations, warranties, covenants or agreements under this Agreement so as to cause any of the conditions set forth in </w:t>
      </w:r>
      <w:r>
        <w:rPr>
          <w:rFonts w:ascii="Times New Roman" w:hAnsi="Times New Roman"/>
          <w:color w:val="000000"/>
          <w:sz w:val="20"/>
          <w:u w:val="single"/>
        </w:rPr>
        <w:t>Section 6.03(a)</w:t>
      </w:r>
      <w:r>
        <w:rPr>
          <w:rFonts w:ascii="Times New Roman" w:hAnsi="Times New Roman"/>
          <w:color w:val="000000"/>
          <w:sz w:val="20"/>
        </w:rPr>
        <w:t xml:space="preserve"> or </w:t>
      </w:r>
      <w:r>
        <w:rPr>
          <w:rFonts w:ascii="Times New Roman" w:hAnsi="Times New Roman"/>
          <w:color w:val="000000"/>
          <w:sz w:val="20"/>
          <w:u w:val="single"/>
        </w:rPr>
        <w:t>Section 6.03(b)</w:t>
      </w:r>
      <w:r>
        <w:rPr>
          <w:rFonts w:ascii="Times New Roman" w:hAnsi="Times New Roman"/>
          <w:color w:val="000000"/>
          <w:sz w:val="20"/>
        </w:rPr>
        <w:t xml:space="preserve"> not to be satisfied), by written notice to Seller, if there has been a violation, breach or inaccuracy of any representation, warranty, covenant or agreement of Seller contained in this Agreement, which violation, breach or inaccuracy would cause any of the conditions set forth in </w:t>
      </w:r>
      <w:r>
        <w:rPr>
          <w:rFonts w:ascii="Times New Roman" w:hAnsi="Times New Roman"/>
          <w:color w:val="000000"/>
          <w:sz w:val="20"/>
          <w:u w:val="single"/>
        </w:rPr>
        <w:t>Section 6.02(a)</w:t>
      </w:r>
      <w:r>
        <w:rPr>
          <w:rFonts w:ascii="Times New Roman" w:hAnsi="Times New Roman"/>
          <w:color w:val="000000"/>
          <w:sz w:val="20"/>
        </w:rPr>
        <w:t xml:space="preserve"> or </w:t>
      </w:r>
      <w:r>
        <w:rPr>
          <w:rFonts w:ascii="Times New Roman" w:hAnsi="Times New Roman"/>
          <w:color w:val="000000"/>
          <w:sz w:val="20"/>
          <w:u w:val="single"/>
        </w:rPr>
        <w:t>Section 6.02(b)</w:t>
      </w:r>
      <w:r>
        <w:rPr>
          <w:rFonts w:ascii="Times New Roman" w:hAnsi="Times New Roman"/>
          <w:color w:val="000000"/>
          <w:sz w:val="20"/>
        </w:rPr>
        <w:t xml:space="preserve"> not to be satisfied, and such violation, breach or inaccuracy has not been waived by Buyer or cured by Seller prior to the earlier of (x) the Outside Date and (y) 30 Business Days after receipt by Seller of written notice thereof from Buyer or is not capable of being cured prior to the Outside Date; or</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(g)      by Seller (if Seller is then not in breach of any of its representations, warranties, covenants or agreements under this Agreement so as to cause any of the conditions set forth in </w:t>
      </w:r>
      <w:r>
        <w:rPr>
          <w:rFonts w:ascii="Times New Roman" w:hAnsi="Times New Roman"/>
          <w:color w:val="000000"/>
          <w:sz w:val="20"/>
          <w:u w:val="single"/>
        </w:rPr>
        <w:t>Section 6.02(a)</w:t>
      </w:r>
      <w:r>
        <w:rPr>
          <w:rFonts w:ascii="Times New Roman" w:hAnsi="Times New Roman"/>
          <w:color w:val="000000"/>
          <w:sz w:val="20"/>
        </w:rPr>
        <w:t xml:space="preserve"> or </w:t>
      </w:r>
      <w:r>
        <w:rPr>
          <w:rFonts w:ascii="Times New Roman" w:hAnsi="Times New Roman"/>
          <w:color w:val="000000"/>
          <w:sz w:val="20"/>
          <w:u w:val="single"/>
        </w:rPr>
        <w:t>Section 6.02(b)</w:t>
      </w:r>
      <w:r>
        <w:rPr>
          <w:rFonts w:ascii="Times New Roman" w:hAnsi="Times New Roman"/>
          <w:color w:val="000000"/>
          <w:sz w:val="20"/>
        </w:rPr>
        <w:t xml:space="preserve"> not to be satisfied), by written notice to Buyer, if there has been a violation, breach or inaccuracy of any representation, warranty, covenant or agreement of Buyer contained in this Agreement, which violation, breach or inaccuracy would cause any of the conditions set forth in </w:t>
      </w:r>
      <w:r>
        <w:rPr>
          <w:rFonts w:ascii="Times New Roman" w:hAnsi="Times New Roman"/>
          <w:color w:val="000000"/>
          <w:sz w:val="20"/>
          <w:u w:val="single"/>
        </w:rPr>
        <w:t>Section 6.03(a)</w:t>
      </w:r>
      <w:r>
        <w:rPr>
          <w:rFonts w:ascii="Times New Roman" w:hAnsi="Times New Roman"/>
          <w:color w:val="000000"/>
          <w:sz w:val="20"/>
        </w:rPr>
        <w:t xml:space="preserve"> or </w:t>
      </w:r>
      <w:r>
        <w:rPr>
          <w:rFonts w:ascii="Times New Roman" w:hAnsi="Times New Roman"/>
          <w:color w:val="000000"/>
          <w:sz w:val="20"/>
          <w:u w:val="single"/>
        </w:rPr>
        <w:t>Section 6.03(b)</w:t>
      </w:r>
      <w:r>
        <w:rPr>
          <w:rFonts w:ascii="Times New Roman" w:hAnsi="Times New Roman"/>
          <w:color w:val="000000"/>
          <w:sz w:val="20"/>
        </w:rPr>
        <w:t xml:space="preserve"> not to be satisfied, and such violation, breach or inaccuracy has not been waived by Seller or cured by Buyer prior to the earlier of (x) the Outside Date or (y) 30 Business Days after receipt by Buyer of written notice thereof from Seller or is not capable of being cured prior to the Outside Date.</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7.02         </w:t>
      </w:r>
      <w:r>
        <w:rPr>
          <w:rFonts w:ascii="Times New Roman" w:hAnsi="Times New Roman"/>
          <w:color w:val="000000"/>
          <w:sz w:val="20"/>
          <w:u w:val="single"/>
        </w:rPr>
        <w:t>Seller Termination Fee and Expense Reimbursement</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In the event that (i) (A) after the date of this Agreement, a Business Acquisition Proposal shall have been made to Seller and such Business Acquisition Proposal becomes publicly known prior to the Seller Stockholders Meeting and such Business Acquisition Proposal shall not have been withdrawn at the time of the Seller Stockholders Meeting, or a third party has publicly announced an intention to make a Business Acquisition Proposal and such intention shall not have been withdrawn at the time of the Seller Stockholders Meeting, (B) this Agreement is terminated by Buyer pursuant to </w:t>
      </w:r>
      <w:r>
        <w:rPr>
          <w:rFonts w:ascii="Times New Roman" w:hAnsi="Times New Roman"/>
          <w:color w:val="000000"/>
          <w:sz w:val="20"/>
          <w:u w:val="single"/>
        </w:rPr>
        <w:t>Section 7.01(f)</w:t>
      </w:r>
      <w:r>
        <w:rPr>
          <w:rFonts w:ascii="Times New Roman" w:hAnsi="Times New Roman"/>
          <w:color w:val="000000"/>
          <w:sz w:val="20"/>
        </w:rPr>
        <w:t xml:space="preserve"> and (C) within 12 months after such termination, Seller enters into a Business Alternative Acquisition Agreement with respect to a Business Acquisition Proposal or consummates a Business Acquisition Proposal (solely for purposes of this </w:t>
      </w:r>
      <w:r>
        <w:rPr>
          <w:rFonts w:ascii="Times New Roman" w:hAnsi="Times New Roman"/>
          <w:color w:val="000000"/>
          <w:sz w:val="20"/>
          <w:u w:val="single"/>
        </w:rPr>
        <w:t>Section 7.02(a)(i)</w:t>
      </w:r>
      <w:r>
        <w:rPr>
          <w:rFonts w:ascii="Times New Roman" w:hAnsi="Times New Roman"/>
          <w:color w:val="000000"/>
          <w:sz w:val="20"/>
        </w:rPr>
        <w:t xml:space="preserve">, the references to “15%” in the definition of Business Acquisition Proposal shall be deemed to be references to “50%”) or (ii) this Agreement is terminated by Buyer pursuant to </w:t>
      </w:r>
      <w:r>
        <w:rPr>
          <w:rFonts w:ascii="Times New Roman" w:hAnsi="Times New Roman"/>
          <w:color w:val="000000"/>
          <w:sz w:val="20"/>
          <w:u w:val="single"/>
        </w:rPr>
        <w:t>Section 7.01(e)</w:t>
      </w:r>
      <w:r>
        <w:rPr>
          <w:rFonts w:ascii="Times New Roman" w:hAnsi="Times New Roman"/>
          <w:color w:val="000000"/>
          <w:sz w:val="20"/>
        </w:rPr>
        <w:t xml:space="preserve">, then Seller shall, (x) in the case of clause (ii) within two Business Days after such termination or (y) in the case of clause (i) within one Business Day after the consummation of a Business Acquisition Proposal, pay (or cause to be paid) to Buyer the Seller Termination Fee, </w:t>
      </w:r>
      <w:r>
        <w:rPr>
          <w:rFonts w:ascii="Times New Roman" w:hAnsi="Times New Roman"/>
          <w:color w:val="000000"/>
          <w:sz w:val="20"/>
          <w:u w:val="single"/>
        </w:rPr>
        <w:t>less</w:t>
      </w:r>
      <w:r>
        <w:rPr>
          <w:rFonts w:ascii="Times New Roman" w:hAnsi="Times New Roman"/>
          <w:color w:val="000000"/>
          <w:sz w:val="20"/>
        </w:rPr>
        <w:t xml:space="preserve"> any Buyer Fee Reimbursement that has already been received by Buyer pursuant to </w:t>
      </w:r>
      <w:r>
        <w:rPr>
          <w:rFonts w:ascii="Times New Roman" w:hAnsi="Times New Roman"/>
          <w:color w:val="000000"/>
          <w:sz w:val="20"/>
          <w:u w:val="single"/>
        </w:rPr>
        <w:t>Section 7.02(b)</w:t>
      </w:r>
      <w:r>
        <w:rPr>
          <w:rFonts w:ascii="Times New Roman" w:hAnsi="Times New Roman"/>
          <w:color w:val="000000"/>
          <w:sz w:val="20"/>
        </w:rPr>
        <w:t>, by wire transfer of same day funds (</w:t>
      </w:r>
      <w:r>
        <w:rPr>
          <w:rFonts w:ascii="Times New Roman" w:hAnsi="Times New Roman"/>
          <w:color w:val="000000"/>
          <w:sz w:val="20"/>
          <w:u w:val="single"/>
        </w:rPr>
        <w:t>provided</w:t>
      </w:r>
      <w:r>
        <w:rPr>
          <w:rFonts w:ascii="Times New Roman" w:hAnsi="Times New Roman"/>
          <w:color w:val="000000"/>
          <w:sz w:val="20"/>
        </w:rPr>
        <w:t xml:space="preserve"> that if either Buyer or Seller terminates this Agreement pursuant to </w:t>
      </w:r>
      <w:r>
        <w:rPr>
          <w:rFonts w:ascii="Times New Roman" w:hAnsi="Times New Roman"/>
          <w:color w:val="000000"/>
          <w:sz w:val="20"/>
          <w:u w:val="single"/>
        </w:rPr>
        <w:t>Section 7.01(b)</w:t>
      </w:r>
      <w:r>
        <w:rPr>
          <w:rFonts w:ascii="Times New Roman" w:hAnsi="Times New Roman"/>
          <w:color w:val="000000"/>
          <w:sz w:val="20"/>
        </w:rPr>
        <w:t xml:space="preserve"> or </w:t>
      </w:r>
      <w:r>
        <w:rPr>
          <w:rFonts w:ascii="Times New Roman" w:hAnsi="Times New Roman"/>
          <w:color w:val="000000"/>
          <w:sz w:val="20"/>
          <w:u w:val="single"/>
        </w:rPr>
        <w:t>Section 7.01(c)</w:t>
      </w:r>
      <w:r>
        <w:rPr>
          <w:rFonts w:ascii="Times New Roman" w:hAnsi="Times New Roman"/>
          <w:color w:val="000000"/>
          <w:sz w:val="20"/>
        </w:rPr>
        <w:t xml:space="preserve"> at any time after Buyer would have been permitted to terminate this Agreement pursuant to </w:t>
      </w:r>
      <w:r>
        <w:rPr>
          <w:rFonts w:ascii="Times New Roman" w:hAnsi="Times New Roman"/>
          <w:color w:val="000000"/>
          <w:sz w:val="20"/>
          <w:u w:val="single"/>
        </w:rPr>
        <w:t>Section 7.01(e)</w:t>
      </w:r>
      <w:r>
        <w:rPr>
          <w:rFonts w:ascii="Times New Roman" w:hAnsi="Times New Roman"/>
          <w:color w:val="000000"/>
          <w:sz w:val="20"/>
        </w:rPr>
        <w:t xml:space="preserve">, this Agreement shall be deemed terminated pursuant to </w:t>
      </w:r>
      <w:r>
        <w:rPr>
          <w:rFonts w:ascii="Times New Roman" w:hAnsi="Times New Roman"/>
          <w:color w:val="000000"/>
          <w:sz w:val="20"/>
          <w:u w:val="single"/>
        </w:rPr>
        <w:t>Section 7.01(e)</w:t>
      </w:r>
      <w:r>
        <w:rPr>
          <w:rFonts w:ascii="Times New Roman" w:hAnsi="Times New Roman"/>
          <w:color w:val="000000"/>
          <w:sz w:val="20"/>
        </w:rPr>
        <w:t xml:space="preserve"> for purposes of this </w:t>
      </w:r>
      <w:r>
        <w:rPr>
          <w:rFonts w:ascii="Times New Roman" w:hAnsi="Times New Roman"/>
          <w:color w:val="000000"/>
          <w:sz w:val="20"/>
          <w:u w:val="single"/>
        </w:rPr>
        <w:t>Section 7.02(a)</w:t>
      </w:r>
      <w:r>
        <w:rPr>
          <w:rFonts w:ascii="Times New Roman" w:hAnsi="Times New Roman"/>
          <w:color w:val="000000"/>
          <w:sz w:val="20"/>
        </w:rPr>
        <w:t>).  In no event shall Seller be required to pay the Seller Termination Fee on more than one occasion.</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(i) If the Closing has not occurred by December 31, 2026 (the “</w:t>
      </w:r>
      <w:r>
        <w:rPr>
          <w:rFonts w:ascii="Times New Roman" w:hAnsi="Times New Roman"/>
          <w:color w:val="000000"/>
          <w:sz w:val="20"/>
          <w:u w:val="single"/>
        </w:rPr>
        <w:t>Initial Buyer Fee Reimbursement Date</w:t>
      </w:r>
      <w:r>
        <w:rPr>
          <w:rFonts w:ascii="Times New Roman" w:hAnsi="Times New Roman"/>
          <w:color w:val="000000"/>
          <w:sz w:val="20"/>
        </w:rPr>
        <w:t xml:space="preserve">”), at the election of Buyer in writing within ten Business Days following the Initial Buyer Fee Reimbursement Date, Seller shall reimburse Buyer for Buyer’s reasonable and documented out of pocket fees and expenses incurred by Buyer in connection with this Agreement and the Sale, up to a maximum of $125,000 (the “Initial </w:t>
      </w:r>
      <w:r>
        <w:rPr>
          <w:rFonts w:ascii="Times New Roman" w:hAnsi="Times New Roman"/>
          <w:color w:val="000000"/>
          <w:sz w:val="20"/>
          <w:u w:val="single"/>
        </w:rPr>
        <w:t>Buyer Fee Reimbursement</w:t>
      </w:r>
      <w:r>
        <w:rPr>
          <w:rFonts w:ascii="Times New Roman" w:hAnsi="Times New Roman"/>
          <w:color w:val="000000"/>
          <w:sz w:val="20"/>
        </w:rPr>
        <w:t>”) and (ii) if the Closing has not occurred by March 31, 2027 (the “</w:t>
      </w:r>
      <w:r>
        <w:rPr>
          <w:rFonts w:ascii="Times New Roman" w:hAnsi="Times New Roman"/>
          <w:color w:val="000000"/>
          <w:sz w:val="20"/>
          <w:u w:val="single"/>
        </w:rPr>
        <w:t>Second Buyer Fee Reimbursement Date</w:t>
      </w:r>
      <w:r>
        <w:rPr>
          <w:rFonts w:ascii="Times New Roman" w:hAnsi="Times New Roman"/>
          <w:color w:val="000000"/>
          <w:sz w:val="20"/>
        </w:rPr>
        <w:t>”), at the election of Buyer in writing within ten Business Days following the Second Buyer Fee Reimbursement Date, Seller shall reimburse Buyer for Buyer’s reasonable and documented out of pocket fees and expenses incurred by Buyer in connection with this Agreement and the Sale, up to a maximum of $125,000 (the “</w:t>
      </w:r>
      <w:r>
        <w:rPr>
          <w:rFonts w:ascii="Times New Roman" w:hAnsi="Times New Roman"/>
          <w:color w:val="000000"/>
          <w:sz w:val="20"/>
          <w:u w:val="single"/>
        </w:rPr>
        <w:t>Second Buyer Fee Reimbursement</w:t>
      </w:r>
      <w:r>
        <w:rPr>
          <w:rFonts w:ascii="Times New Roman" w:hAnsi="Times New Roman"/>
          <w:color w:val="000000"/>
          <w:sz w:val="20"/>
        </w:rPr>
        <w:t>”, and together with the Initial Buyer Fee Reimbursement, the “</w:t>
      </w:r>
      <w:r>
        <w:rPr>
          <w:rFonts w:ascii="Times New Roman" w:hAnsi="Times New Roman"/>
          <w:color w:val="000000"/>
          <w:sz w:val="20"/>
          <w:u w:val="single"/>
        </w:rPr>
        <w:t>Buyer Fee Reimbursement</w:t>
      </w:r>
      <w:r>
        <w:rPr>
          <w:rFonts w:ascii="Times New Roman" w:hAnsi="Times New Roman"/>
          <w:color w:val="000000"/>
          <w:sz w:val="20"/>
        </w:rPr>
        <w:t xml:space="preserve">), in each case, by wire transfer of same day funds within ten Business Days following the date on which Buyer submits to Seller true and correct copies of reasonable documentation supporting such expenses. Any Buyer Fee Reimbursement received by Buyer pursuant to this </w:t>
      </w:r>
      <w:r>
        <w:rPr>
          <w:rFonts w:ascii="Times New Roman" w:hAnsi="Times New Roman"/>
          <w:color w:val="000000"/>
          <w:sz w:val="20"/>
          <w:u w:val="single"/>
        </w:rPr>
        <w:t>Section 7.02(b)</w:t>
      </w:r>
      <w:r>
        <w:rPr>
          <w:rFonts w:ascii="Times New Roman" w:hAnsi="Times New Roman"/>
          <w:color w:val="000000"/>
          <w:sz w:val="20"/>
        </w:rPr>
        <w:t xml:space="preserve"> shall be credited against (i) the Seller Termination Fee (if any) payable pursuant to </w:t>
      </w:r>
      <w:r>
        <w:rPr>
          <w:rFonts w:ascii="Times New Roman" w:hAnsi="Times New Roman"/>
          <w:color w:val="000000"/>
          <w:sz w:val="20"/>
          <w:u w:val="single"/>
        </w:rPr>
        <w:t>Section 7.02(a)</w:t>
      </w:r>
      <w:r>
        <w:rPr>
          <w:rFonts w:ascii="Times New Roman" w:hAnsi="Times New Roman"/>
          <w:color w:val="000000"/>
          <w:sz w:val="20"/>
        </w:rPr>
        <w:t xml:space="preserve"> as set forth therein and (ii) to the extent such Buyer Fee Reimbursement is used by Buyer to make any payments or prepayments of Indebtedness, Transaction Expenses or otherwise, against the Purchase Price on a dollar for dollar basis.</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7.03      </w:t>
      </w:r>
      <w:r>
        <w:rPr>
          <w:rFonts w:ascii="Times New Roman" w:hAnsi="Times New Roman"/>
          <w:color w:val="000000"/>
          <w:sz w:val="20"/>
          <w:u w:val="single"/>
        </w:rPr>
        <w:t>Effect of Termination</w:t>
      </w:r>
      <w:r>
        <w:rPr>
          <w:rFonts w:ascii="Times New Roman" w:hAnsi="Times New Roman"/>
          <w:color w:val="000000"/>
          <w:sz w:val="20"/>
        </w:rPr>
        <w:t xml:space="preserve">. In the event of termination of this Agreement as provided in </w:t>
      </w:r>
      <w:r>
        <w:rPr>
          <w:rFonts w:ascii="Times New Roman" w:hAnsi="Times New Roman"/>
          <w:color w:val="000000"/>
          <w:sz w:val="20"/>
          <w:u w:val="single"/>
        </w:rPr>
        <w:t>Section 7.01</w:t>
      </w:r>
      <w:r>
        <w:rPr>
          <w:rFonts w:ascii="Times New Roman" w:hAnsi="Times New Roman"/>
          <w:color w:val="000000"/>
          <w:sz w:val="20"/>
        </w:rPr>
        <w:t xml:space="preserve">, this Agreement shall forthwith become void and there shall be no Liability on the part of the Buyer Parties or the Seller Parties, in either case, relating to, based on or arising under or out of this Agreement, the transactions contemplated hereby or the subject matter hereof (including the negotiation and performance of this Agreement), in each case whether based on contract, tort, equity or otherwise and whether by or through attempted piercing of the corporate veil, by or through any claim by or on behalf of a Party hereto or another Person or otherwise;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(i) </w:t>
      </w:r>
      <w:r>
        <w:rPr>
          <w:rFonts w:ascii="Times New Roman" w:hAnsi="Times New Roman"/>
          <w:color w:val="000000"/>
          <w:sz w:val="20"/>
          <w:u w:val="single"/>
        </w:rPr>
        <w:t>Section 7.02</w:t>
      </w:r>
      <w:r>
        <w:rPr>
          <w:rFonts w:ascii="Times New Roman" w:hAnsi="Times New Roman"/>
          <w:color w:val="000000"/>
          <w:sz w:val="20"/>
        </w:rPr>
        <w:t xml:space="preserve">, this </w:t>
      </w:r>
      <w:r>
        <w:rPr>
          <w:rFonts w:ascii="Times New Roman" w:hAnsi="Times New Roman"/>
          <w:color w:val="000000"/>
          <w:sz w:val="20"/>
          <w:u w:val="single"/>
        </w:rPr>
        <w:t>Section 7.03</w:t>
      </w:r>
      <w:r>
        <w:rPr>
          <w:rFonts w:ascii="Times New Roman" w:hAnsi="Times New Roman"/>
          <w:color w:val="000000"/>
          <w:sz w:val="20"/>
        </w:rPr>
        <w:t xml:space="preserve">, </w:t>
      </w:r>
      <w:r>
        <w:rPr>
          <w:rFonts w:ascii="Times New Roman" w:hAnsi="Times New Roman"/>
          <w:color w:val="000000"/>
          <w:sz w:val="20"/>
          <w:u w:val="single"/>
        </w:rPr>
        <w:t>Article VIII</w:t>
      </w:r>
      <w:r>
        <w:rPr>
          <w:rFonts w:ascii="Times New Roman" w:hAnsi="Times New Roman"/>
          <w:color w:val="000000"/>
          <w:sz w:val="20"/>
        </w:rPr>
        <w:t xml:space="preserve"> and </w:t>
      </w:r>
      <w:r>
        <w:rPr>
          <w:rFonts w:ascii="Times New Roman" w:hAnsi="Times New Roman"/>
          <w:color w:val="000000"/>
          <w:sz w:val="20"/>
          <w:u w:val="single"/>
        </w:rPr>
        <w:t>Article IX</w:t>
      </w:r>
      <w:r>
        <w:rPr>
          <w:rFonts w:ascii="Times New Roman" w:hAnsi="Times New Roman"/>
          <w:color w:val="000000"/>
          <w:sz w:val="20"/>
        </w:rPr>
        <w:t xml:space="preserve"> shall remain in full force and effect following such termination and (ii) such termination shall not relieve any Party from (a) Liability for Willful Breach or Fraud or (b) any obligation to pay, if applicable, the Seller Termination Fee pursuant to </w:t>
      </w:r>
      <w:r>
        <w:rPr>
          <w:rFonts w:ascii="Times New Roman" w:hAnsi="Times New Roman"/>
          <w:color w:val="000000"/>
          <w:sz w:val="20"/>
          <w:u w:val="single"/>
        </w:rPr>
        <w:t>Section 7.02</w:t>
      </w:r>
      <w:r>
        <w:rPr>
          <w:rFonts w:ascii="Times New Roman" w:hAnsi="Times New Roman"/>
          <w:color w:val="000000"/>
          <w:sz w:val="20"/>
        </w:rPr>
        <w:t xml:space="preserve">. In addition, the Confidentiality Agreement shall survive any termination of this Agreement in accordance with its terms, and nothing in this </w:t>
      </w:r>
      <w:r>
        <w:rPr>
          <w:rFonts w:ascii="Times New Roman" w:hAnsi="Times New Roman"/>
          <w:color w:val="000000"/>
          <w:sz w:val="20"/>
          <w:u w:val="single"/>
        </w:rPr>
        <w:t>Section 7.02</w:t>
      </w:r>
      <w:r>
        <w:rPr>
          <w:rFonts w:ascii="Times New Roman" w:hAnsi="Times New Roman"/>
          <w:color w:val="000000"/>
          <w:sz w:val="20"/>
        </w:rPr>
        <w:t xml:space="preserve"> shall be construed to discharge or relieve any party to the Confidentiality Agreement of its obligations thereunder.</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7.04         </w:t>
      </w:r>
      <w:r>
        <w:rPr>
          <w:rFonts w:ascii="Times New Roman" w:hAnsi="Times New Roman"/>
          <w:color w:val="000000"/>
          <w:sz w:val="20"/>
          <w:u w:val="single"/>
        </w:rPr>
        <w:t>Remedies</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Each Party acknowledges that the agreements contained in </w:t>
      </w:r>
      <w:r>
        <w:rPr>
          <w:rFonts w:ascii="Times New Roman" w:hAnsi="Times New Roman"/>
          <w:color w:val="000000"/>
          <w:sz w:val="20"/>
          <w:u w:val="single"/>
        </w:rPr>
        <w:t>Section 7.02</w:t>
      </w:r>
      <w:r>
        <w:rPr>
          <w:rFonts w:ascii="Times New Roman" w:hAnsi="Times New Roman"/>
          <w:color w:val="000000"/>
          <w:sz w:val="20"/>
        </w:rPr>
        <w:t xml:space="preserve"> are an integral part of the Sale, and that, without these agreements, no Party would have entered into this Agreement; accordingly, if Seller fails to pay promptly the Seller Termination Fee pursuant to </w:t>
      </w:r>
      <w:r>
        <w:rPr>
          <w:rFonts w:ascii="Times New Roman" w:hAnsi="Times New Roman"/>
          <w:color w:val="000000"/>
          <w:sz w:val="20"/>
          <w:u w:val="single"/>
        </w:rPr>
        <w:t>Section 7.02</w:t>
      </w:r>
      <w:r>
        <w:rPr>
          <w:rFonts w:ascii="Times New Roman" w:hAnsi="Times New Roman"/>
          <w:color w:val="000000"/>
          <w:sz w:val="20"/>
        </w:rPr>
        <w:t xml:space="preserve"> and, in order to obtain the Seller Termination Fee, Buyer commences a suit which results in a judgment against Seller, Seller shall pay to Buyer its costs and expenses (including attorneys’ fees) in connection with such suit, together with interest on the Seller Termination Fee at the prime rate in effect on the date the Seller Termination Fee was required to be paid through the date of full payment thereof.</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The Parties agree that the monetary remedies set forth in this </w:t>
      </w:r>
      <w:r>
        <w:rPr>
          <w:rFonts w:ascii="Times New Roman" w:hAnsi="Times New Roman"/>
          <w:color w:val="000000"/>
          <w:sz w:val="20"/>
          <w:u w:val="single"/>
        </w:rPr>
        <w:t>Article VII</w:t>
      </w:r>
      <w:r>
        <w:rPr>
          <w:rFonts w:ascii="Times New Roman" w:hAnsi="Times New Roman"/>
          <w:color w:val="000000"/>
          <w:sz w:val="20"/>
        </w:rPr>
        <w:t xml:space="preserve"> and the specific performance remedies set forth in </w:t>
      </w:r>
      <w:r>
        <w:rPr>
          <w:rFonts w:ascii="Times New Roman" w:hAnsi="Times New Roman"/>
          <w:color w:val="000000"/>
          <w:sz w:val="20"/>
          <w:u w:val="single"/>
        </w:rPr>
        <w:t>Section 9.14</w:t>
      </w:r>
      <w:r>
        <w:rPr>
          <w:rFonts w:ascii="Times New Roman" w:hAnsi="Times New Roman"/>
          <w:color w:val="000000"/>
          <w:sz w:val="20"/>
        </w:rPr>
        <w:t xml:space="preserve"> shall be the sole and exclusive remedies of Buyer and its Subsidiaries against Seller, the Business Companies and any of their respective former, current or future general or limited partners, stockholders, managers, members, Representatives or Affiliates for any loss suffered as a result of the failure of the Sale to be consummated except in the case of Fraud or Willful Breach (in which case only the breaching Party (and not the stockholders of such Party) shall be liable for damages for such Fraud or Willful Breach, and such liability shall not be limited to the amount of the Seller Termination Fee), and upon payment of such amount, none of the Parties or any of their respective former, current or future general or limited partners, stockholders, managers, members, Representatives or Affiliates shall have any further liability or obligation relating to or arising out of this Agreement or the Sale, except for the liability of a Party in the case of Fraud or a Willful Breach of this Agreement by such Party.</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92</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VIII</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INDEMNIFICATION</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8.01        </w:t>
      </w:r>
      <w:r>
        <w:rPr>
          <w:rFonts w:ascii="Times New Roman" w:hAnsi="Times New Roman"/>
          <w:color w:val="000000"/>
          <w:sz w:val="20"/>
          <w:u w:val="single"/>
        </w:rPr>
        <w:t>Survival</w:t>
      </w:r>
      <w:r>
        <w:rPr>
          <w:rFonts w:ascii="Times New Roman" w:hAnsi="Times New Roman"/>
          <w:color w:val="000000"/>
          <w:sz w:val="20"/>
        </w:rPr>
        <w:t xml:space="preserve">. The representations and warranties of the Parties set forth in </w:t>
      </w:r>
      <w:r>
        <w:rPr>
          <w:rFonts w:ascii="Times New Roman" w:hAnsi="Times New Roman"/>
          <w:color w:val="000000"/>
          <w:sz w:val="20"/>
          <w:u w:val="single"/>
        </w:rPr>
        <w:t>Article III</w:t>
      </w:r>
      <w:r>
        <w:rPr>
          <w:rFonts w:ascii="Times New Roman" w:hAnsi="Times New Roman"/>
          <w:color w:val="000000"/>
          <w:sz w:val="20"/>
        </w:rPr>
        <w:t xml:space="preserve"> and</w:t>
      </w:r>
      <w:r>
        <w:rPr>
          <w:rFonts w:ascii="Times New Roman" w:hAnsi="Times New Roman"/>
          <w:color w:val="000000"/>
          <w:sz w:val="20"/>
          <w:u w:val="single"/>
        </w:rPr>
        <w:t> Article IV</w:t>
      </w:r>
      <w:r>
        <w:rPr>
          <w:rFonts w:ascii="Times New Roman" w:hAnsi="Times New Roman"/>
          <w:color w:val="000000"/>
          <w:sz w:val="20"/>
        </w:rPr>
        <w:t xml:space="preserve"> shall survive the Closing and remain in full force and effect until three years following the Closing Date; </w:t>
      </w:r>
      <w:r>
        <w:rPr>
          <w:rFonts w:ascii="Times New Roman" w:hAnsi="Times New Roman"/>
          <w:color w:val="000000"/>
          <w:sz w:val="20"/>
          <w:u w:val="single"/>
        </w:rPr>
        <w:t>provided</w:t>
      </w:r>
      <w:r>
        <w:rPr>
          <w:rFonts w:ascii="Times New Roman" w:hAnsi="Times New Roman"/>
          <w:color w:val="000000"/>
          <w:sz w:val="20"/>
        </w:rPr>
        <w:t xml:space="preserve"> that (a) any claim with respect to Fraud will survive and can be made by a Party indefinitely, (b) the acknowledgements and disclaimers set forth in </w:t>
      </w:r>
      <w:r>
        <w:rPr>
          <w:rFonts w:ascii="Times New Roman" w:hAnsi="Times New Roman"/>
          <w:color w:val="000000"/>
          <w:sz w:val="20"/>
          <w:u w:val="single"/>
        </w:rPr>
        <w:t>Section 3.25</w:t>
      </w:r>
      <w:r>
        <w:rPr>
          <w:rFonts w:ascii="Times New Roman" w:hAnsi="Times New Roman"/>
          <w:color w:val="000000"/>
          <w:sz w:val="20"/>
        </w:rPr>
        <w:t xml:space="preserve"> and </w:t>
      </w:r>
      <w:r>
        <w:rPr>
          <w:rFonts w:ascii="Times New Roman" w:hAnsi="Times New Roman"/>
          <w:color w:val="000000"/>
          <w:sz w:val="20"/>
          <w:u w:val="single"/>
        </w:rPr>
        <w:t>Section 4.10</w:t>
      </w:r>
      <w:r>
        <w:rPr>
          <w:rFonts w:ascii="Times New Roman" w:hAnsi="Times New Roman"/>
          <w:color w:val="000000"/>
          <w:sz w:val="20"/>
        </w:rPr>
        <w:t xml:space="preserve"> shall survive indefinitely, (c) the obligations of Seller to indemnify the Buyer Indemnified Persons pursuant to </w:t>
      </w:r>
      <w:r>
        <w:rPr>
          <w:rFonts w:ascii="Times New Roman" w:hAnsi="Times New Roman"/>
          <w:color w:val="000000"/>
          <w:sz w:val="20"/>
          <w:u w:val="single"/>
        </w:rPr>
        <w:t>Section 8.02(a)(ii)</w:t>
      </w:r>
      <w:r>
        <w:rPr>
          <w:rFonts w:ascii="Times New Roman" w:hAnsi="Times New Roman"/>
          <w:color w:val="000000"/>
          <w:sz w:val="20"/>
        </w:rPr>
        <w:t xml:space="preserve"> through </w:t>
      </w:r>
      <w:r>
        <w:rPr>
          <w:rFonts w:ascii="Times New Roman" w:hAnsi="Times New Roman"/>
          <w:color w:val="000000"/>
          <w:sz w:val="20"/>
          <w:u w:val="single"/>
        </w:rPr>
        <w:t>(v)</w:t>
      </w:r>
      <w:r>
        <w:rPr>
          <w:rFonts w:ascii="Times New Roman" w:hAnsi="Times New Roman"/>
          <w:color w:val="000000"/>
          <w:sz w:val="20"/>
        </w:rPr>
        <w:t xml:space="preserve"> shall survive until three years following the Closing Date, (d) the obligations of Seller to indemnify the Buyer Indemnified Persons pursuant to </w:t>
      </w:r>
      <w:r>
        <w:rPr>
          <w:rFonts w:ascii="Times New Roman" w:hAnsi="Times New Roman"/>
          <w:color w:val="000000"/>
          <w:sz w:val="20"/>
          <w:u w:val="single"/>
        </w:rPr>
        <w:t>Section 8.02(a)(vi)</w:t>
      </w:r>
      <w:r>
        <w:rPr>
          <w:rFonts w:ascii="Times New Roman" w:hAnsi="Times New Roman"/>
          <w:color w:val="000000"/>
          <w:sz w:val="20"/>
        </w:rPr>
        <w:t xml:space="preserve"> through </w:t>
      </w:r>
      <w:r>
        <w:rPr>
          <w:rFonts w:ascii="Times New Roman" w:hAnsi="Times New Roman"/>
          <w:color w:val="000000"/>
          <w:sz w:val="20"/>
          <w:u w:val="single"/>
        </w:rPr>
        <w:t>(vii)</w:t>
      </w:r>
      <w:r>
        <w:rPr>
          <w:rFonts w:ascii="Times New Roman" w:hAnsi="Times New Roman"/>
          <w:color w:val="000000"/>
          <w:sz w:val="20"/>
        </w:rPr>
        <w:t xml:space="preserve"> shall survive until the expiration of the applicable statute of limitations and (e) the Seller Fundamental Representations shall survive until the expiration of the applicable statute of limitations (in each case, the “</w:t>
      </w:r>
      <w:r>
        <w:rPr>
          <w:rFonts w:ascii="Times New Roman" w:hAnsi="Times New Roman"/>
          <w:color w:val="000000"/>
          <w:sz w:val="20"/>
          <w:u w:val="single"/>
        </w:rPr>
        <w:t>Survival Period</w:t>
      </w:r>
      <w:r>
        <w:rPr>
          <w:rFonts w:ascii="Times New Roman" w:hAnsi="Times New Roman"/>
          <w:color w:val="000000"/>
          <w:sz w:val="20"/>
        </w:rPr>
        <w:t xml:space="preserve">”). Notwithstanding anything to the contrary in this </w:t>
      </w:r>
      <w:r>
        <w:rPr>
          <w:rFonts w:ascii="Times New Roman" w:hAnsi="Times New Roman"/>
          <w:color w:val="000000"/>
          <w:sz w:val="20"/>
          <w:u w:val="single"/>
        </w:rPr>
        <w:t>Section 8.01</w:t>
      </w:r>
      <w:r>
        <w:rPr>
          <w:rFonts w:ascii="Times New Roman" w:hAnsi="Times New Roman"/>
          <w:color w:val="000000"/>
          <w:sz w:val="20"/>
        </w:rPr>
        <w:t xml:space="preserve">, the indemnification obligations pursuant to </w:t>
      </w:r>
      <w:r>
        <w:rPr>
          <w:rFonts w:ascii="Times New Roman" w:hAnsi="Times New Roman"/>
          <w:color w:val="000000"/>
          <w:sz w:val="20"/>
          <w:u w:val="single"/>
        </w:rPr>
        <w:t>Section 8.02(a)(i)</w:t>
      </w:r>
      <w:r>
        <w:rPr>
          <w:rFonts w:ascii="Times New Roman" w:hAnsi="Times New Roman"/>
          <w:color w:val="000000"/>
          <w:sz w:val="20"/>
        </w:rPr>
        <w:t xml:space="preserve"> and </w:t>
      </w:r>
      <w:r>
        <w:rPr>
          <w:rFonts w:ascii="Times New Roman" w:hAnsi="Times New Roman"/>
          <w:color w:val="000000"/>
          <w:sz w:val="20"/>
          <w:u w:val="single"/>
        </w:rPr>
        <w:t>Section 8.02(b)(i)</w:t>
      </w:r>
      <w:r>
        <w:rPr>
          <w:rFonts w:ascii="Times New Roman" w:hAnsi="Times New Roman"/>
          <w:color w:val="000000"/>
          <w:sz w:val="20"/>
        </w:rPr>
        <w:t xml:space="preserve"> shall not terminate with respect to any indemnification claim made by an Indemnified Party prior to the expiration of the applicable Survival Period until such claim is resolved. Nothing in this </w:t>
      </w:r>
      <w:r>
        <w:rPr>
          <w:rFonts w:ascii="Times New Roman" w:hAnsi="Times New Roman"/>
          <w:color w:val="000000"/>
          <w:sz w:val="20"/>
          <w:u w:val="single"/>
        </w:rPr>
        <w:t>Section 8.01</w:t>
      </w:r>
      <w:r>
        <w:rPr>
          <w:rFonts w:ascii="Times New Roman" w:hAnsi="Times New Roman"/>
          <w:color w:val="000000"/>
          <w:sz w:val="20"/>
        </w:rPr>
        <w:t xml:space="preserve"> shall limit or prohibit the rights of Buyer to pursue recoveries under any R&amp;W Policy.</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8.02         </w:t>
      </w:r>
      <w:r>
        <w:rPr>
          <w:rFonts w:ascii="Times New Roman" w:hAnsi="Times New Roman"/>
          <w:color w:val="000000"/>
          <w:sz w:val="20"/>
          <w:u w:val="single"/>
        </w:rPr>
        <w:t>Indemnification; Remedies</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From and after the Closing, Seller shall indemnify, defend and hold harmless Buyer and its Affiliates (collectively, the “</w:t>
      </w:r>
      <w:r>
        <w:rPr>
          <w:rFonts w:ascii="Times New Roman" w:hAnsi="Times New Roman"/>
          <w:color w:val="000000"/>
          <w:sz w:val="20"/>
          <w:u w:val="single"/>
        </w:rPr>
        <w:t>Buyer Indemnified Persons</w:t>
      </w:r>
      <w:r>
        <w:rPr>
          <w:rFonts w:ascii="Times New Roman" w:hAnsi="Times New Roman"/>
          <w:color w:val="000000"/>
          <w:sz w:val="20"/>
        </w:rPr>
        <w:t xml:space="preserve">”) from and against any and all Losses actually suffered, incurred or sustained by any of them that result from, relate to or arise out of any: (i) inaccuracy, misrepresentation or breach of any representation or warranty of Seller contained in </w:t>
      </w:r>
      <w:r>
        <w:rPr>
          <w:rFonts w:ascii="Times New Roman" w:hAnsi="Times New Roman"/>
          <w:color w:val="000000"/>
          <w:sz w:val="20"/>
          <w:u w:val="single"/>
        </w:rPr>
        <w:t>Article III</w:t>
      </w:r>
      <w:r>
        <w:rPr>
          <w:rFonts w:ascii="Times New Roman" w:hAnsi="Times New Roman"/>
          <w:color w:val="000000"/>
          <w:sz w:val="20"/>
        </w:rPr>
        <w:t xml:space="preserve"> of this Agreement; (ii) Excluded Liabilities; (iii) product liability claims brought by a third party solely to the extent arising from Products sold prior to the Closing Date; (iv) Environmental Claim, (v) Pre-Closing Employment Liabilities; (vi) Taxes imposed with respect to the ownership or use of the Transferred Assets at or prior to the Closing; (vii) infringement, misappropriation or other violation of the Intellectual Property of a third party solely to the extent attributable to the conduct of the Business prior to the Closing Date; or (viii) breach after the Closing of any covenant or agreement of Seller that contemplates performance or compliance after the Closing or otherwise expressly by its terms survives the Closing.</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From and after the Closing, Buyer shall indemnify, defend and hold harmless Seller and its Affiliates from and against any and all Losses actually suffered, incurred or sustained by any of them that result from, relate to or arise out of any: (i) inaccuracy, misrepresentation or breach of any representation or warranty of Buyer contained in </w:t>
      </w:r>
      <w:r>
        <w:rPr>
          <w:rFonts w:ascii="Times New Roman" w:hAnsi="Times New Roman"/>
          <w:color w:val="000000"/>
          <w:sz w:val="20"/>
          <w:u w:val="single"/>
        </w:rPr>
        <w:t>Article IV</w:t>
      </w:r>
      <w:r>
        <w:rPr>
          <w:rFonts w:ascii="Times New Roman" w:hAnsi="Times New Roman"/>
          <w:color w:val="000000"/>
          <w:sz w:val="20"/>
        </w:rPr>
        <w:t xml:space="preserve"> of this Agreement; (ii) Assumed Liabilities (other than with respect to any portion of such Assumed Liability for which Seller is expressly required to indemnify the Buyer Indemnified Persons pursuant to </w:t>
      </w:r>
      <w:r>
        <w:rPr>
          <w:rFonts w:ascii="Times New Roman" w:hAnsi="Times New Roman"/>
          <w:color w:val="000000"/>
          <w:sz w:val="20"/>
          <w:u w:val="single"/>
        </w:rPr>
        <w:t>Section 8.02(a)</w:t>
      </w:r>
      <w:r>
        <w:rPr>
          <w:rFonts w:ascii="Times New Roman" w:hAnsi="Times New Roman"/>
          <w:color w:val="000000"/>
          <w:sz w:val="20"/>
        </w:rPr>
        <w:t>); or (iii) breach after the Closing of any covenant or agreement of Buyer that contemplates performance or compliance after the Closing or otherwise expressly by its terms survives the Closing.</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8.03         </w:t>
      </w:r>
      <w:r>
        <w:rPr>
          <w:rFonts w:ascii="Times New Roman" w:hAnsi="Times New Roman"/>
          <w:color w:val="000000"/>
          <w:sz w:val="20"/>
          <w:u w:val="single"/>
        </w:rPr>
        <w:t>Notice of Claim; Defense.</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If (i) any third party or Governmental Entity institutes, threatens or asserts any action that may give rise to Losses for which a Party (an “</w:t>
      </w:r>
      <w:r>
        <w:rPr>
          <w:rFonts w:ascii="Times New Roman" w:hAnsi="Times New Roman"/>
          <w:color w:val="000000"/>
          <w:sz w:val="20"/>
          <w:u w:val="single"/>
        </w:rPr>
        <w:t>Indemnifying Party</w:t>
      </w:r>
      <w:r>
        <w:rPr>
          <w:rFonts w:ascii="Times New Roman" w:hAnsi="Times New Roman"/>
          <w:color w:val="000000"/>
          <w:sz w:val="20"/>
        </w:rPr>
        <w:t xml:space="preserve">”) could reasonably expected to be liable for indemnification under this </w:t>
      </w:r>
      <w:r>
        <w:rPr>
          <w:rFonts w:ascii="Times New Roman" w:hAnsi="Times New Roman"/>
          <w:color w:val="000000"/>
          <w:sz w:val="20"/>
          <w:u w:val="single"/>
        </w:rPr>
        <w:t>Article VIII</w:t>
      </w:r>
      <w:r>
        <w:rPr>
          <w:rFonts w:ascii="Times New Roman" w:hAnsi="Times New Roman"/>
          <w:color w:val="000000"/>
          <w:sz w:val="20"/>
        </w:rPr>
        <w:t xml:space="preserve"> (a “</w:t>
      </w:r>
      <w:r>
        <w:rPr>
          <w:rFonts w:ascii="Times New Roman" w:hAnsi="Times New Roman"/>
          <w:color w:val="000000"/>
          <w:sz w:val="20"/>
          <w:u w:val="single"/>
        </w:rPr>
        <w:t>Third-Party Claim</w:t>
      </w:r>
      <w:r>
        <w:rPr>
          <w:rFonts w:ascii="Times New Roman" w:hAnsi="Times New Roman"/>
          <w:color w:val="000000"/>
          <w:sz w:val="20"/>
        </w:rPr>
        <w:t>”) or (ii) any Person entitled to indemnification under this Agreement (an “</w:t>
      </w:r>
      <w:r>
        <w:rPr>
          <w:rFonts w:ascii="Times New Roman" w:hAnsi="Times New Roman"/>
          <w:color w:val="000000"/>
          <w:sz w:val="20"/>
          <w:u w:val="single"/>
        </w:rPr>
        <w:t>Indemnified Party</w:t>
      </w:r>
      <w:r>
        <w:rPr>
          <w:rFonts w:ascii="Times New Roman" w:hAnsi="Times New Roman"/>
          <w:color w:val="000000"/>
          <w:sz w:val="20"/>
        </w:rPr>
        <w:t>”) shall have a claim to be indemnified by an Indemnifying Party that does not involve a Third-Party Claim, then, in the case of clause (i) or (ii), the Indemnified Party shall promptly send to the Indemnifying Party a written notice specifying (to the extent known) the nature of such claim and the amount of all related Losses (a “</w:t>
      </w:r>
      <w:r>
        <w:rPr>
          <w:rFonts w:ascii="Times New Roman" w:hAnsi="Times New Roman"/>
          <w:color w:val="000000"/>
          <w:sz w:val="20"/>
          <w:u w:val="single"/>
        </w:rPr>
        <w:t>Claim Notice</w:t>
      </w:r>
      <w:r>
        <w:rPr>
          <w:rFonts w:ascii="Times New Roman" w:hAnsi="Times New Roman"/>
          <w:color w:val="000000"/>
          <w:sz w:val="20"/>
        </w:rPr>
        <w:t>”); provided, however, that any failure to give such Claim Notice or to provide any such facts or amounts shall not affect the rights of the Indemnified Parties except to the extent that such failure actually prejudices the Indemnifying Party. Each Claim Notice shall contain the amount or a good faith estimate of the potential Losses (the “</w:t>
      </w:r>
      <w:r>
        <w:rPr>
          <w:rFonts w:ascii="Times New Roman" w:hAnsi="Times New Roman"/>
          <w:color w:val="000000"/>
          <w:sz w:val="20"/>
          <w:u w:val="single"/>
        </w:rPr>
        <w:t>Damage Estimate</w:t>
      </w:r>
      <w:r>
        <w:rPr>
          <w:rFonts w:ascii="Times New Roman" w:hAnsi="Times New Roman"/>
          <w:color w:val="000000"/>
          <w:sz w:val="20"/>
        </w:rPr>
        <w:t xml:space="preserve">”) against which such Indemnified Party seeks indemnification, to the extent then ascertainable, and a statement that such Indemnified Party is entitled to indemnification pursuant to this </w:t>
      </w:r>
      <w:r>
        <w:rPr>
          <w:rFonts w:ascii="Times New Roman" w:hAnsi="Times New Roman"/>
          <w:color w:val="000000"/>
          <w:sz w:val="20"/>
          <w:u w:val="single"/>
        </w:rPr>
        <w:t>Article VIII</w:t>
      </w:r>
      <w:r>
        <w:rPr>
          <w:rFonts w:ascii="Times New Roman" w:hAnsi="Times New Roman"/>
          <w:color w:val="000000"/>
          <w:sz w:val="20"/>
        </w:rPr>
        <w:t xml:space="preserve"> with respect to such potential Losses and a reasonable explanation of the basis therefor.  If the applicable Indemnifying Party does not notify the Indemnified Party within 45 days following its receipt of a Claim Notice (other than a Claim Notice with respect to a Third-Party Claim) that the Indemnifying Party disputes such claim or lacks information to evaluate such claim, such claim shall be conclusively deemed a liability for which the Indemnified Party is entitled to indemnification under </w:t>
      </w:r>
      <w:r>
        <w:rPr>
          <w:rFonts w:ascii="Times New Roman" w:hAnsi="Times New Roman"/>
          <w:color w:val="000000"/>
          <w:sz w:val="20"/>
          <w:u w:val="single"/>
        </w:rPr>
        <w:t>Section 8.02</w:t>
      </w:r>
      <w:r>
        <w:rPr>
          <w:rFonts w:ascii="Times New Roman" w:hAnsi="Times New Roman"/>
          <w:color w:val="000000"/>
          <w:sz w:val="20"/>
        </w:rPr>
        <w:t>, and the amount of such claim shall be paid to the Indemnified Party, on demand, solely with respect to Losses actually suffered or incurred prior to delivery of the Claim Notice and described in reasonable detail (including the amounts of such Losses) in the Claim Notice (for the avoidance of doubt, disregarding any Damage Estimates or unknown amounts of Losses in the Claim Notice).</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In the event of a Third-Party Claim, the Indemnifying Party may assume the defense of such Third-Party Claim and elect to retain counsel of its choice, reasonably acceptable to the relevant Indemnified Parties, to represent such Indemnified Parties in connection with such Action and the Indemnifying Party shall pay the fees, charges and disbursements of such counsel. Should the Indemnifying Party so elect to assume the defense of a Third-Party Claim, the Indemnified Parties may participate, at their own expense and through legal counsel of their choice, in any such Action, provided that (i) the Indemnifying Party shall control the defense of the Indemnified Parties in connection with such Action and (ii) the Indemnified Parties and their counsel shall cooperate with the Indemnifying Party’s counsel in connection with such Action.</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Notwithstanding anything to the contrary in this Agreement, the Indemnifying Party shall not be entitled to assume or continue control of the defense of any Third-Party Claim (A) if (i) such Third-Party Claim relates to or arises in connection with any criminal proceeding, (ii) such Third-Party Claim seeks an injunction or equitable relief against any Indemnified Party (other than in case where the primary remedy being sought is monetary damages), (iii) the Indemnifying Party has failed or is failing to defend in good faith such Third-Party Claim or (iv) the Indemnifying Party is also a party to such Third-Party Claim, and in the opinion of the Indemnified Party’s outside legal counsel, a conflict exists between the Indemnifying Party and the Indemnified Party (or there are defenses available to the Indemnified Party that are unavailable to the Indemnifying Party) or (B) to the extent such Third-Party Claim does not relate to any Losses for which the Indemnifying Party is liable pursuant to this Agreement.</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(d)         The Indemnifying Party shall have the right to settle, compromise or discharge a Third-Party Claim either (i) with the prior written consent of the applicable Indemnified Party (which shall not be unreasonably withheld, conditioned or delayed) or (ii) without any Indemnified Party’s consent if such settlement, compromise or discharge (x) provides for no relief other than the payment of monetary damages and such monetary damages are paid in full by the Indemnifying Party, (y) includes as an unconditional term thereof the giving by the Person(s) asserting such Third-Party Claim to all Indemnified Parties of an unconditional release from all liability with respect to such Third-Party Claim and (z) does not contain an admission of liability or wrongdoing on the part of any Indemnified Party.</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(e)         Notwithstanding the foregoing, if the Indemnifying Party elects not to retain counsel reasonably satisfactory to the relevant Indemnified Parties and assume control of such defense within 20 days of receipt of a Claim Notice or if both the Indemnifying Party and any Indemnified Party are parties to or subjects of such Action and conflicts of interests exist between the Indemnifying Party and such Indemnified Party, then the Indemnified Parties shall retain counsel reasonably acceptable to the Indemnifying Party in connection with such Action and assume control of the defense of the Indemnified Parties in connection with such Action, and the fees, charges and disbursements of no more than one such counsel per jurisdiction selected by the Indemnified Parties shall be reimbursed by the Indemnifying Party. Whether the Indemnifying Party or the Indemnified Party controls the defense of any Third-Party Claim, the Parties shall cooperate in the defense thereof in accordance with </w:t>
      </w:r>
      <w:r>
        <w:rPr>
          <w:rFonts w:ascii="Times New Roman" w:hAnsi="Times New Roman"/>
          <w:color w:val="000000"/>
          <w:sz w:val="20"/>
          <w:u w:val="single"/>
        </w:rPr>
        <w:t>Section 8.03(f)</w:t>
      </w:r>
      <w:r>
        <w:rPr>
          <w:rFonts w:ascii="Times New Roman" w:hAnsi="Times New Roman"/>
          <w:color w:val="000000"/>
          <w:sz w:val="20"/>
        </w:rPr>
        <w:t>. Under no circumstances will the Indemnifying Party have any liability in connection with any settlement of any Action that is entered into by the Indemnified Party without its prior written consent (which shall not be unreasonably withheld, conditioned or delayed).</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(f)         From and after the delivery of a Claim Notice, at the reasonable request of the Indemnifying Party, each Indemnified Party shall grant the Indemnifying Party and its employees, legal counsel, experts and representatives reasonable access, during normal business hours and upon prior written notice, to the books, records, personnel and properties of the Indemnified Party to the extent reasonably related to the Claim Notice at no cost to the Indemnifying Party (other than for reasonable out-of-pocket expenses of the Indemnified Parties); </w:t>
      </w:r>
      <w:r>
        <w:rPr>
          <w:rFonts w:ascii="Times New Roman" w:hAnsi="Times New Roman"/>
          <w:color w:val="000000"/>
          <w:sz w:val="20"/>
          <w:u w:val="single"/>
        </w:rPr>
        <w:t>provided</w:t>
      </w:r>
      <w:r>
        <w:rPr>
          <w:rFonts w:ascii="Times New Roman" w:hAnsi="Times New Roman"/>
          <w:color w:val="000000"/>
          <w:sz w:val="20"/>
        </w:rPr>
        <w:t xml:space="preserve"> that the Indemnifying Party shall take reasonable precautions so as not to jeopardize any privilege reasonably available to an Indemnified Party in respect of any of its records.</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(g)        A Claim Notice, any amounts claimed therein and any other matters set forth therein shall be deemed to be “finally resolved” for purposes of this </w:t>
      </w:r>
      <w:r>
        <w:rPr>
          <w:rFonts w:ascii="Times New Roman" w:hAnsi="Times New Roman"/>
          <w:color w:val="000000"/>
          <w:sz w:val="20"/>
          <w:u w:val="single"/>
        </w:rPr>
        <w:t>Article VIII</w:t>
      </w:r>
      <w:r>
        <w:rPr>
          <w:rFonts w:ascii="Times New Roman" w:hAnsi="Times New Roman"/>
          <w:color w:val="000000"/>
          <w:sz w:val="20"/>
        </w:rPr>
        <w:t xml:space="preserve"> when (i) such Claim Notice, amounts and matters have been resolved by a written agreement executed by Buyer and Seller or (ii) such Claim Notice, amounts and matters have been resolved by a final, nonappealable Order of a court of competent jurisdiction or arbitrator with respect to such matter in dispute, or portion thereof.</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8.04         </w:t>
      </w:r>
      <w:r>
        <w:rPr>
          <w:rFonts w:ascii="Times New Roman" w:hAnsi="Times New Roman"/>
          <w:color w:val="000000"/>
          <w:sz w:val="20"/>
          <w:u w:val="single"/>
        </w:rPr>
        <w:t>Certain Indemnification Parameters.</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w:t>
      </w:r>
      <w:r>
        <w:rPr>
          <w:rFonts w:ascii="Times New Roman" w:hAnsi="Times New Roman"/>
          <w:color w:val="000000"/>
          <w:sz w:val="20"/>
          <w:u w:val="single"/>
        </w:rPr>
        <w:t>Deductible</w:t>
      </w:r>
      <w:r>
        <w:rPr>
          <w:rFonts w:ascii="Times New Roman" w:hAnsi="Times New Roman"/>
          <w:color w:val="000000"/>
          <w:sz w:val="20"/>
        </w:rPr>
        <w:t xml:space="preserve">.  In no event shall Seller be liable to the Buyer Indemnified Persons for indemnification claims pursuant to </w:t>
      </w:r>
      <w:r>
        <w:rPr>
          <w:rFonts w:ascii="Times New Roman" w:hAnsi="Times New Roman"/>
          <w:color w:val="000000"/>
          <w:sz w:val="20"/>
          <w:u w:val="single"/>
        </w:rPr>
        <w:t>Section 8.02(a)(i)</w:t>
      </w:r>
      <w:r>
        <w:rPr>
          <w:rFonts w:ascii="Times New Roman" w:hAnsi="Times New Roman"/>
          <w:color w:val="000000"/>
          <w:sz w:val="20"/>
        </w:rPr>
        <w:t xml:space="preserve"> through </w:t>
      </w:r>
      <w:r>
        <w:rPr>
          <w:rFonts w:ascii="Times New Roman" w:hAnsi="Times New Roman"/>
          <w:color w:val="000000"/>
          <w:sz w:val="20"/>
          <w:u w:val="single"/>
        </w:rPr>
        <w:t>(vii)</w:t>
      </w:r>
      <w:r>
        <w:rPr>
          <w:rFonts w:ascii="Times New Roman" w:hAnsi="Times New Roman"/>
          <w:color w:val="000000"/>
          <w:sz w:val="20"/>
        </w:rPr>
        <w:t xml:space="preserve"> (excepting, however, indemnification claims as a result of Fraud) with respect to individual claims (or such claims that arise out of similar facts or are based on related or similar occurrences, events or circumstances, which shall be aggregated and treated as a single claim for purposes of this </w:t>
      </w:r>
      <w:r>
        <w:rPr>
          <w:rFonts w:ascii="Times New Roman" w:hAnsi="Times New Roman"/>
          <w:color w:val="000000"/>
          <w:sz w:val="20"/>
          <w:u w:val="single"/>
        </w:rPr>
        <w:t>Section 8.04(a)</w:t>
      </w:r>
      <w:r>
        <w:rPr>
          <w:rFonts w:ascii="Times New Roman" w:hAnsi="Times New Roman"/>
          <w:color w:val="000000"/>
          <w:sz w:val="20"/>
        </w:rPr>
        <w:t>), unless and until such individual claim (or series of related claims) equals or exceeds $100,000, at which point the full amount of the indemnifiable Losses under the claim (or series of related claims) shall be recoverable.</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w:t>
      </w:r>
      <w:r>
        <w:rPr>
          <w:rFonts w:ascii="Times New Roman" w:hAnsi="Times New Roman"/>
          <w:color w:val="000000"/>
          <w:sz w:val="20"/>
          <w:u w:val="single"/>
        </w:rPr>
        <w:t>Offset Right Sole Remedy</w:t>
      </w:r>
      <w:r>
        <w:rPr>
          <w:rFonts w:ascii="Times New Roman" w:hAnsi="Times New Roman"/>
          <w:color w:val="000000"/>
          <w:sz w:val="20"/>
        </w:rPr>
        <w:t xml:space="preserve">.  Notwithstanding the other provisions of this </w:t>
      </w:r>
      <w:r>
        <w:rPr>
          <w:rFonts w:ascii="Times New Roman" w:hAnsi="Times New Roman"/>
          <w:color w:val="000000"/>
          <w:sz w:val="20"/>
          <w:u w:val="single"/>
        </w:rPr>
        <w:t>Article VIII</w:t>
      </w:r>
      <w:r>
        <w:rPr>
          <w:rFonts w:ascii="Times New Roman" w:hAnsi="Times New Roman"/>
          <w:color w:val="000000"/>
          <w:sz w:val="20"/>
        </w:rPr>
        <w:t xml:space="preserve">, except in the case of Fraud, the sole source of indemnification for the Buyer Indemnified Persons under this Agreement shall be the right to reduce, </w:t>
      </w:r>
      <w:r>
        <w:rPr>
          <w:rFonts w:ascii="Times New Roman" w:hAnsi="Times New Roman"/>
          <w:i/>
          <w:color w:val="000000"/>
          <w:sz w:val="20"/>
        </w:rPr>
        <w:t>first</w:t>
      </w:r>
      <w:r>
        <w:rPr>
          <w:rFonts w:ascii="Times New Roman" w:hAnsi="Times New Roman"/>
          <w:color w:val="000000"/>
          <w:sz w:val="20"/>
        </w:rPr>
        <w:t xml:space="preserve"> (i) the outstanding principal of the Base Seller Note and </w:t>
      </w:r>
      <w:r>
        <w:rPr>
          <w:rFonts w:ascii="Times New Roman" w:hAnsi="Times New Roman"/>
          <w:i/>
          <w:color w:val="000000"/>
          <w:sz w:val="20"/>
        </w:rPr>
        <w:t>second</w:t>
      </w:r>
      <w:r>
        <w:rPr>
          <w:rFonts w:ascii="Times New Roman" w:hAnsi="Times New Roman"/>
          <w:color w:val="000000"/>
          <w:sz w:val="20"/>
        </w:rPr>
        <w:t xml:space="preserve"> (ii) any Additional Consideration payable pursuant to </w:t>
      </w:r>
      <w:r>
        <w:rPr>
          <w:rFonts w:ascii="Times New Roman" w:hAnsi="Times New Roman"/>
          <w:color w:val="000000"/>
          <w:sz w:val="20"/>
          <w:u w:val="single"/>
        </w:rPr>
        <w:t>Section 2.12</w:t>
      </w:r>
      <w:r>
        <w:rPr>
          <w:rFonts w:ascii="Times New Roman" w:hAnsi="Times New Roman"/>
          <w:color w:val="000000"/>
          <w:sz w:val="20"/>
        </w:rPr>
        <w:t xml:space="preserve">, on a dollar-for-dollar basis, and no Buyer Indemnified Person shall have any right to seek or receive cash payments in respect of any indemnification obligation of Seller and its Affiliates hereunder. Neither Seller nor any of its Affiliates shall have any indemnification obligations under this Agreement when the sum of the amount of the outstanding principal of the Base Seller Note and any Additional Consideration payable pursuant to </w:t>
      </w:r>
      <w:r>
        <w:rPr>
          <w:rFonts w:ascii="Times New Roman" w:hAnsi="Times New Roman"/>
          <w:color w:val="000000"/>
          <w:sz w:val="20"/>
          <w:u w:val="single"/>
        </w:rPr>
        <w:t>Section 2.12</w:t>
      </w:r>
      <w:r>
        <w:rPr>
          <w:rFonts w:ascii="Times New Roman" w:hAnsi="Times New Roman"/>
          <w:color w:val="000000"/>
          <w:sz w:val="20"/>
        </w:rPr>
        <w:t xml:space="preserve"> has been reduced to zero.</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w:t>
      </w:r>
      <w:r>
        <w:rPr>
          <w:rFonts w:ascii="Times New Roman" w:hAnsi="Times New Roman"/>
          <w:color w:val="000000"/>
          <w:sz w:val="20"/>
          <w:u w:val="single"/>
        </w:rPr>
        <w:t>Limitation on Liability</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(i)        Notwithstanding anything to the contrary in this Agreement, the amount of any Losses to which an Indemnified Party will be entitled pursuant to this </w:t>
      </w:r>
      <w:r>
        <w:rPr>
          <w:rFonts w:ascii="Times New Roman" w:hAnsi="Times New Roman"/>
          <w:color w:val="000000"/>
          <w:sz w:val="20"/>
          <w:u w:val="single"/>
        </w:rPr>
        <w:t>Article VIII</w:t>
      </w:r>
      <w:r>
        <w:rPr>
          <w:rFonts w:ascii="Times New Roman" w:hAnsi="Times New Roman"/>
          <w:color w:val="000000"/>
          <w:sz w:val="20"/>
        </w:rPr>
        <w:t xml:space="preserve"> shall be calculated net of the amount of any recoveries actually received by such Indemnified Party under any existing insurance policies, including the R&amp;W Policy, or any other source (which recoveries shall be net of any actual, reasonable and documented out-of-pocket collection costs and reserves, expenses, Taxes, deductibles or premium adjustments or retrospectively rated premiums incurred or paid to procure such recoveries) in respect of any Losses suffered, paid, sustained or incurred by such Indemnified Party. From and after the Closing, except in the case of Fraud or as provided in </w:t>
      </w:r>
      <w:r>
        <w:rPr>
          <w:rFonts w:ascii="Times New Roman" w:hAnsi="Times New Roman"/>
          <w:color w:val="000000"/>
          <w:sz w:val="20"/>
          <w:u w:val="single"/>
        </w:rPr>
        <w:t>Section 9.14</w:t>
      </w:r>
      <w:r>
        <w:rPr>
          <w:rFonts w:ascii="Times New Roman" w:hAnsi="Times New Roman"/>
          <w:color w:val="000000"/>
          <w:sz w:val="20"/>
        </w:rPr>
        <w:t xml:space="preserve">, the exclusive remedy of Buyer and the other Buyer Indemnified Persons in connection with this Agreement and the transactions contemplated hereby (whether under this Contract or arising under common law or any other Law) shall be as provided in this </w:t>
      </w:r>
      <w:r>
        <w:rPr>
          <w:rFonts w:ascii="Times New Roman" w:hAnsi="Times New Roman"/>
          <w:color w:val="000000"/>
          <w:sz w:val="20"/>
          <w:u w:val="single"/>
        </w:rPr>
        <w:t>Article VIII</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(ii)        Notwithstanding anything to the contrary in this Agreement, Seller shall not be required to indemnify, defend or hold harmless Buyer and its Affiliates from or against any Losses arising out of or resulting from an Environmental Claim to the extent (i) such matter arises out of any invasive investigation of soil, groundwater, or other environmental media undertaken by or on behalf of Buyer or its Affiliates, unless such investigation was (A) required under applicable Environmental Laws or by a Governmental Entity, (B) conducted in response to a material and immediate risk to human health or the environment or (C) undertaken with the written consent of Seller (such consent to be in Seller’s sole discretion) or (ii) Buyer or its Affiliates (A) remediate environmental conditions to a level in excess of industrial standards or other commercially reasonable standards, including standards based on land use restrictions and engineering controls to the extent such restrictions or controls do not materially and adversely impact the ability to conduct the Business or (B) incur costs in excess of those reasonably necessary to bring a condition into compliance with applicable Environmental Law.</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(d)         </w:t>
      </w:r>
      <w:r>
        <w:rPr>
          <w:rFonts w:ascii="Times New Roman" w:hAnsi="Times New Roman"/>
          <w:color w:val="000000"/>
          <w:sz w:val="20"/>
          <w:u w:val="single"/>
        </w:rPr>
        <w:t>No Right of Set-Off</w:t>
      </w:r>
      <w:r>
        <w:rPr>
          <w:rFonts w:ascii="Times New Roman" w:hAnsi="Times New Roman"/>
          <w:color w:val="000000"/>
          <w:sz w:val="20"/>
        </w:rPr>
        <w:t xml:space="preserve">. No Party shall have any right to set off any unresolved indemnification claim pursuant to this </w:t>
      </w:r>
      <w:r>
        <w:rPr>
          <w:rFonts w:ascii="Times New Roman" w:hAnsi="Times New Roman"/>
          <w:color w:val="000000"/>
          <w:sz w:val="20"/>
          <w:u w:val="single"/>
        </w:rPr>
        <w:t>Article VIII</w:t>
      </w:r>
      <w:r>
        <w:rPr>
          <w:rFonts w:ascii="Times New Roman" w:hAnsi="Times New Roman"/>
          <w:color w:val="000000"/>
          <w:sz w:val="20"/>
        </w:rPr>
        <w:t xml:space="preserve"> against, and there shall not otherwise be any right to set off or counterclaim in the event of the non-performance of any obligation to make any payment due pursuant to this Agreement or any other Ancillary Agreement.</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96</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IX</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GENERAL PROVISIONS</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9.01        </w:t>
      </w:r>
      <w:r>
        <w:rPr>
          <w:rFonts w:ascii="Times New Roman" w:hAnsi="Times New Roman"/>
          <w:color w:val="000000"/>
          <w:sz w:val="20"/>
          <w:u w:val="single"/>
        </w:rPr>
        <w:t>Expenses</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Except as otherwise provided in this Agreement or the Ancillary Agreements, the Parties shall bear their respective direct and indirect costs and expenses incurred in connection with the negotiation, preparation, execution and performance of this Agreement and the transactions contemplated hereby.</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Unless otherwise indicated, all dollar amounts stated in this Agreement are stated in U.S. currency, and all payments required under this Agreement shall be paid in U.S. currency in immediately available funds.</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9.02        </w:t>
      </w:r>
      <w:r>
        <w:rPr>
          <w:rFonts w:ascii="Times New Roman" w:hAnsi="Times New Roman"/>
          <w:color w:val="000000"/>
          <w:sz w:val="20"/>
          <w:u w:val="single"/>
        </w:rPr>
        <w:t>Notices</w:t>
      </w:r>
      <w:r>
        <w:rPr>
          <w:rFonts w:ascii="Times New Roman" w:hAnsi="Times New Roman"/>
          <w:color w:val="000000"/>
          <w:sz w:val="20"/>
        </w:rPr>
        <w:t xml:space="preserve">. All notices and other communications that are required or may be given pursuant to this Agreement must be given in writing, in English and delivered personally, by national overnight courier service or by registered or certified mail (with return receipt requested), postage prepaid with regard to all notices of claims and demands, or alternatively for all other notices, by e-mail (provided no “bounce back” or notice of non-delivery is received) and shall be deemed to have been duly given, as applicable: (a) when delivered in person; (b) when delivered by overnight delivery service or registered mail or certified mail; or (c) when transmitted by email (if transmitted prior to 6 p.m. (Eastern Time), otherwise the next Business Day after such transmission) to the respective Persons at the following addresses (or at such other address for a Party as shall be specified in a notice given in accordance with this </w:t>
      </w:r>
      <w:r>
        <w:rPr>
          <w:rFonts w:ascii="Times New Roman" w:hAnsi="Times New Roman"/>
          <w:color w:val="000000"/>
          <w:sz w:val="20"/>
          <w:u w:val="single"/>
        </w:rPr>
        <w:t>Section 9.02</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ind w:left="2880" w:right="0" w:hanging="1440"/>
        <w:jc w:val="left"/>
        <w:rPr>
          <w:rFonts w:ascii="Times New Roman" w:hAnsi="Times New Roman"/>
          <w:color w:val="000000"/>
          <w:sz w:val="20"/>
        </w:rPr>
      </w:pPr>
      <w:r>
        <w:rPr>
          <w:rFonts w:ascii="Times New Roman" w:hAnsi="Times New Roman"/>
          <w:color w:val="000000"/>
          <w:sz w:val="20"/>
        </w:rPr>
        <w:t>If to Seller:</w:t>
      </w:r>
    </w:p>
    <w:p>
      <w:pPr>
        <w:pStyle w:val="TextBody"/>
        <w:bidi w:val="0"/>
        <w:spacing w:before="0" w:after="0"/>
        <w:jc w:val="left"/>
        <w:rPr>
          <w:sz w:val="20"/>
        </w:rPr>
      </w:pPr>
      <w:r>
        <w:rPr>
          <w:sz w:val="20"/>
        </w:rPr>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Standard BioTools Inc.</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50 Milk Street, 10th Floor</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Boston, MA 02109</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Attention: Michael Egholm, Ph.D.</w:t>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0"/>
        </w:rPr>
        <w:t>Email: [***]</w:t>
      </w:r>
    </w:p>
    <w:p>
      <w:pPr>
        <w:pStyle w:val="TextBody"/>
        <w:bidi w:val="0"/>
        <w:spacing w:before="0" w:after="0"/>
        <w:jc w:val="left"/>
        <w:rPr>
          <w:sz w:val="20"/>
        </w:rPr>
      </w:pPr>
      <w:r>
        <w:rPr>
          <w:sz w:val="20"/>
        </w:rPr>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0"/>
        </w:rPr>
        <w:t>with a copy (which shall not constitute notice) to:</w:t>
      </w:r>
    </w:p>
    <w:p>
      <w:pPr>
        <w:pStyle w:val="TextBody"/>
        <w:bidi w:val="0"/>
        <w:spacing w:before="0" w:after="0"/>
        <w:jc w:val="left"/>
        <w:rPr>
          <w:sz w:val="20"/>
        </w:rPr>
      </w:pPr>
      <w:r>
        <w:rPr>
          <w:sz w:val="20"/>
        </w:rPr>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0"/>
        </w:rPr>
        <w:t>Freshfields US LLP</w:t>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0"/>
        </w:rPr>
        <w:t>3 World Trade Center</w:t>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0"/>
        </w:rPr>
        <w:t>175 Greenwich Street</w:t>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0"/>
        </w:rPr>
        <w:t>New York, NY 10007</w:t>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0"/>
        </w:rPr>
        <w:t>Attention: Damien R. Zoubek; Abigail G. Hathaway; Lisa Cammer</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Email: [***]</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97</w:t>
      </w:r>
    </w:p>
    <w:p>
      <w:pPr>
        <w:pStyle w:val="HorizontalLine"/>
        <w:pBdr>
          <w:bottom w:val="single" w:sz="12" w:space="0" w:color="808080"/>
        </w:pBdr>
        <w:bidi w:val="0"/>
        <w:spacing w:before="200" w:after="200"/>
        <w:jc w:val="left"/>
        <w:rPr/>
      </w:pPr>
      <w:r>
        <w:rPr/>
      </w:r>
    </w:p>
    <w:p>
      <w:pPr>
        <w:pStyle w:val="TextBody"/>
        <w:bidi w:val="0"/>
        <w:spacing w:before="0" w:after="0"/>
        <w:ind w:left="2880" w:right="0" w:hanging="1440"/>
        <w:jc w:val="left"/>
        <w:rPr>
          <w:rFonts w:ascii="Times New Roman" w:hAnsi="Times New Roman"/>
          <w:color w:val="000000"/>
          <w:sz w:val="20"/>
        </w:rPr>
      </w:pPr>
      <w:r>
        <w:rPr>
          <w:rFonts w:ascii="Times New Roman" w:hAnsi="Times New Roman"/>
          <w:color w:val="000000"/>
          <w:sz w:val="20"/>
        </w:rPr>
        <w:t>If to Buyer:</w:t>
      </w:r>
    </w:p>
    <w:p>
      <w:pPr>
        <w:pStyle w:val="TextBody"/>
        <w:bidi w:val="0"/>
        <w:spacing w:before="0" w:after="0"/>
        <w:jc w:val="left"/>
        <w:rPr>
          <w:sz w:val="20"/>
        </w:rPr>
      </w:pPr>
      <w:r>
        <w:rPr>
          <w:sz w:val="20"/>
        </w:rPr>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Multiplex Bio Inc.</w:t>
      </w:r>
    </w:p>
    <w:p>
      <w:pPr>
        <w:pStyle w:val="TextBody"/>
        <w:bidi w:val="0"/>
        <w:spacing w:before="0" w:after="0"/>
        <w:jc w:val="left"/>
        <w:rPr>
          <w:sz w:val="20"/>
        </w:rPr>
      </w:pPr>
      <w:r>
        <w:rPr>
          <w:sz w:val="20"/>
        </w:rPr>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Attention: Michael Johnson</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Email: [***]</w:t>
      </w:r>
    </w:p>
    <w:p>
      <w:pPr>
        <w:pStyle w:val="TextBody"/>
        <w:bidi w:val="0"/>
        <w:spacing w:before="0" w:after="0"/>
        <w:jc w:val="left"/>
        <w:rPr>
          <w:sz w:val="20"/>
        </w:rPr>
      </w:pPr>
      <w:r>
        <w:rPr>
          <w:sz w:val="20"/>
        </w:rPr>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with a copy (which shall not constitute notice) to:</w:t>
      </w:r>
    </w:p>
    <w:p>
      <w:pPr>
        <w:pStyle w:val="TextBody"/>
        <w:bidi w:val="0"/>
        <w:spacing w:before="0" w:after="0"/>
        <w:jc w:val="left"/>
        <w:rPr>
          <w:sz w:val="20"/>
        </w:rPr>
      </w:pPr>
      <w:r>
        <w:rPr>
          <w:sz w:val="20"/>
        </w:rPr>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Crowley Law LLC</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Attention: Philip Crowley</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Email: [***]</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9.03       </w:t>
      </w:r>
      <w:r>
        <w:rPr>
          <w:rFonts w:ascii="Times New Roman" w:hAnsi="Times New Roman"/>
          <w:color w:val="000000"/>
          <w:sz w:val="20"/>
          <w:u w:val="single"/>
        </w:rPr>
        <w:t>Amendment</w:t>
      </w:r>
      <w:r>
        <w:rPr>
          <w:rFonts w:ascii="Times New Roman" w:hAnsi="Times New Roman"/>
          <w:color w:val="000000"/>
          <w:sz w:val="20"/>
        </w:rPr>
        <w:t>. This Agreement may not be amended or modified except by an instrument in writing signed by each of the Parties.</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9.04        </w:t>
      </w:r>
      <w:r>
        <w:rPr>
          <w:rFonts w:ascii="Times New Roman" w:hAnsi="Times New Roman"/>
          <w:color w:val="000000"/>
          <w:sz w:val="20"/>
          <w:u w:val="single"/>
        </w:rPr>
        <w:t>Waiver</w:t>
      </w:r>
      <w:r>
        <w:rPr>
          <w:rFonts w:ascii="Times New Roman" w:hAnsi="Times New Roman"/>
          <w:color w:val="000000"/>
          <w:sz w:val="20"/>
        </w:rPr>
        <w:t>. Either Party may (a) extend the time for the performance of any of the obligations or other acts of the other Party, (b) waive any inaccuracies in the representations and warranties contained herein or in any document delivered pursuant to this Agreement or (c) waive compliance with any of the agreements or conditions contained herein. Any such extension or waiver shall be valid only if set forth in an instrument in writing signed by the Party to be bound thereby. Except as otherwise provided in this Agreement, any failure to assert, or delay in the assertion of, rights under this Agreement shall not constitute a waiver of those rights.</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9.05        </w:t>
      </w:r>
      <w:r>
        <w:rPr>
          <w:rFonts w:ascii="Times New Roman" w:hAnsi="Times New Roman"/>
          <w:color w:val="000000"/>
          <w:sz w:val="20"/>
          <w:u w:val="single"/>
        </w:rPr>
        <w:t>No Conflict</w:t>
      </w:r>
      <w:r>
        <w:rPr>
          <w:rFonts w:ascii="Times New Roman" w:hAnsi="Times New Roman"/>
          <w:color w:val="000000"/>
          <w:sz w:val="20"/>
        </w:rPr>
        <w:t>. In the event of any conflict or inconsistency between the terms and conditions of this Agreement and the terms and conditions of any Ancillary Agreement, the terms and conditions of this Agreement shall prevail.</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9.06      </w:t>
      </w:r>
      <w:r>
        <w:rPr>
          <w:rFonts w:ascii="Times New Roman" w:hAnsi="Times New Roman"/>
          <w:color w:val="000000"/>
          <w:sz w:val="20"/>
          <w:u w:val="single"/>
        </w:rPr>
        <w:t>Severability</w:t>
      </w:r>
      <w:r>
        <w:rPr>
          <w:rFonts w:ascii="Times New Roman" w:hAnsi="Times New Roman"/>
          <w:color w:val="000000"/>
          <w:sz w:val="20"/>
        </w:rPr>
        <w:t>. If any term or other provision of this Agreement is invalid, illegal or incapable of being enforced by any applicable Law or public policy, all other conditions and provisions of this Agreement shall nevertheless remain in full force and effect so long as the economic or legal substance of the transactions contemplated hereby is not fundamentally changed. Upon such determination that any term or other provision is invalid, illegal or incapable of being enforced, the Parties shall negotiate in good faith to modify this Agreement so as to effect the original intent of the Parties as closely as possible in a mutually acceptable manner in order that the transactions contemplated hereby be consummated as originally contemplated to the greatest extent possible.</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9.07      </w:t>
      </w:r>
      <w:r>
        <w:rPr>
          <w:rFonts w:ascii="Times New Roman" w:hAnsi="Times New Roman"/>
          <w:color w:val="000000"/>
          <w:sz w:val="20"/>
          <w:u w:val="single"/>
        </w:rPr>
        <w:t>Entire Agreement</w:t>
      </w:r>
      <w:r>
        <w:rPr>
          <w:rFonts w:ascii="Times New Roman" w:hAnsi="Times New Roman"/>
          <w:color w:val="000000"/>
          <w:sz w:val="20"/>
        </w:rPr>
        <w:t>. This Agreement (including the Disclosure Schedule), together with the Ancillary Agreements and the Confidentiality Agreement, constitutes the entire agreement of the Parties with respect to the subject matter hereof and supersedes all prior agreements and undertakings, both written and oral, between Seller and Buyer with respect to the subject matter hereof.</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9.08       </w:t>
      </w:r>
      <w:r>
        <w:rPr>
          <w:rFonts w:ascii="Times New Roman" w:hAnsi="Times New Roman"/>
          <w:color w:val="000000"/>
          <w:sz w:val="20"/>
          <w:u w:val="single"/>
        </w:rPr>
        <w:t>Assignment</w:t>
      </w:r>
      <w:r>
        <w:rPr>
          <w:rFonts w:ascii="Times New Roman" w:hAnsi="Times New Roman"/>
          <w:color w:val="000000"/>
          <w:sz w:val="20"/>
        </w:rPr>
        <w:t xml:space="preserve">. Neither Party may assign any of its rights or obligations hereunder, without the prior written consent of the other Party;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Buyer may assign any or all of its rights and interests hereunder to one or more of its Affiliates, if Buyer nonetheless remains fully responsible for the performance of its obligations hereunder and so long as any (or any additional) withholding Taxes becoming applicable on payments to Seller solely as a result of such assignment are borne by Buyer. Any assignment in violation of this </w:t>
      </w:r>
      <w:r>
        <w:rPr>
          <w:rFonts w:ascii="Times New Roman" w:hAnsi="Times New Roman"/>
          <w:color w:val="000000"/>
          <w:sz w:val="20"/>
          <w:u w:val="single"/>
        </w:rPr>
        <w:t>Section 9.08</w:t>
      </w:r>
      <w:r>
        <w:rPr>
          <w:rFonts w:ascii="Times New Roman" w:hAnsi="Times New Roman"/>
          <w:color w:val="000000"/>
          <w:sz w:val="20"/>
        </w:rPr>
        <w:t xml:space="preserve"> shall be null and void.</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9.09      </w:t>
      </w:r>
      <w:r>
        <w:rPr>
          <w:rFonts w:ascii="Times New Roman" w:hAnsi="Times New Roman"/>
          <w:color w:val="000000"/>
          <w:sz w:val="20"/>
          <w:u w:val="single"/>
        </w:rPr>
        <w:t>Parties in Interest</w:t>
      </w:r>
      <w:r>
        <w:rPr>
          <w:rFonts w:ascii="Times New Roman" w:hAnsi="Times New Roman"/>
          <w:color w:val="000000"/>
          <w:sz w:val="20"/>
        </w:rPr>
        <w:t xml:space="preserve">. This Agreement is for the sole benefit of the Parties and their permitted assigns, and nothing herein, express or implied, is intended to or shall confer upon any other Person or entity any legal or equitable right, benefit or remedy of any nature whatsoever under or by reason of this Agreement, except that the provisions of </w:t>
      </w:r>
      <w:r>
        <w:rPr>
          <w:rFonts w:ascii="Times New Roman" w:hAnsi="Times New Roman"/>
          <w:color w:val="000000"/>
          <w:sz w:val="20"/>
          <w:u w:val="single"/>
        </w:rPr>
        <w:t>Section 5.05</w:t>
      </w:r>
      <w:r>
        <w:rPr>
          <w:rFonts w:ascii="Times New Roman" w:hAnsi="Times New Roman"/>
          <w:color w:val="000000"/>
          <w:sz w:val="20"/>
        </w:rPr>
        <w:t xml:space="preserve"> and </w:t>
      </w:r>
      <w:r>
        <w:rPr>
          <w:rFonts w:ascii="Times New Roman" w:hAnsi="Times New Roman"/>
          <w:color w:val="000000"/>
          <w:sz w:val="20"/>
          <w:u w:val="single"/>
        </w:rPr>
        <w:t>Article VIII</w:t>
      </w:r>
      <w:r>
        <w:rPr>
          <w:rFonts w:ascii="Times New Roman" w:hAnsi="Times New Roman"/>
          <w:color w:val="000000"/>
          <w:sz w:val="20"/>
        </w:rPr>
        <w:t xml:space="preserve"> shall be for the benefit of the Persons named therein.</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9.10      </w:t>
      </w:r>
      <w:r>
        <w:rPr>
          <w:rFonts w:ascii="Times New Roman" w:hAnsi="Times New Roman"/>
          <w:color w:val="000000"/>
          <w:sz w:val="20"/>
          <w:u w:val="single"/>
        </w:rPr>
        <w:t>Headings</w:t>
      </w:r>
      <w:r>
        <w:rPr>
          <w:rFonts w:ascii="Times New Roman" w:hAnsi="Times New Roman"/>
          <w:color w:val="000000"/>
          <w:sz w:val="20"/>
        </w:rPr>
        <w:t>. The headings contained in this Agreement are for reference purposes only and shall not affect in any way the meaning or interpretation of this Agreement.</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9.11        </w:t>
      </w:r>
      <w:r>
        <w:rPr>
          <w:rFonts w:ascii="Times New Roman" w:hAnsi="Times New Roman"/>
          <w:color w:val="000000"/>
          <w:sz w:val="20"/>
          <w:u w:val="single"/>
        </w:rPr>
        <w:t>Disclosure Schedule</w:t>
      </w:r>
      <w:r>
        <w:rPr>
          <w:rFonts w:ascii="Times New Roman" w:hAnsi="Times New Roman"/>
          <w:color w:val="000000"/>
          <w:sz w:val="20"/>
        </w:rPr>
        <w:t>. For purposes of the representations and warranties of Seller contained herein, disclosure in one section of the Disclosure Schedule of any facts or circumstances shall be deemed to be disclosure of such facts or circumstances with respect to any other representations or warranties by Seller calling for disclosure of such information, whether or not such disclosure is specifically associated with or purports to respond to one or more of such other representations or warranties, only if it is reasonably apparent on the face of the Disclosure Schedule (without reference to the contents of any document referred to therein or any independent knowledge on the part of the reader regarding the matter disclosed) that such disclosure is applicable to such other representation or warranty. The inclusion of any information in any section of the Disclosure Schedule or other document delivered by Seller pursuant to this Agreement shall not be deemed to be an admission or evidence of the materiality of such item, nor shall it establish a standard of materiality for any purpose whatsoever.</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9.12        </w:t>
      </w:r>
      <w:r>
        <w:rPr>
          <w:rFonts w:ascii="Times New Roman" w:hAnsi="Times New Roman"/>
          <w:color w:val="000000"/>
          <w:sz w:val="20"/>
          <w:u w:val="single"/>
        </w:rPr>
        <w:t>Governing Law; Submission to Jurisdiction; Waiver of Jury Trial</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This Agreement and all matters arising out of or relating to this Agreement or any of the transactions contemplated hereby, including all rights of the Parties (whether sounding in Contract, tort, common or statutory law, equity or otherwise), will be interpreted, construed and governed by and in accordance with the internal Laws of the State of Delaware without giving effect to any choice or conflict of law provision or rule (whether of the State of Delaware or any other jurisdiction) that would cause the application of the Law of any jurisdiction other than those of the State of Delaware.</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Each of the Parties (i) consents to submit itself to the exclusive jurisdiction of the Court of Chancery of the State of Delaware in any Action arising out of or relating to this Agreement or any of the transactions contemplated hereby (or, if that court does not have subject matter jurisdiction over such Action, the Superior Court of the State of Delaware (Complex Commercial Division)) or if the subject matter jurisdiction over such Action is vested exclusively in the federal courts of the United States, the United States District Court for the District of Delaware located in Wilmington, Delaware, (ii) agrees that all claims in respect of any such legal proceeding may be heard and determined in any such court, (iii) agrees that it will not attempt to deny or defeat such jurisdiction by motion or other request for leave from any such court, (iv) agrees not to bring any Action arising out of or relating to this Agreement or any of the transactions contemplated hereby (whether in Contract, tort, common or statutory law, equity or otherwise) in any other court and (v) agrees that a final, non-appealable judgment in any such Action will be conclusive and may be enforced in other jurisdictions by suit on the judgment or in any other manner provided by applicable Law. Each of the Parties waives any defense of inconvenient forum to the maintenance of any Action brought in accordance with this </w:t>
      </w:r>
      <w:r>
        <w:rPr>
          <w:rFonts w:ascii="Times New Roman" w:hAnsi="Times New Roman"/>
          <w:color w:val="000000"/>
          <w:sz w:val="20"/>
          <w:u w:val="single"/>
        </w:rPr>
        <w:t>Section 9.12</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(c)        EACH PARTY WAIVES, TO THE FULLEST EXTENT PERMITTED BY APPLICABLE LAW, ANY RIGHT IT MAY HAVE TO A TRIAL BY JURY IN RESPECT OF ANY ACTION ARISING OUT OF OR RELATING TO THIS AGREEMENT OR ANY OF THE TRANSACTIONS CONTEMPLATED HEREBY. EACH PARTY (i) CERTIFIES THAT NO REPRESENTATIVE OF THE OTHER PARTY HAS REPRESENTED, EXPRESSLY OR OTHERWISE, THAT SUCH OTHER PARTY WOULD NOT, IN THE EVENT OF AN ACTION, SEEK TO ENFORCE THE FOREGOING WAIVER, (ii) ACKNOWLEDGES THAT IT AND THE OTHER PARTY HAVE BEEN INDUCED TO ENTER INTO THIS AGREEMENT BY, AMONG OTHER THINGS, THE MUTUAL WAIVERS AND CERTIFICATIONS IN THIS </w:t>
      </w:r>
      <w:r>
        <w:rPr>
          <w:rFonts w:ascii="Times New Roman" w:hAnsi="Times New Roman"/>
          <w:color w:val="000000"/>
          <w:sz w:val="20"/>
          <w:u w:val="single"/>
        </w:rPr>
        <w:t>SECTION 9.12(c)</w:t>
      </w:r>
      <w:r>
        <w:rPr>
          <w:rFonts w:ascii="Times New Roman" w:hAnsi="Times New Roman"/>
          <w:color w:val="000000"/>
          <w:sz w:val="20"/>
        </w:rPr>
        <w:t>, (iii) UNDERSTANDS AND HAS CONSIDERED THE IMPLICATIONS OF THIS WAIVER AND (iv) MAKES THIS WAIVER VOLUNTARILY.</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9.13     </w:t>
      </w:r>
      <w:r>
        <w:rPr>
          <w:rFonts w:ascii="Times New Roman" w:hAnsi="Times New Roman"/>
          <w:color w:val="000000"/>
          <w:sz w:val="20"/>
          <w:u w:val="single"/>
        </w:rPr>
        <w:t>Counterparts</w:t>
      </w:r>
      <w:r>
        <w:rPr>
          <w:rFonts w:ascii="Times New Roman" w:hAnsi="Times New Roman"/>
          <w:color w:val="000000"/>
          <w:sz w:val="20"/>
        </w:rPr>
        <w:t>. This Agreement may be executed in one or more counterparts, and by the different Parties in separate counterparts, each of which when executed shall be deemed to be an original but all of which taken together shall constitute one and the same agreement. Delivery of an executed counterpart of a signature page to this Agreement by email or other electronic means (including in portable document format) shall be as effective as delivery of a manually executed counterpart of this Agreement.</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9.14        </w:t>
      </w:r>
      <w:r>
        <w:rPr>
          <w:rFonts w:ascii="Times New Roman" w:hAnsi="Times New Roman"/>
          <w:color w:val="000000"/>
          <w:sz w:val="20"/>
          <w:u w:val="single"/>
        </w:rPr>
        <w:t>Specific Performance</w:t>
      </w:r>
      <w:r>
        <w:rPr>
          <w:rFonts w:ascii="Times New Roman" w:hAnsi="Times New Roman"/>
          <w:color w:val="000000"/>
          <w:sz w:val="20"/>
        </w:rPr>
        <w:t xml:space="preserve">. The Parties agree that irreparable damage would occur in the event that any of the provisions of this Agreement were not performed in accordance with their specific terms or were otherwise breached and that any breach of this Agreement could not be adequately compensated in all cases by monetary damages alone. The Parties acknowledge and agree that the Parties shall be entitled, without posting a bond or similar indemnity, to an injunction, specific performance and other equitable relief to prevent breaches of this Agreement and to enforce specifically the terms and provisions hereof in any court as specified in </w:t>
      </w:r>
      <w:r>
        <w:rPr>
          <w:rFonts w:ascii="Times New Roman" w:hAnsi="Times New Roman"/>
          <w:color w:val="000000"/>
          <w:sz w:val="20"/>
          <w:u w:val="single"/>
        </w:rPr>
        <w:t>Section 9.12</w:t>
      </w:r>
      <w:r>
        <w:rPr>
          <w:rFonts w:ascii="Times New Roman" w:hAnsi="Times New Roman"/>
          <w:color w:val="000000"/>
          <w:sz w:val="20"/>
        </w:rPr>
        <w:t xml:space="preserve">. The remedies available to the Parties pursuant to this </w:t>
      </w:r>
      <w:r>
        <w:rPr>
          <w:rFonts w:ascii="Times New Roman" w:hAnsi="Times New Roman"/>
          <w:color w:val="000000"/>
          <w:sz w:val="20"/>
          <w:u w:val="single"/>
        </w:rPr>
        <w:t>Section 9.14</w:t>
      </w:r>
      <w:r>
        <w:rPr>
          <w:rFonts w:ascii="Times New Roman" w:hAnsi="Times New Roman"/>
          <w:color w:val="000000"/>
          <w:sz w:val="20"/>
        </w:rPr>
        <w:t xml:space="preserve"> shall be in addition to any other remedy to which they are entitled at law or in equity, and the election to pursue an injunction or specific performance shall not restrict, impair or otherwise limit any Party from seeking any other remedy at law or in equity.</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9.15        </w:t>
      </w:r>
      <w:r>
        <w:rPr>
          <w:rFonts w:ascii="Times New Roman" w:hAnsi="Times New Roman"/>
          <w:color w:val="000000"/>
          <w:sz w:val="20"/>
          <w:u w:val="single"/>
        </w:rPr>
        <w:t>Retention of Counsel</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If and to the extent that any of Buyer and its Affiliates obtain or claim to have obtained the right to assert that any legal counsel, including Freshfields US LLP and Richards, Layton &amp; Finger, P.A. (“</w:t>
      </w:r>
      <w:r>
        <w:rPr>
          <w:rFonts w:ascii="Times New Roman" w:hAnsi="Times New Roman"/>
          <w:color w:val="000000"/>
          <w:sz w:val="20"/>
          <w:u w:val="single"/>
        </w:rPr>
        <w:t>Seller Counsel</w:t>
      </w:r>
      <w:r>
        <w:rPr>
          <w:rFonts w:ascii="Times New Roman" w:hAnsi="Times New Roman"/>
          <w:color w:val="000000"/>
          <w:sz w:val="20"/>
        </w:rPr>
        <w:t>”), has a conflict of interest as a result of any work performed, representation or relationship by such counsel for, of or with any Seller Related Person (as defined below) prior to the Closing to the extent in connection with this Agreement, the Ancillary Agreements, other agreements or documents contemplated hereby or thereby, or any transactions contemplated hereby or thereby (such work, representation or relationship, a “</w:t>
      </w:r>
      <w:r>
        <w:rPr>
          <w:rFonts w:ascii="Times New Roman" w:hAnsi="Times New Roman"/>
          <w:color w:val="000000"/>
          <w:sz w:val="20"/>
          <w:u w:val="single"/>
        </w:rPr>
        <w:t>Pre-Closing Representation</w:t>
      </w:r>
      <w:r>
        <w:rPr>
          <w:rFonts w:ascii="Times New Roman" w:hAnsi="Times New Roman"/>
          <w:color w:val="000000"/>
          <w:sz w:val="20"/>
        </w:rPr>
        <w:t xml:space="preserve">”), Buyer waives and shall not assert, and shall cause its Affiliates to waive and not to assert, to the fullest extent permitted by Law, any such conflict of interest in any matter arising in connection with this Agreement, the Ancillary Agreements, other agreements or documents contemplated hereby or thereby, or any transactions contemplated hereby or thereby. As used in this </w:t>
      </w:r>
      <w:r>
        <w:rPr>
          <w:rFonts w:ascii="Times New Roman" w:hAnsi="Times New Roman"/>
          <w:color w:val="000000"/>
          <w:sz w:val="20"/>
          <w:u w:val="single"/>
        </w:rPr>
        <w:t>Section 9.15</w:t>
      </w:r>
      <w:r>
        <w:rPr>
          <w:rFonts w:ascii="Times New Roman" w:hAnsi="Times New Roman"/>
          <w:color w:val="000000"/>
          <w:sz w:val="20"/>
        </w:rPr>
        <w:t>, “</w:t>
      </w:r>
      <w:r>
        <w:rPr>
          <w:rFonts w:ascii="Times New Roman" w:hAnsi="Times New Roman"/>
          <w:color w:val="000000"/>
          <w:sz w:val="20"/>
          <w:u w:val="single"/>
        </w:rPr>
        <w:t>Seller Related Person</w:t>
      </w:r>
      <w:r>
        <w:rPr>
          <w:rFonts w:ascii="Times New Roman" w:hAnsi="Times New Roman"/>
          <w:color w:val="000000"/>
          <w:sz w:val="20"/>
        </w:rPr>
        <w:t>” means each of Seller, its Affiliates and their respective stockholders, officers, employees, agents, representatives and directors.</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Buyer waives and shall not assert, and agrees to cause its Affiliates, to waive and not to assert, any attorney-client privilege, work product protection or any other applicable legal privilege or protection with respect to any document or record created by or for any legal counsel to a Seller Related Person, or communication between any legal counsel and any Seller Related Person, in each case created or occurring in connection with (i) any Pre-Closing Representation (including in connection with a dispute with Buyer or its Affiliates in connection with this Agreement) or (ii) any third party claim where Seller is leading the defense of such third party claim and has agreed to indemnify Buyer and its Affiliates (“</w:t>
      </w:r>
      <w:r>
        <w:rPr>
          <w:rFonts w:ascii="Times New Roman" w:hAnsi="Times New Roman"/>
          <w:color w:val="000000"/>
          <w:sz w:val="20"/>
          <w:u w:val="single"/>
        </w:rPr>
        <w:t>Indemnified Third-Party Claim Materials</w:t>
      </w:r>
      <w:r>
        <w:rPr>
          <w:rFonts w:ascii="Times New Roman" w:hAnsi="Times New Roman"/>
          <w:color w:val="000000"/>
          <w:sz w:val="20"/>
        </w:rPr>
        <w:t>”); it being the intention of the Parties that all such rights to such attorney-client privilege, work product protection or other applicable legal privilege or protection and rights to control such attorney-client privilege, work product protection or other applicable legal privilege or protection shall be retained by Seller or such other Seller Related Person, as the case may be (or legal counsel to Seller or such other Seller Related Person in the event the protection or privilege belongs to the legal counsel), and that Seller or such other Seller Related Person, as applicable, and not any of Buyer, or its Affiliates, shall have the sole right to decide whether or not to waive any such attorney-client privilege, work product protection or other applicable legal privilege or protection.</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From and after the Closing, none of Buyer or its Affiliates shall have access to any document or record created by or for any legal counsel to a Seller Related Person, or communication between any legal counsel and any Seller Related Person, in each case created or occurring in connection with any Pre-Closing Representation (including in connection with a dispute with Buyer or its Affiliates (including in connection with any claim by any of Buyer or any of its Affiliates in connection with this Agreement)) or any Indemnified Third-Party Claim Materials, all of which shall be Excluded Assets and shall be and remain the property of Seller or such other Seller Related Person, as the case may be (or legal counsel to Seller or such other Seller Related Person in the event the protection or privilege belongs to the legal counsel), and not of Buyer or its Affiliates, and Buyer shall not, and shall cause its Affiliates and each Person acting or purporting to act on their behalf not to, seek to obtain the same by any process on the grounds that the privilege or protection attaching to such documents, records or communications belongs to any of Buyer or its Affiliates, does not belong to Seller or any Seller Related Person, or has been waived or otherwise lost by Seller or any Seller Related Person (or legal counsel to Seller or such Seller Related Person in the event the protection or privilege belongs to the legal counsel).</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9.16        </w:t>
      </w:r>
      <w:r>
        <w:rPr>
          <w:rFonts w:ascii="Times New Roman" w:hAnsi="Times New Roman"/>
          <w:color w:val="000000"/>
          <w:sz w:val="20"/>
          <w:u w:val="single"/>
        </w:rPr>
        <w:t>No Presumption</w:t>
      </w:r>
      <w:r>
        <w:rPr>
          <w:rFonts w:ascii="Times New Roman" w:hAnsi="Times New Roman"/>
          <w:color w:val="000000"/>
          <w:sz w:val="20"/>
        </w:rPr>
        <w:t>. The Parties agree that this Agreement was negotiated fairly between them at arms’ length and that the final terms of this Agreement are the product of the Parties’ negotiations. Each Party represents and warrants that it has sought and received legal counsel of its own choosing with regard to the contents of this Agreement and the rights and obligations affected hereby. The Parties agree that this Agreement shall be deemed to have been jointly and equally drafted by them, and that the provisions of this Agreement therefore should not be construed against a Party or Parties on the grounds that the Party or Parties drafted or was more responsible for drafting the provisions.</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Remainder of page intentionally left blank</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b/>
          <w:color w:val="000000"/>
          <w:sz w:val="20"/>
        </w:rPr>
        <w:t>IN WITNESS WHEREOF</w:t>
      </w:r>
      <w:r>
        <w:rPr>
          <w:rFonts w:ascii="Times New Roman" w:hAnsi="Times New Roman"/>
          <w:color w:val="000000"/>
          <w:sz w:val="20"/>
        </w:rPr>
        <w:t>, the Parties have caused this Agreement to be signed by their respective officers thereunto duly authorized all as of the date first written above.</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0" w:name="zc680c21e30d3437b89831dffa7053340"/>
      <w:bookmarkStart w:id="11" w:name="zc680c21e30d3437b89831dffa7053340"/>
      <w:bookmarkEnd w:id="11"/>
    </w:p>
    <w:tbl>
      <w:tblPr>
        <w:tblW w:w="2523" w:type="dxa"/>
        <w:jc w:val="left"/>
        <w:tblInd w:w="0" w:type="dxa"/>
        <w:tblLayout w:type="fixed"/>
        <w:tblCellMar>
          <w:top w:w="0" w:type="dxa"/>
          <w:left w:w="0" w:type="dxa"/>
          <w:bottom w:w="0" w:type="dxa"/>
          <w:right w:w="0" w:type="dxa"/>
        </w:tblCellMar>
      </w:tblPr>
      <w:tblGrid>
        <w:gridCol w:w="60"/>
        <w:gridCol w:w="393"/>
        <w:gridCol w:w="1997"/>
        <w:gridCol w:w="73"/>
      </w:tblGrid>
      <w:tr>
        <w:trPr/>
        <w:tc>
          <w:tcPr>
            <w:tcW w:w="60" w:type="dxa"/>
            <w:tcBorders/>
            <w:vAlign w:val="center"/>
          </w:tcPr>
          <w:p>
            <w:pPr>
              <w:pStyle w:val="TableContents"/>
              <w:bidi w:val="0"/>
              <w:spacing w:before="0" w:after="283"/>
              <w:jc w:val="left"/>
              <w:rPr/>
            </w:pPr>
            <w:r>
              <w:rPr/>
              <w:t> </w:t>
            </w:r>
          </w:p>
        </w:tc>
        <w:tc>
          <w:tcPr>
            <w:tcW w:w="2463" w:type="dxa"/>
            <w:gridSpan w:val="3"/>
            <w:tcBorders/>
            <w:vAlign w:val="center"/>
          </w:tcPr>
          <w:p>
            <w:pPr>
              <w:pStyle w:val="TableContents"/>
              <w:bidi w:val="0"/>
              <w:spacing w:before="0" w:after="0"/>
              <w:jc w:val="left"/>
              <w:rPr>
                <w:b/>
                <w:sz w:val="20"/>
              </w:rPr>
            </w:pPr>
            <w:r>
              <w:rPr>
                <w:b/>
                <w:sz w:val="20"/>
              </w:rPr>
              <w:t>SELLER:</w:t>
            </w:r>
          </w:p>
        </w:tc>
      </w:tr>
      <w:tr>
        <w:trPr/>
        <w:tc>
          <w:tcPr>
            <w:tcW w:w="60"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pPr>
            <w:r>
              <w:rPr/>
              <w:t> </w:t>
            </w:r>
          </w:p>
        </w:tc>
        <w:tc>
          <w:tcPr>
            <w:tcW w:w="1997"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463" w:type="dxa"/>
            <w:gridSpan w:val="3"/>
            <w:tcBorders/>
            <w:vAlign w:val="center"/>
          </w:tcPr>
          <w:p>
            <w:pPr>
              <w:pStyle w:val="TableContents"/>
              <w:bidi w:val="0"/>
              <w:spacing w:before="0" w:after="0"/>
              <w:jc w:val="left"/>
              <w:rPr>
                <w:sz w:val="20"/>
              </w:rPr>
            </w:pPr>
            <w:r>
              <w:rPr>
                <w:sz w:val="20"/>
              </w:rPr>
              <w:t>STANDARD BIOTOOLS INC.</w:t>
            </w:r>
          </w:p>
        </w:tc>
      </w:tr>
      <w:tr>
        <w:trPr/>
        <w:tc>
          <w:tcPr>
            <w:tcW w:w="60"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pPr>
            <w:r>
              <w:rPr/>
              <w:t> </w:t>
            </w:r>
          </w:p>
        </w:tc>
        <w:tc>
          <w:tcPr>
            <w:tcW w:w="1997"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0"/>
              <w:jc w:val="left"/>
              <w:rPr>
                <w:sz w:val="20"/>
              </w:rPr>
            </w:pPr>
            <w:r>
              <w:rPr>
                <w:sz w:val="20"/>
              </w:rPr>
              <w:t>By:</w:t>
            </w:r>
          </w:p>
        </w:tc>
        <w:tc>
          <w:tcPr>
            <w:tcW w:w="1997" w:type="dxa"/>
            <w:tcBorders>
              <w:bottom w:val="single" w:sz="12" w:space="0" w:color="000000"/>
            </w:tcBorders>
            <w:tcMar>
              <w:bottom w:w="28" w:type="dxa"/>
            </w:tcMar>
            <w:vAlign w:val="center"/>
          </w:tcPr>
          <w:p>
            <w:pPr>
              <w:pStyle w:val="TableContents"/>
              <w:bidi w:val="0"/>
              <w:spacing w:before="0" w:after="0"/>
              <w:jc w:val="left"/>
              <w:rPr>
                <w:sz w:val="20"/>
              </w:rPr>
            </w:pPr>
            <w:r>
              <w:rPr>
                <w:sz w:val="20"/>
              </w:rPr>
              <w:t>/s/ Michael Egholm</w:t>
            </w:r>
          </w:p>
        </w:tc>
        <w:tc>
          <w:tcPr>
            <w:tcW w:w="73" w:type="dxa"/>
            <w:tcBorders/>
            <w:vAlign w:val="center"/>
          </w:tcPr>
          <w:p>
            <w:pPr>
              <w:pStyle w:val="TableContents"/>
              <w:bidi w:val="0"/>
              <w:spacing w:before="0" w:after="283"/>
              <w:jc w:val="left"/>
              <w:rPr/>
            </w:pPr>
            <w:r>
              <w:rPr/>
              <w:t> </w:t>
            </w:r>
          </w:p>
        </w:tc>
      </w:tr>
    </w:tbl>
    <w:p>
      <w:pPr>
        <w:pStyle w:val="Normal"/>
        <w:bidi w:val="0"/>
        <w:spacing w:before="0" w:after="0"/>
        <w:jc w:val="left"/>
        <w:rPr>
          <w:sz w:val="4"/>
          <w:szCs w:val="4"/>
        </w:rPr>
      </w:pPr>
      <w:r>
        <w:rPr>
          <w:sz w:val="4"/>
          <w:szCs w:val="4"/>
        </w:rPr>
      </w:r>
      <w:bookmarkStart w:id="12" w:name="z5dc9156998cf477080fdb16550ad9656"/>
      <w:bookmarkStart w:id="13" w:name="z5dc9156998cf477080fdb16550ad9656"/>
      <w:bookmarkEnd w:id="13"/>
    </w:p>
    <w:tbl>
      <w:tblPr>
        <w:tblW w:w="3745" w:type="dxa"/>
        <w:jc w:val="left"/>
        <w:tblInd w:w="0" w:type="dxa"/>
        <w:tblLayout w:type="fixed"/>
        <w:tblCellMar>
          <w:top w:w="0" w:type="dxa"/>
          <w:left w:w="0" w:type="dxa"/>
          <w:bottom w:w="0" w:type="dxa"/>
          <w:right w:w="0" w:type="dxa"/>
        </w:tblCellMar>
      </w:tblPr>
      <w:tblGrid>
        <w:gridCol w:w="60"/>
        <w:gridCol w:w="60"/>
        <w:gridCol w:w="545"/>
        <w:gridCol w:w="3080"/>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jc w:val="left"/>
              <w:rPr>
                <w:sz w:val="20"/>
              </w:rPr>
            </w:pPr>
            <w:r>
              <w:rPr>
                <w:sz w:val="20"/>
              </w:rPr>
              <w:t>Name:</w:t>
            </w:r>
          </w:p>
        </w:tc>
        <w:tc>
          <w:tcPr>
            <w:tcW w:w="3080" w:type="dxa"/>
            <w:tcBorders/>
            <w:vAlign w:val="center"/>
          </w:tcPr>
          <w:p>
            <w:pPr>
              <w:pStyle w:val="TableContents"/>
              <w:bidi w:val="0"/>
              <w:spacing w:before="0" w:after="0"/>
              <w:jc w:val="left"/>
              <w:rPr>
                <w:sz w:val="20"/>
              </w:rPr>
            </w:pPr>
            <w:r>
              <w:rPr>
                <w:sz w:val="20"/>
              </w:rPr>
              <w:t>Michael Egholm</w:t>
            </w:r>
          </w:p>
        </w:tc>
      </w:tr>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jc w:val="left"/>
              <w:rPr>
                <w:sz w:val="20"/>
              </w:rPr>
            </w:pPr>
            <w:r>
              <w:rPr>
                <w:sz w:val="20"/>
              </w:rPr>
              <w:t>Title:</w:t>
            </w:r>
          </w:p>
        </w:tc>
        <w:tc>
          <w:tcPr>
            <w:tcW w:w="3080" w:type="dxa"/>
            <w:tcBorders/>
            <w:vAlign w:val="center"/>
          </w:tcPr>
          <w:p>
            <w:pPr>
              <w:pStyle w:val="TableContents"/>
              <w:bidi w:val="0"/>
              <w:spacing w:before="0" w:after="0"/>
              <w:jc w:val="left"/>
              <w:rPr>
                <w:sz w:val="20"/>
              </w:rPr>
            </w:pPr>
            <w:r>
              <w:rPr>
                <w:sz w:val="20"/>
              </w:rPr>
              <w:t>President and Chief Executive Officer</w:t>
            </w:r>
          </w:p>
        </w:tc>
      </w:tr>
    </w:tbl>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Signature Page to Share and Asset Purchase Agreement</w:t>
      </w:r>
      <w:r>
        <w:rPr>
          <w:rFonts w:ascii="Times New Roman" w:hAnsi="Times New Roman"/>
          <w:color w:val="000000"/>
          <w:sz w:val="20"/>
        </w:rPr>
        <w:t>]</w:t>
      </w:r>
    </w:p>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b/>
          <w:color w:val="000000"/>
          <w:sz w:val="20"/>
        </w:rPr>
        <w:t>IN WITNESS WHEREOF</w:t>
      </w:r>
      <w:r>
        <w:rPr>
          <w:rFonts w:ascii="Times New Roman" w:hAnsi="Times New Roman"/>
          <w:color w:val="000000"/>
          <w:sz w:val="20"/>
        </w:rPr>
        <w:t>, the Parties have caused this Agreement to be signed by their respective officers thereunto duly authorized all as of the date first written above.</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4" w:name="z3e28d3ff9a98464d8382b6a291d43b86"/>
      <w:bookmarkStart w:id="15" w:name="z3e28d3ff9a98464d8382b6a291d43b86"/>
      <w:bookmarkEnd w:id="15"/>
    </w:p>
    <w:tbl>
      <w:tblPr>
        <w:tblW w:w="2364" w:type="dxa"/>
        <w:jc w:val="left"/>
        <w:tblInd w:w="0" w:type="dxa"/>
        <w:tblLayout w:type="fixed"/>
        <w:tblCellMar>
          <w:top w:w="0" w:type="dxa"/>
          <w:left w:w="0" w:type="dxa"/>
          <w:bottom w:w="0" w:type="dxa"/>
          <w:right w:w="0" w:type="dxa"/>
        </w:tblCellMar>
      </w:tblPr>
      <w:tblGrid>
        <w:gridCol w:w="60"/>
        <w:gridCol w:w="320"/>
        <w:gridCol w:w="1915"/>
        <w:gridCol w:w="69"/>
      </w:tblGrid>
      <w:tr>
        <w:trPr/>
        <w:tc>
          <w:tcPr>
            <w:tcW w:w="60" w:type="dxa"/>
            <w:tcBorders/>
            <w:vAlign w:val="center"/>
          </w:tcPr>
          <w:p>
            <w:pPr>
              <w:pStyle w:val="TableContents"/>
              <w:bidi w:val="0"/>
              <w:spacing w:before="0" w:after="283"/>
              <w:jc w:val="left"/>
              <w:rPr/>
            </w:pPr>
            <w:r>
              <w:rPr/>
              <w:t> </w:t>
            </w:r>
          </w:p>
        </w:tc>
        <w:tc>
          <w:tcPr>
            <w:tcW w:w="2304" w:type="dxa"/>
            <w:gridSpan w:val="3"/>
            <w:tcBorders/>
            <w:vAlign w:val="center"/>
          </w:tcPr>
          <w:p>
            <w:pPr>
              <w:pStyle w:val="TableContents"/>
              <w:bidi w:val="0"/>
              <w:spacing w:before="0" w:after="0"/>
              <w:jc w:val="left"/>
              <w:rPr>
                <w:b/>
                <w:sz w:val="20"/>
              </w:rPr>
            </w:pPr>
            <w:r>
              <w:rPr>
                <w:b/>
                <w:sz w:val="20"/>
              </w:rPr>
              <w:t>BUYER:</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84"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304" w:type="dxa"/>
            <w:gridSpan w:val="3"/>
            <w:tcBorders/>
            <w:vAlign w:val="center"/>
          </w:tcPr>
          <w:p>
            <w:pPr>
              <w:pStyle w:val="TableContents"/>
              <w:bidi w:val="0"/>
              <w:spacing w:before="0" w:after="0"/>
              <w:jc w:val="left"/>
              <w:rPr>
                <w:sz w:val="20"/>
              </w:rPr>
            </w:pPr>
            <w:r>
              <w:rPr>
                <w:sz w:val="20"/>
              </w:rPr>
              <w:t>MULTIPLEX BIO INC.</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84"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left"/>
              <w:rPr>
                <w:sz w:val="20"/>
              </w:rPr>
            </w:pPr>
            <w:r>
              <w:rPr>
                <w:sz w:val="20"/>
              </w:rPr>
              <w:t>By:</w:t>
            </w:r>
          </w:p>
        </w:tc>
        <w:tc>
          <w:tcPr>
            <w:tcW w:w="1915" w:type="dxa"/>
            <w:tcBorders>
              <w:bottom w:val="single" w:sz="12" w:space="0" w:color="000000"/>
            </w:tcBorders>
            <w:tcMar>
              <w:bottom w:w="28" w:type="dxa"/>
            </w:tcMar>
            <w:vAlign w:val="center"/>
          </w:tcPr>
          <w:p>
            <w:pPr>
              <w:pStyle w:val="TableContents"/>
              <w:bidi w:val="0"/>
              <w:spacing w:before="0" w:after="0"/>
              <w:jc w:val="left"/>
              <w:rPr>
                <w:sz w:val="20"/>
              </w:rPr>
            </w:pPr>
            <w:r>
              <w:rPr>
                <w:sz w:val="20"/>
              </w:rPr>
              <w:t>/s/ Michael Johnson</w:t>
            </w:r>
          </w:p>
        </w:tc>
        <w:tc>
          <w:tcPr>
            <w:tcW w:w="69"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84" w:type="dxa"/>
            <w:gridSpan w:val="2"/>
            <w:tcBorders/>
            <w:vAlign w:val="center"/>
          </w:tcPr>
          <w:p>
            <w:pPr>
              <w:pStyle w:val="TableContents"/>
              <w:bidi w:val="0"/>
              <w:spacing w:before="0" w:after="0"/>
              <w:jc w:val="left"/>
              <w:rPr>
                <w:sz w:val="20"/>
              </w:rPr>
            </w:pPr>
            <w:r>
              <w:rPr>
                <w:sz w:val="20"/>
              </w:rPr>
              <w:t>Name: Michael Johnson</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84" w:type="dxa"/>
            <w:gridSpan w:val="2"/>
            <w:tcBorders/>
            <w:vAlign w:val="center"/>
          </w:tcPr>
          <w:p>
            <w:pPr>
              <w:pStyle w:val="TableContents"/>
              <w:bidi w:val="0"/>
              <w:spacing w:before="0" w:after="0"/>
              <w:jc w:val="left"/>
              <w:rPr>
                <w:sz w:val="20"/>
              </w:rPr>
            </w:pPr>
            <w:r>
              <w:rPr>
                <w:sz w:val="20"/>
              </w:rPr>
              <w:t>Title: CEO</w:t>
            </w:r>
          </w:p>
        </w:tc>
      </w:tr>
    </w:tbl>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Signature Page to Share and Asset Purchase Agreement</w:t>
      </w:r>
      <w:r>
        <w:rPr>
          <w:rFonts w:ascii="Times New Roman" w:hAnsi="Times New Roman"/>
          <w:color w:val="000000"/>
          <w:sz w:val="20"/>
        </w:rPr>
        <w:t>]</w:t>
      </w:r>
    </w:p>
    <w:p>
      <w:pPr>
        <w:pStyle w:val="TextBody"/>
        <w:bidi w:val="0"/>
        <w:spacing w:before="0" w:after="0"/>
        <w:jc w:val="center"/>
        <w:rPr>
          <w:sz w:val="20"/>
        </w:rPr>
      </w:pPr>
      <w:r>
        <w:rPr>
          <w:sz w:val="20"/>
        </w:rPr>
      </w:r>
    </w:p>
    <w:p>
      <w:pPr>
        <w:pStyle w:val="TextBody"/>
        <w:bidi w:val="0"/>
        <w:spacing w:before="0" w:after="0"/>
        <w:jc w:val="center"/>
        <w:rPr>
          <w:sz w:val="20"/>
        </w:rPr>
      </w:pPr>
      <w:r>
        <w:rPr>
          <w:sz w:val="20"/>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57076</Words>
  <Characters>309611</Characters>
  <CharactersWithSpaces>369155</CharactersWithSpaces>
  <Paragraphs>2049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