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820" w:right="4660" w:firstLine="252"/>
        <w:spacing w:after="0" w:line="448" w:lineRule="auto"/>
        <w:tabs>
          <w:tab w:leader="none" w:pos="524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240.13d-2(a) (Amendment No. 4)</w:t>
      </w:r>
      <w:r>
        <w:rPr>
          <w:rFonts w:ascii="Times New Roman" w:cs="Times New Roman" w:eastAsia="Times New Roman" w:hAnsi="Times New Roman"/>
          <w:sz w:val="11"/>
          <w:szCs w:val="11"/>
          <w:color w:val="auto"/>
        </w:rPr>
        <w:t>1</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Fluidigm Corporation</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(Name of Issuer)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Common Stock, $.001 par value per share</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34385P108</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John A. Levin</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Levin Capital Strategies, 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(212) 259-0800</w:t>
      </w:r>
    </w:p>
    <w:p>
      <w:pPr>
        <w:jc w:val="center"/>
        <w:ind w:right="-159"/>
        <w:spacing w:after="0" w:line="235"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June 13, 2018</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10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7" w:lineRule="exact"/>
        <w:rPr>
          <w:sz w:val="24"/>
          <w:szCs w:val="24"/>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40" w:firstLine="8"/>
        <w:spacing w:after="0" w:line="232" w:lineRule="auto"/>
        <w:tabs>
          <w:tab w:leader="none" w:pos="648"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1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9,733,893</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13,042,812</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13,042,812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148590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Levin Capital Strategies GP,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6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9,733,893</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13,042,812</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13,042,812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-5336540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5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33.5%</w:t>
      </w:r>
    </w:p>
    <w:p>
      <w:pPr>
        <w:spacing w:after="0" w:line="27" w:lineRule="exact"/>
        <w:rPr>
          <w:sz w:val="20"/>
          <w:szCs w:val="20"/>
          <w:color w:val="auto"/>
        </w:rPr>
      </w:pPr>
    </w:p>
    <w:p>
      <w:pPr>
        <w:ind w:left="2340" w:right="7040" w:hanging="1551"/>
        <w:spacing w:after="0" w:line="527" w:lineRule="auto"/>
        <w:tabs>
          <w:tab w:leader="none" w:pos="18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Bi-Directional Disequilibrium Master Fund,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Levcap Alternative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56,820</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56,820</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LCS Event Partners,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56,820</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56,820</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234315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Safinia Partners, L.P.</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19,818</w:t>
            </w:r>
          </w:p>
        </w:tc>
        <w:tc>
          <w:tcPr>
            <w:tcW w:w="1260" w:type="dxa"/>
            <w:vAlign w:val="bottom"/>
            <w:tcBorders>
              <w:bottom w:val="single" w:sz="8" w:color="auto"/>
            </w:tcBorders>
          </w:tcPr>
          <w:p>
            <w:pPr>
              <w:spacing w:after="0"/>
              <w:rPr>
                <w:sz w:val="20"/>
                <w:szCs w:val="20"/>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19,818</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234315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LCS L/S,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40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1"/>
        </w:trPr>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19,818</w:t>
            </w:r>
          </w:p>
        </w:tc>
        <w:tc>
          <w:tcPr>
            <w:tcW w:w="1260" w:type="dxa"/>
            <w:vAlign w:val="bottom"/>
            <w:tcBorders>
              <w:bottom w:val="single" w:sz="8" w:color="auto"/>
            </w:tcBorders>
          </w:tcPr>
          <w:p>
            <w:pPr>
              <w:spacing w:after="0"/>
              <w:rPr>
                <w:sz w:val="20"/>
                <w:szCs w:val="20"/>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19,818</w:t>
            </w: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4"/>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4"/>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John A. Levin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80" w:type="dxa"/>
            <w:vAlign w:val="bottom"/>
            <w:gridSpan w:val="3"/>
          </w:tcPr>
          <w:p>
            <w:pPr>
              <w:ind w:left="10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8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6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9,733,893</w:t>
            </w:r>
          </w:p>
        </w:tc>
        <w:tc>
          <w:tcPr>
            <w:tcW w:w="126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13,042,812</w:t>
            </w: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13,047,812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Amendment No. 4 to the Schedule 13D filed by the undersigned (the "Amendment No. 4"). This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amends the Schedule 13D as specifically set forth herein.</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u w:val="single" w:color="auto"/>
          <w:color w:val="auto"/>
        </w:rPr>
        <w:t>IDENTITY AND 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2 is hereby amended to add the following:</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LCSL is not deemed to beneficially own any Shares and shall cease to be a Reporting Person upon filing of this Amendment No. 4. The remaining Reporting Persons will continue filing as a group, statements on Schedule 13D with respect to their beneficial ownership of securities of the Issuer to the extent required by applicable law. Each of the remaining Reporting Persons is party to the Joint Filing Agreement (defined and described in Item 6).</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auto"/>
        </w:rPr>
        <w:t>SOURCE AND AMOUNT OF FUNDS OR OTHER CONSIDERATION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3 is hereby amended and restated as follows:</w:t>
      </w:r>
    </w:p>
    <w:p>
      <w:pPr>
        <w:spacing w:after="0" w:line="225"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The Shares purchased by LCS on behalf of separately managed accounts, including Transamerica Large Cap Value Fund, a registered investment company under the Investment Company Act of 1940, as amended ("Transamerica"), for which LCS acts as sub-investment advisor, were purchased with general investment funds in open market purchases, except as otherwise noted. The aggregate purchase price of the 13,042,812 Shares beneficially owned directly by LCS is approximately $75,309,755, including brokerage commissions.</w:t>
      </w:r>
    </w:p>
    <w:p>
      <w:pPr>
        <w:spacing w:after="0" w:line="180"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The Shares purchased by Bi-Directional were purchased with general investment funds in open market purchases, except as otherwise noted. The aggregate purchase price of the 95,606 Shares owned directly by Bi-Directional is approximately $581,206, including brokerage commissions.</w:t>
      </w:r>
    </w:p>
    <w:p>
      <w:pPr>
        <w:spacing w:after="0" w:line="162"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The Shares purchased by Levcap were purchased with general investment funds in open market purchases, except as otherwise noted. The aggregate purchase price of the 56,820 Shares owned directly by Levcap is approximately $280,825, including brokerage commissions.</w:t>
      </w:r>
    </w:p>
    <w:p>
      <w:pPr>
        <w:spacing w:after="0" w:line="162"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The Shares purchased by Safinia were purchased with general investment funds in open market purchases, except as otherwise noted. The aggregate purchase price of the 19,818 Shares owned directly by Safinia is approximately $107,616, including brokerage commissions.</w:t>
      </w:r>
    </w:p>
    <w:p>
      <w:pPr>
        <w:spacing w:after="0" w:line="162"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The Shares purchased by John Levin’s wife were purchased with general investment funds in open market purchases, except as otherwise noted. The aggregate purchase price of the 5,000 Shares owned directly by John Levin’s wife is approximately $39,359, including brokerage commissions.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the best of the Reporting Persons’ knowledge, none of the persons listed on Appendix A beneficially owns any securities of the Issuer.</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INTEREST IN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Items 5(a)-(d) are hereby amended and restated as follows:</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The aggregate percentage of Shares reported owned by each person named herein is based upon 38,912,978 Shares outstanding as of the record date, April 5, 2018 which is the total number of Shares outstanding as reported in the Issuer’s Form 8-K filed with the Securities and Exchange Commission on June 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LCS</w:t>
      </w:r>
    </w:p>
    <w:p>
      <w:pPr>
        <w:spacing w:after="0" w:line="225" w:lineRule="exact"/>
        <w:rPr>
          <w:sz w:val="20"/>
          <w:szCs w:val="20"/>
          <w:color w:val="auto"/>
        </w:rPr>
      </w:pPr>
    </w:p>
    <w:p>
      <w:pPr>
        <w:ind w:right="20" w:firstLine="656"/>
        <w:spacing w:after="0" w:line="282" w:lineRule="auto"/>
        <w:tabs>
          <w:tab w:leader="none" w:pos="12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June 14, 2018, LCS beneficially owned 13,042,812 Shares on behalf of separately managed accounts, including 1,301,177 Shares held by the separately managed account Transamerica.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Percentage: Approximately 33.5%</w:t>
      </w:r>
    </w:p>
    <w:p>
      <w:pPr>
        <w:spacing w:after="0" w:line="225" w:lineRule="exact"/>
        <w:rPr>
          <w:sz w:val="20"/>
          <w:szCs w:val="20"/>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9,733,893</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13,042,812</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12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Shares by LCS on behalf of separately managed accounts, including Transamerica, during the past 60 days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LCS GP</w:t>
      </w:r>
    </w:p>
    <w:p>
      <w:pPr>
        <w:spacing w:after="0" w:line="225" w:lineRule="exact"/>
        <w:rPr>
          <w:rFonts w:ascii="Times New Roman" w:cs="Times New Roman" w:eastAsia="Times New Roman" w:hAnsi="Times New Roman"/>
          <w:sz w:val="18"/>
          <w:szCs w:val="18"/>
          <w:color w:val="auto"/>
        </w:rPr>
      </w:pPr>
    </w:p>
    <w:p>
      <w:pPr>
        <w:ind w:left="1300" w:right="1300" w:hanging="644"/>
        <w:spacing w:after="0" w:line="50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of LCS, LCS GP is deemed to beneficially own the 13,042,812 Shares beneficially owned by LCS. Percentage: Approximately 33.5%</w:t>
      </w: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9,733,893</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13,042,812</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29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LCS GP has not undertaken any transactions in the Shares during the past 60 days. The transactions in the Shares by LCS during the past 60 days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Bi-Directional</w:t>
      </w:r>
    </w:p>
    <w:p>
      <w:pPr>
        <w:spacing w:after="0" w:line="225" w:lineRule="exact"/>
        <w:rPr>
          <w:rFonts w:ascii="Times New Roman" w:cs="Times New Roman" w:eastAsia="Times New Roman" w:hAnsi="Times New Roman"/>
          <w:sz w:val="18"/>
          <w:szCs w:val="18"/>
          <w:color w:val="auto"/>
        </w:rPr>
      </w:pPr>
    </w:p>
    <w:p>
      <w:pPr>
        <w:ind w:left="1300" w:right="3260" w:hanging="644"/>
        <w:spacing w:after="0" w:line="50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June 14, 2018, Bi-Directional beneficially owned 95,606 Shares. Percentage: Less than 1.0%</w:t>
      </w: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95,606</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95,606</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Shares by Bi-Directional during the past 60 days are set forth in Schedule A and are incorporated herein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215"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Levcap</w:t>
      </w:r>
    </w:p>
    <w:p>
      <w:pPr>
        <w:spacing w:after="0" w:line="225" w:lineRule="exact"/>
        <w:rPr>
          <w:rFonts w:ascii="Times New Roman" w:cs="Times New Roman" w:eastAsia="Times New Roman" w:hAnsi="Times New Roman"/>
          <w:sz w:val="18"/>
          <w:szCs w:val="18"/>
          <w:color w:val="auto"/>
        </w:rPr>
      </w:pPr>
    </w:p>
    <w:p>
      <w:pPr>
        <w:ind w:left="1300" w:right="3760" w:hanging="644"/>
        <w:spacing w:after="0" w:line="53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June 14, 2018, Levcap beneficially owned 56,820 Shares. Percentage: Less than 1.0%.</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56,820*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56,820*</w:t>
      </w:r>
    </w:p>
    <w:p>
      <w:pPr>
        <w:spacing w:after="0" w:line="207" w:lineRule="exact"/>
        <w:rPr>
          <w:sz w:val="20"/>
          <w:szCs w:val="20"/>
          <w:color w:val="auto"/>
        </w:rPr>
      </w:pPr>
    </w:p>
    <w:p>
      <w:pPr>
        <w:ind w:firstLine="656"/>
        <w:spacing w:after="0" w:line="282" w:lineRule="auto"/>
        <w:tabs>
          <w:tab w:leader="none" w:pos="7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62" w:lineRule="exact"/>
        <w:rPr>
          <w:sz w:val="20"/>
          <w:szCs w:val="20"/>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Levcap has not undertaken any transactions in the Shares during the past 60 days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LCSEP</w:t>
      </w:r>
    </w:p>
    <w:p>
      <w:pPr>
        <w:spacing w:after="0" w:line="225" w:lineRule="exact"/>
        <w:rPr>
          <w:rFonts w:ascii="Times New Roman" w:cs="Times New Roman" w:eastAsia="Times New Roman" w:hAnsi="Times New Roman"/>
          <w:sz w:val="18"/>
          <w:szCs w:val="18"/>
          <w:color w:val="auto"/>
        </w:rPr>
      </w:pPr>
    </w:p>
    <w:p>
      <w:pPr>
        <w:ind w:left="1300" w:right="1280" w:hanging="644"/>
        <w:spacing w:after="0" w:line="50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of Levcap, LCSEP is deemed to beneficially own the 56,820 Shares beneficially owned by Levcap. Percentage: Less than 1.0%.</w:t>
      </w: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56,820*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56,820*</w:t>
      </w:r>
    </w:p>
    <w:p>
      <w:pPr>
        <w:spacing w:after="0" w:line="207" w:lineRule="exact"/>
        <w:rPr>
          <w:sz w:val="20"/>
          <w:szCs w:val="20"/>
          <w:color w:val="auto"/>
        </w:rPr>
      </w:pPr>
    </w:p>
    <w:p>
      <w:pPr>
        <w:ind w:firstLine="656"/>
        <w:spacing w:after="0" w:line="282" w:lineRule="auto"/>
        <w:tabs>
          <w:tab w:leader="none" w:pos="7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62" w:lineRule="exact"/>
        <w:rPr>
          <w:sz w:val="20"/>
          <w:szCs w:val="20"/>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LCSEP has not undertaken any transactions in the Shares during the past 60 days.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Safinia</w:t>
      </w:r>
    </w:p>
    <w:p>
      <w:pPr>
        <w:spacing w:after="0" w:line="225" w:lineRule="exact"/>
        <w:rPr>
          <w:rFonts w:ascii="Times New Roman" w:cs="Times New Roman" w:eastAsia="Times New Roman" w:hAnsi="Times New Roman"/>
          <w:sz w:val="18"/>
          <w:szCs w:val="18"/>
          <w:color w:val="auto"/>
        </w:rPr>
      </w:pPr>
    </w:p>
    <w:p>
      <w:pPr>
        <w:ind w:left="1300" w:right="3780" w:hanging="644"/>
        <w:spacing w:after="0" w:line="50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June 14, 2018, Safinia beneficially owned 19,818 Shares. Percentage: Less than 1.0%.</w:t>
      </w: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19,818*</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19,818*</w:t>
      </w:r>
    </w:p>
    <w:p>
      <w:pPr>
        <w:spacing w:after="0" w:line="207" w:lineRule="exact"/>
        <w:rPr>
          <w:sz w:val="20"/>
          <w:szCs w:val="20"/>
          <w:color w:val="auto"/>
        </w:rPr>
      </w:pPr>
    </w:p>
    <w:p>
      <w:pPr>
        <w:ind w:firstLine="656"/>
        <w:spacing w:after="0" w:line="282" w:lineRule="auto"/>
        <w:tabs>
          <w:tab w:leader="none" w:pos="7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62" w:lineRule="exact"/>
        <w:rPr>
          <w:sz w:val="20"/>
          <w:szCs w:val="20"/>
          <w:color w:val="auto"/>
        </w:rPr>
      </w:pPr>
    </w:p>
    <w:p>
      <w:pPr>
        <w:ind w:left="5620" w:right="4260" w:hanging="4964"/>
        <w:spacing w:after="0" w:line="532" w:lineRule="auto"/>
        <w:tabs>
          <w:tab w:leader="none" w:pos="13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Safinia has not undertaken any transactions in the Shares during the past 60 days.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215"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LCSLS</w:t>
      </w:r>
    </w:p>
    <w:p>
      <w:pPr>
        <w:spacing w:after="0" w:line="225" w:lineRule="exact"/>
        <w:rPr>
          <w:rFonts w:ascii="Times New Roman" w:cs="Times New Roman" w:eastAsia="Times New Roman" w:hAnsi="Times New Roman"/>
          <w:sz w:val="18"/>
          <w:szCs w:val="18"/>
          <w:color w:val="auto"/>
        </w:rPr>
      </w:pPr>
    </w:p>
    <w:p>
      <w:pPr>
        <w:ind w:left="1300" w:right="1320" w:hanging="644"/>
        <w:spacing w:after="0" w:line="50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of Safinia, LCSLS is deemed to beneficially own the 19,818 Shares beneficially owned by Safinia. Percentage: Less than 1.0%.</w:t>
      </w: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19,818*</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19,818*</w:t>
      </w:r>
    </w:p>
    <w:p>
      <w:pPr>
        <w:spacing w:after="0" w:line="207" w:lineRule="exact"/>
        <w:rPr>
          <w:sz w:val="20"/>
          <w:szCs w:val="20"/>
          <w:color w:val="auto"/>
        </w:rPr>
      </w:pPr>
    </w:p>
    <w:p>
      <w:pPr>
        <w:ind w:firstLine="656"/>
        <w:spacing w:after="0" w:line="282" w:lineRule="auto"/>
        <w:tabs>
          <w:tab w:leader="none" w:pos="7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62" w:lineRule="exact"/>
        <w:rPr>
          <w:sz w:val="20"/>
          <w:szCs w:val="20"/>
          <w:color w:val="auto"/>
        </w:rPr>
      </w:pPr>
    </w:p>
    <w:p>
      <w:pPr>
        <w:ind w:left="1300" w:hanging="644"/>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LCSLS has not undertaken any transactions in the Shares during the past 60 days.</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Levin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Chief Executive Officer of LCS and the Managing Member of each of LCSEP and LCSLS, Mr. Levin is deemed to beneficially own 13,047,812 Shares beneficially owned by LCS.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Percentage: Approximately 33.5%.</w:t>
      </w:r>
    </w:p>
    <w:p>
      <w:pPr>
        <w:spacing w:after="0" w:line="22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5,000</w:t>
      </w:r>
    </w:p>
    <w:p>
      <w:pPr>
        <w:spacing w:after="0" w:line="27"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9,733,893</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5,000</w:t>
      </w:r>
    </w:p>
    <w:p>
      <w:pPr>
        <w:spacing w:after="0" w:line="9" w:lineRule="exact"/>
        <w:rPr>
          <w:rFonts w:ascii="Times New Roman" w:cs="Times New Roman" w:eastAsia="Times New Roman" w:hAnsi="Times New Roman"/>
          <w:sz w:val="18"/>
          <w:szCs w:val="18"/>
          <w:color w:val="auto"/>
        </w:rPr>
      </w:pPr>
    </w:p>
    <w:p>
      <w:pPr>
        <w:ind w:left="1480" w:hanging="175"/>
        <w:spacing w:after="0"/>
        <w:tabs>
          <w:tab w:leader="none" w:pos="14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13,042,812</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2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Levin has not undertaken any transactions in the Shares during the past 60 days. The transactions in the Shares by LCS during the past 60 days are set forth in Schedule A and are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best of the Reporting Persons’ knowledge, none of the persons listed on Appendix A beneficially owns any securities of the Issuer.</w:t>
      </w:r>
    </w:p>
    <w:p>
      <w:pPr>
        <w:spacing w:after="0" w:line="225" w:lineRule="exact"/>
        <w:rPr>
          <w:sz w:val="20"/>
          <w:szCs w:val="20"/>
          <w:color w:val="auto"/>
        </w:rPr>
      </w:pPr>
    </w:p>
    <w:p>
      <w:pPr>
        <w:jc w:val="both"/>
        <w:ind w:firstLine="656"/>
        <w:spacing w:after="0" w:line="266" w:lineRule="auto"/>
        <w:tabs>
          <w:tab w:leader="none" w:pos="12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separately managed account, Transamerica, a registered investment company under the Investment Company Act of 1940, as amended, for which LCS acts as sub-investment advisor, has the right to receive dividends from, and the proceeds from the sale of, 1,301,177 Shares. Voting and dispositive power over such Shares is deemed to be shared between LCS and Transamerica.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Various other separately managed accounts for whom LCS acts as investment manager have the right to receive dividends from, and the proceeds from the sale of 11,569,391 Shares. Dispositive power over such Shares is shared. Voting power over such Shares is deemed shared between such managed accounts and LCS with respect to 9,733,893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23"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6 is hereby amended to add the following:</w:t>
      </w:r>
    </w:p>
    <w:p>
      <w:pPr>
        <w:spacing w:after="0" w:line="225"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On June 15, 2018, the Reporting Persons entered into a Joint Filing Agreement in which the Reporting Persons who will remain Reporting Persons subsequent to this Amendment No. 4 agreed to the joint filing on behalf of each of them of statements on Schedule 13D with respect to the securities of the Issuer to the extent required by applicable law. A copy of the Joint Filing Agreement is attached hereto as Exhibit 99.1 and is incorporated herein by reference.</w:t>
      </w:r>
    </w:p>
    <w:p>
      <w:pPr>
        <w:spacing w:after="0" w:line="180"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u w:val="single" w:color="auto"/>
          <w:color w:val="auto"/>
        </w:rPr>
        <w:t>MATERIAL TO BE FILED AS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7 is hereby amended to add the following exhibit: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color w:val="auto"/>
        </w:rPr>
        <w:t>Joint Filing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2018</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Levin Capital Strategies, L.P.</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Levin Capital Strategies GP, LLC</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Levin 2005 GRAT Separation Trust, as Managing</w:t>
            </w:r>
          </w:p>
        </w:tc>
      </w:tr>
      <w:tr>
        <w:trPr>
          <w:trHeight w:val="234"/>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8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Elisabeth Levin</w:t>
            </w:r>
          </w:p>
        </w:tc>
      </w:tr>
      <w:tr>
        <w:trPr>
          <w:trHeight w:val="191"/>
        </w:trPr>
        <w:tc>
          <w:tcPr>
            <w:tcW w:w="70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Elisabeth Levin</w:t>
            </w:r>
          </w:p>
        </w:tc>
      </w:tr>
      <w:tr>
        <w:trPr>
          <w:trHeight w:val="234"/>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Bi-Directional Master Fund, LTD.</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Levin Capital Strategies, L.P., the investment manager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Levcap Alternative Fund, L.P</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LCS Event Partners, LLC, its General Partner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3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LCS Event Partners,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Safinia Partners, L.P.</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LCS L/S, LLC, its General Partner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LCS L/S, LLC</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John A. Levin</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498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CUSIP NO. 34385P108</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Shares During the Past Sixty Days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vMerge w:val="restart"/>
            <w:shd w:val="clear" w:color="auto" w:fill="C0C0C0"/>
          </w:tcPr>
          <w:p>
            <w:pPr>
              <w:jc w:val="right"/>
              <w:ind w:right="610"/>
              <w:spacing w:after="0"/>
              <w:rPr>
                <w:sz w:val="20"/>
                <w:szCs w:val="20"/>
                <w:color w:val="auto"/>
              </w:rPr>
            </w:pPr>
            <w:r>
              <w:rPr>
                <w:rFonts w:ascii="Times New Roman" w:cs="Times New Roman" w:eastAsia="Times New Roman" w:hAnsi="Times New Roman"/>
                <w:sz w:val="18"/>
                <w:szCs w:val="18"/>
                <w:color w:val="auto"/>
              </w:rPr>
              <w:t>Date</w:t>
            </w:r>
          </w:p>
        </w:tc>
        <w:tc>
          <w:tcPr>
            <w:tcW w:w="1160" w:type="dxa"/>
            <w:vAlign w:val="bottom"/>
            <w:tcBorders>
              <w:top w:val="single" w:sz="8" w:color="auto"/>
              <w:right w:val="single" w:sz="8" w:color="auto"/>
            </w:tcBorders>
            <w:vMerge w:val="restart"/>
            <w:shd w:val="clear" w:color="auto" w:fill="C0C0C0"/>
          </w:tcPr>
          <w:p>
            <w:pPr>
              <w:ind w:left="160"/>
              <w:spacing w:after="0"/>
              <w:rPr>
                <w:sz w:val="20"/>
                <w:szCs w:val="20"/>
                <w:color w:val="auto"/>
              </w:rPr>
            </w:pPr>
            <w:r>
              <w:rPr>
                <w:rFonts w:ascii="Times New Roman" w:cs="Times New Roman" w:eastAsia="Times New Roman" w:hAnsi="Times New Roman"/>
                <w:sz w:val="18"/>
                <w:szCs w:val="18"/>
                <w:color w:val="auto"/>
              </w:rPr>
              <w:t>Buy or Sell</w:t>
            </w:r>
          </w:p>
        </w:tc>
        <w:tc>
          <w:tcPr>
            <w:tcW w:w="1240" w:type="dxa"/>
            <w:vAlign w:val="bottom"/>
            <w:tcBorders>
              <w:top w:val="single" w:sz="8" w:color="auto"/>
              <w:right w:val="single" w:sz="8" w:color="auto"/>
            </w:tcBorders>
            <w:vMerge w:val="restart"/>
            <w:shd w:val="clear" w:color="auto" w:fill="C0C0C0"/>
          </w:tcPr>
          <w:p>
            <w:pPr>
              <w:jc w:val="right"/>
              <w:ind w:right="230"/>
              <w:spacing w:after="0"/>
              <w:rPr>
                <w:sz w:val="20"/>
                <w:szCs w:val="20"/>
                <w:color w:val="auto"/>
              </w:rPr>
            </w:pPr>
            <w:r>
              <w:rPr>
                <w:rFonts w:ascii="Times New Roman" w:cs="Times New Roman" w:eastAsia="Times New Roman" w:hAnsi="Times New Roman"/>
                <w:sz w:val="18"/>
                <w:szCs w:val="18"/>
                <w:color w:val="auto"/>
              </w:rPr>
              <w:t>Quantity</w:t>
            </w:r>
          </w:p>
        </w:tc>
        <w:tc>
          <w:tcPr>
            <w:tcW w:w="194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Times New Roman" w:cs="Times New Roman" w:eastAsia="Times New Roman" w:hAnsi="Times New Roman"/>
                <w:sz w:val="18"/>
                <w:szCs w:val="18"/>
                <w:color w:val="auto"/>
              </w:rPr>
              <w:t>Price Per Share (before</w:t>
            </w:r>
          </w:p>
        </w:tc>
        <w:tc>
          <w:tcPr>
            <w:tcW w:w="5340" w:type="dxa"/>
            <w:vAlign w:val="bottom"/>
            <w:tcBorders>
              <w:top w:val="single" w:sz="8" w:color="auto"/>
              <w:right w:val="single" w:sz="8" w:color="auto"/>
            </w:tcBorders>
            <w:vMerge w:val="restart"/>
            <w:shd w:val="clear" w:color="auto" w:fill="C0C0C0"/>
          </w:tcPr>
          <w:p>
            <w:pPr>
              <w:ind w:left="2040"/>
              <w:spacing w:after="0"/>
              <w:rPr>
                <w:sz w:val="20"/>
                <w:szCs w:val="20"/>
                <w:color w:val="auto"/>
              </w:rPr>
            </w:pPr>
            <w:r>
              <w:rPr>
                <w:rFonts w:ascii="Times New Roman" w:cs="Times New Roman" w:eastAsia="Times New Roman" w:hAnsi="Times New Roman"/>
                <w:sz w:val="18"/>
                <w:szCs w:val="18"/>
                <w:color w:val="auto"/>
              </w:rPr>
              <w:t>Reporting Person</w:t>
            </w:r>
          </w:p>
        </w:tc>
        <w:tc>
          <w:tcPr>
            <w:tcW w:w="0" w:type="dxa"/>
            <w:vAlign w:val="bottom"/>
          </w:tcPr>
          <w:p>
            <w:pPr>
              <w:spacing w:after="0"/>
              <w:rPr>
                <w:sz w:val="1"/>
                <w:szCs w:val="1"/>
                <w:color w:val="auto"/>
              </w:rPr>
            </w:pPr>
          </w:p>
        </w:tc>
      </w:tr>
      <w:tr>
        <w:trPr>
          <w:trHeight w:val="126"/>
        </w:trPr>
        <w:tc>
          <w:tcPr>
            <w:tcW w:w="1740" w:type="dxa"/>
            <w:vAlign w:val="bottom"/>
            <w:tcBorders>
              <w:left w:val="single" w:sz="8" w:color="auto"/>
              <w:right w:val="single" w:sz="8" w:color="auto"/>
            </w:tcBorders>
            <w:vMerge w:val="continue"/>
            <w:shd w:val="clear" w:color="auto" w:fill="C0C0C0"/>
          </w:tcPr>
          <w:p>
            <w:pPr>
              <w:spacing w:after="0"/>
              <w:rPr>
                <w:sz w:val="10"/>
                <w:szCs w:val="10"/>
                <w:color w:val="auto"/>
              </w:rPr>
            </w:pPr>
          </w:p>
        </w:tc>
        <w:tc>
          <w:tcPr>
            <w:tcW w:w="1160" w:type="dxa"/>
            <w:vAlign w:val="bottom"/>
            <w:tcBorders>
              <w:right w:val="single" w:sz="8" w:color="auto"/>
            </w:tcBorders>
            <w:vMerge w:val="continue"/>
            <w:shd w:val="clear" w:color="auto" w:fill="C0C0C0"/>
          </w:tcPr>
          <w:p>
            <w:pPr>
              <w:spacing w:after="0"/>
              <w:rPr>
                <w:sz w:val="10"/>
                <w:szCs w:val="10"/>
                <w:color w:val="auto"/>
              </w:rPr>
            </w:pPr>
          </w:p>
        </w:tc>
        <w:tc>
          <w:tcPr>
            <w:tcW w:w="1240" w:type="dxa"/>
            <w:vAlign w:val="bottom"/>
            <w:tcBorders>
              <w:right w:val="single" w:sz="8" w:color="auto"/>
            </w:tcBorders>
            <w:vMerge w:val="continue"/>
            <w:shd w:val="clear" w:color="auto" w:fill="C0C0C0"/>
          </w:tcPr>
          <w:p>
            <w:pPr>
              <w:spacing w:after="0"/>
              <w:rPr>
                <w:sz w:val="10"/>
                <w:szCs w:val="10"/>
                <w:color w:val="auto"/>
              </w:rPr>
            </w:pPr>
          </w:p>
        </w:tc>
        <w:tc>
          <w:tcPr>
            <w:tcW w:w="1940" w:type="dxa"/>
            <w:vAlign w:val="bottom"/>
            <w:tcBorders>
              <w:right w:val="single" w:sz="8" w:color="auto"/>
            </w:tcBorders>
            <w:vMerge w:val="restart"/>
            <w:shd w:val="clear" w:color="auto" w:fill="C0C0C0"/>
          </w:tcPr>
          <w:p>
            <w:pPr>
              <w:jc w:val="right"/>
              <w:ind w:right="430"/>
              <w:spacing w:after="0"/>
              <w:rPr>
                <w:sz w:val="20"/>
                <w:szCs w:val="20"/>
                <w:color w:val="auto"/>
              </w:rPr>
            </w:pPr>
            <w:r>
              <w:rPr>
                <w:rFonts w:ascii="Times New Roman" w:cs="Times New Roman" w:eastAsia="Times New Roman" w:hAnsi="Times New Roman"/>
                <w:sz w:val="18"/>
                <w:szCs w:val="18"/>
                <w:color w:val="auto"/>
              </w:rPr>
              <w:t>commission)</w:t>
            </w:r>
          </w:p>
        </w:tc>
        <w:tc>
          <w:tcPr>
            <w:tcW w:w="5340" w:type="dxa"/>
            <w:vAlign w:val="bottom"/>
            <w:tcBorders>
              <w:right w:val="single" w:sz="8" w:color="auto"/>
            </w:tcBorders>
            <w:vMerge w:val="continue"/>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bottom w:val="single" w:sz="8" w:color="auto"/>
              <w:right w:val="single" w:sz="8" w:color="auto"/>
            </w:tcBorders>
            <w:shd w:val="clear" w:color="auto" w:fill="C0C0C0"/>
          </w:tcPr>
          <w:p>
            <w:pPr>
              <w:spacing w:after="0"/>
              <w:rPr>
                <w:sz w:val="9"/>
                <w:szCs w:val="9"/>
                <w:color w:val="auto"/>
              </w:rPr>
            </w:pPr>
          </w:p>
        </w:tc>
        <w:tc>
          <w:tcPr>
            <w:tcW w:w="1160" w:type="dxa"/>
            <w:vAlign w:val="bottom"/>
            <w:tcBorders>
              <w:bottom w:val="single" w:sz="8" w:color="auto"/>
              <w:right w:val="single" w:sz="8" w:color="auto"/>
            </w:tcBorders>
            <w:shd w:val="clear" w:color="auto" w:fill="C0C0C0"/>
          </w:tcPr>
          <w:p>
            <w:pPr>
              <w:spacing w:after="0"/>
              <w:rPr>
                <w:sz w:val="9"/>
                <w:szCs w:val="9"/>
                <w:color w:val="auto"/>
              </w:rPr>
            </w:pPr>
          </w:p>
        </w:tc>
        <w:tc>
          <w:tcPr>
            <w:tcW w:w="1240" w:type="dxa"/>
            <w:vAlign w:val="bottom"/>
            <w:tcBorders>
              <w:bottom w:val="single" w:sz="8" w:color="auto"/>
              <w:right w:val="single" w:sz="8" w:color="auto"/>
            </w:tcBorders>
            <w:shd w:val="clear" w:color="auto" w:fill="C0C0C0"/>
          </w:tcPr>
          <w:p>
            <w:pPr>
              <w:spacing w:after="0"/>
              <w:rPr>
                <w:sz w:val="9"/>
                <w:szCs w:val="9"/>
                <w:color w:val="auto"/>
              </w:rPr>
            </w:pPr>
          </w:p>
        </w:tc>
        <w:tc>
          <w:tcPr>
            <w:tcW w:w="194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534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06/13/2018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146,300</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4.9500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06/13/2018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4.9915</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06/13/2018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06/12/2018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06/08/2018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40,623</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5.4331</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06/08/2018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5.4599</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06/07/2018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5.5353</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05/29/2018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5.5950</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05/25/2018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5.6600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05/24/2018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5.6970</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05/09/2018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16,778</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5.3749</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05/09/2018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5.3749</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Bi-Directional Disequilibrium Master Fund, Ltd.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05/08/2018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32,762</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5.4676</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05/08/2018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5.4676</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Bi-Directional Disequilibrium Master Fund, Ltd.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05/07/2018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44,306</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5.5965</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05/07/2018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5.5965</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Bi-Directional Disequilibrium Master Fund, Ltd.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05/04/2018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27,045</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5.6724</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05/04/2018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5.6724</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Bi-Directional Disequilibrium Master Fund, Ltd.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05/04/2018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61,915</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5.6900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05/04/2018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5.6900</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Bi-Directional Disequilibrium Master Fund, Ltd.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05/03/2018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5.8500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04/30/2018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4,649</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5.8996</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Bi-Directional Disequilibrium Master Fund, Ltd.</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04/30/2018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5.9715</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04/26/2018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9,609</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5.9601</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04/25/2018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5.9190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04/24/2018</w:t>
            </w: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5.9485</w:t>
            </w:r>
          </w:p>
        </w:tc>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04/20/2018</w:t>
            </w:r>
          </w:p>
        </w:tc>
        <w:tc>
          <w:tcPr>
            <w:tcW w:w="1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Buy</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5.8930</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 Capital Strategies, L.P.</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Trade made on behalf of separately managed account Transamerica Large Cap Value Fund.</w:t>
      </w:r>
    </w:p>
    <w:p>
      <w:pPr>
        <w:sectPr>
          <w:pgSz w:w="11900" w:h="16838" w:orient="portrait"/>
          <w:cols w:equalWidth="0" w:num="1">
            <w:col w:w="11420"/>
          </w:cols>
          <w:pgMar w:left="240" w:top="220" w:right="2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$0.001 par value, of Fluidigm Corporation, a Delaware corporation.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2018</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Levin Capital Strategies,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c>
          <w:tcPr>
            <w:tcW w:w="100" w:type="dxa"/>
            <w:vAlign w:val="bottom"/>
          </w:tcPr>
          <w:p>
            <w:pPr>
              <w:spacing w:after="0"/>
              <w:rPr>
                <w:sz w:val="20"/>
                <w:szCs w:val="20"/>
                <w:color w:val="auto"/>
              </w:rPr>
            </w:pPr>
          </w:p>
        </w:tc>
      </w:tr>
      <w:tr>
        <w:trPr>
          <w:trHeight w:val="191"/>
        </w:trPr>
        <w:tc>
          <w:tcPr>
            <w:tcW w:w="662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John A. Levin</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20"/>
              <w:spacing w:after="0"/>
              <w:rPr>
                <w:sz w:val="20"/>
                <w:szCs w:val="20"/>
                <w:color w:val="auto"/>
              </w:rPr>
            </w:pPr>
            <w:r>
              <w:rPr>
                <w:rFonts w:ascii="Times New Roman" w:cs="Times New Roman" w:eastAsia="Times New Roman" w:hAnsi="Times New Roman"/>
                <w:sz w:val="18"/>
                <w:szCs w:val="18"/>
                <w:color w:val="auto"/>
              </w:rPr>
              <w:t>Levin Capital Strategies GP, LLC</w:t>
            </w:r>
          </w:p>
        </w:tc>
        <w:tc>
          <w:tcPr>
            <w:tcW w:w="100" w:type="dxa"/>
            <w:vAlign w:val="bottom"/>
          </w:tcPr>
          <w:p>
            <w:pPr>
              <w:spacing w:after="0"/>
              <w:rPr>
                <w:sz w:val="24"/>
                <w:szCs w:val="24"/>
                <w:color w:val="auto"/>
              </w:rPr>
            </w:pPr>
          </w:p>
        </w:tc>
      </w:tr>
      <w:tr>
        <w:trPr>
          <w:trHeight w:val="414"/>
        </w:trPr>
        <w:tc>
          <w:tcPr>
            <w:tcW w:w="662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Levin 2005 GRAT Separation Trust, as Managing</w:t>
            </w:r>
          </w:p>
        </w:tc>
        <w:tc>
          <w:tcPr>
            <w:tcW w:w="100" w:type="dxa"/>
            <w:vAlign w:val="bottom"/>
          </w:tcPr>
          <w:p>
            <w:pPr>
              <w:spacing w:after="0"/>
              <w:rPr>
                <w:sz w:val="24"/>
                <w:szCs w:val="24"/>
                <w:color w:val="auto"/>
              </w:rPr>
            </w:pPr>
          </w:p>
        </w:tc>
      </w:tr>
      <w:tr>
        <w:trPr>
          <w:trHeight w:val="234"/>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2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Elisabeth Levin</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Elisabeth Levin</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20"/>
              <w:spacing w:after="0"/>
              <w:rPr>
                <w:sz w:val="20"/>
                <w:szCs w:val="20"/>
                <w:color w:val="auto"/>
              </w:rPr>
            </w:pPr>
            <w:r>
              <w:rPr>
                <w:rFonts w:ascii="Times New Roman" w:cs="Times New Roman" w:eastAsia="Times New Roman" w:hAnsi="Times New Roman"/>
                <w:sz w:val="18"/>
                <w:szCs w:val="18"/>
                <w:color w:val="auto"/>
              </w:rPr>
              <w:t>Bi-Directional Master Fund, LTD.</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Levin Capital Strategies, L.P., the investment manager</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John A. Levin</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20"/>
              <w:spacing w:after="0"/>
              <w:rPr>
                <w:sz w:val="20"/>
                <w:szCs w:val="20"/>
                <w:color w:val="auto"/>
              </w:rPr>
            </w:pPr>
            <w:r>
              <w:rPr>
                <w:rFonts w:ascii="Times New Roman" w:cs="Times New Roman" w:eastAsia="Times New Roman" w:hAnsi="Times New Roman"/>
                <w:sz w:val="18"/>
                <w:szCs w:val="18"/>
                <w:color w:val="auto"/>
              </w:rPr>
              <w:t>Levcap Alternative Fund, L.P</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LCS Event Partners, LLC, its General Partner</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John A. Levin</w:t>
            </w:r>
          </w:p>
        </w:tc>
        <w:tc>
          <w:tcPr>
            <w:tcW w:w="100" w:type="dxa"/>
            <w:vAlign w:val="bottom"/>
          </w:tcPr>
          <w:p>
            <w:pPr>
              <w:spacing w:after="0"/>
              <w:rPr>
                <w:sz w:val="16"/>
                <w:szCs w:val="16"/>
                <w:color w:val="auto"/>
              </w:rPr>
            </w:pPr>
          </w:p>
        </w:tc>
      </w:tr>
      <w:tr>
        <w:trPr>
          <w:trHeight w:val="234"/>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324"/>
        </w:trPr>
        <w:tc>
          <w:tcPr>
            <w:tcW w:w="6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18" w:name="page19"/>
    <w:bookmarkEnd w:id="18"/>
    <w:p>
      <w:pPr>
        <w:ind w:left="4720"/>
        <w:spacing w:after="0"/>
        <w:rPr>
          <w:sz w:val="20"/>
          <w:szCs w:val="20"/>
          <w:color w:val="auto"/>
        </w:rPr>
      </w:pPr>
      <w:r>
        <w:rPr>
          <w:rFonts w:ascii="Times New Roman" w:cs="Times New Roman" w:eastAsia="Times New Roman" w:hAnsi="Times New Roman"/>
          <w:sz w:val="18"/>
          <w:szCs w:val="18"/>
          <w:color w:val="auto"/>
        </w:rPr>
        <w:t>LCS Event Partners, LLC</w:t>
      </w:r>
    </w:p>
    <w:p>
      <w:pPr>
        <w:spacing w:after="0" w:line="225" w:lineRule="exact"/>
        <w:rPr>
          <w:sz w:val="20"/>
          <w:szCs w:val="20"/>
          <w:color w:val="auto"/>
        </w:rPr>
      </w:pPr>
    </w:p>
    <w:tbl>
      <w:tblPr>
        <w:tblLayout w:type="fixed"/>
        <w:tblInd w:w="47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Safinia Partners, L.P.</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LCS L/S, LLC, its General Partner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LCS L/S, LLC</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A. Levin</w:t>
            </w:r>
          </w:p>
        </w:tc>
      </w:tr>
      <w:tr>
        <w:trPr>
          <w:trHeight w:val="191"/>
        </w:trPr>
        <w:tc>
          <w:tcPr>
            <w:tcW w:w="7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John A. Levin</w:t>
            </w:r>
          </w:p>
        </w:tc>
      </w:tr>
      <w:tr>
        <w:trPr>
          <w:trHeight w:val="234"/>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John A. Levin</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-130810</wp:posOffset>
            </wp:positionV>
            <wp:extent cx="34988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sectPr>
      <w:pgSz w:w="11900" w:h="16838" w:orient="portrait"/>
      <w:cols w:equalWidth="0" w:num="1">
        <w:col w:w="10120"/>
      </w:cols>
      <w:pgMar w:left="144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1"/>
      <w:numFmt w:val="decimal"/>
      <w:start w:val="14"/>
    </w:lvl>
  </w:abstractNum>
  <w:abstractNum w:abstractNumId="3">
    <w:nsid w:val="109CF92E"/>
    <w:multiLevelType w:val="hybridMultilevel"/>
    <w:lvl w:ilvl="0">
      <w:lvlJc w:val="left"/>
      <w:lvlText w:val="%1"/>
      <w:numFmt w:val="decimal"/>
      <w:start w:val="14"/>
    </w:lvl>
  </w:abstractNum>
  <w:abstractNum w:abstractNumId="4">
    <w:nsid w:val="DED7263"/>
    <w:multiLevelType w:val="hybridMultilevel"/>
    <w:lvl w:ilvl="0">
      <w:lvlJc w:val="left"/>
      <w:lvlText w:val="%1"/>
      <w:numFmt w:val="decimal"/>
      <w:start w:val="14"/>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41A7C4C9"/>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8">
    <w:nsid w:val="6B68079A"/>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1">
    <w:nsid w:val="519B500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4">
    <w:nsid w:val="7C83E45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3"/>
    </w:lvl>
  </w:abstractNum>
  <w:abstractNum w:abstractNumId="17">
    <w:nsid w:val="436C6125"/>
    <w:multiLevelType w:val="hybridMultilevel"/>
    <w:lvl w:ilvl="0">
      <w:lvlJc w:val="left"/>
      <w:lvlText w:val="%1."/>
      <w:numFmt w:val="upperLetter"/>
      <w:start w:val="7"/>
    </w:lvl>
    <w:lvl w:ilvl="1">
      <w:lvlJc w:val="left"/>
      <w:lvlText w:val="(%2)"/>
      <w:numFmt w:val="lowerLetter"/>
      <w:start w:val="1"/>
    </w:lvl>
    <w:lvl w:ilvl="2">
      <w:lvlJc w:val="left"/>
      <w:lvlText w:val="%3."/>
      <w:numFmt w:val="decimal"/>
      <w:start w:val="2"/>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upperLetter"/>
      <w:start w:val="1"/>
    </w:lvl>
    <w:lvl w:ilvl="1">
      <w:lvlJc w:val="left"/>
      <w:lvlText w:val="(%2)"/>
      <w:numFmt w:val="lowerLetter"/>
      <w:start w:val="3"/>
    </w:lvl>
  </w:abstractNum>
  <w:abstractNum w:abstractNumId="20">
    <w:nsid w:val="721DA317"/>
    <w:multiLevelType w:val="hybridMultilevel"/>
    <w:lvl w:ilvl="0">
      <w:lvlJc w:val="left"/>
      <w:lvlText w:val="%1."/>
      <w:numFmt w:val="upperLetter"/>
      <w:start w:val="8"/>
    </w:lvl>
    <w:lvl w:ilvl="1">
      <w:lvlJc w:val="left"/>
      <w:lvlText w:val="(%2)"/>
      <w:numFmt w:val="lowerLetter"/>
      <w:start w:val="1"/>
    </w:lvl>
  </w:abstractNum>
  <w:abstractNum w:abstractNumId="21">
    <w:nsid w:val="2443A858"/>
    <w:multiLevelType w:val="hybridMultilevel"/>
    <w:lvl w:ilvl="0">
      <w:lvlJc w:val="left"/>
      <w:lvlText w:val="(%1)"/>
      <w:numFmt w:val="lowerLetter"/>
      <w:start w:val="2"/>
    </w:lvl>
    <w:lvl w:ilvl="1">
      <w:lvlJc w:val="left"/>
      <w:lvlText w:val="%2."/>
      <w:numFmt w:val="decimal"/>
      <w:start w:val="2"/>
    </w:lvl>
  </w:abstractNum>
  <w:abstractNum w:abstractNumId="22">
    <w:nsid w:val="2D1D5AE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2019-12-06T19:16:38Z</dcterms:created>
  <dcterms:modified xsi:type="dcterms:W3CDTF">2019-12-06T19:16:38Z</dcterms:modified>
</cp:coreProperties>
</file>