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Fluidigm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34385P108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12/31/2012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40" w:hanging="584"/>
        <w:spacing w:after="0"/>
        <w:tabs>
          <w:tab w:leader="none" w:pos="1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40"/>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-812165</wp:posOffset>
            </wp:positionV>
            <wp:extent cx="1775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092315" cy="4598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2315" cy="4598035"/>
                    </a:xfrm>
                    <a:prstGeom prst="rect">
                      <a:avLst/>
                    </a:prstGeom>
                    <a:noFill/>
                  </pic:spPr>
                </pic:pic>
              </a:graphicData>
            </a:graphic>
          </wp:anchor>
        </w:drawing>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442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Names of Reporting Persons</w:t>
            </w:r>
          </w:p>
        </w:tc>
        <w:tc>
          <w:tcPr>
            <w:tcW w:w="6220" w:type="dxa"/>
            <w:vAlign w:val="bottom"/>
            <w:tcBorders>
              <w:top w:val="single" w:sz="8" w:color="auto"/>
            </w:tcBorders>
          </w:tcPr>
          <w:p>
            <w:pPr>
              <w:spacing w:after="0"/>
              <w:rPr>
                <w:sz w:val="18"/>
                <w:szCs w:val="18"/>
                <w:color w:val="auto"/>
              </w:rPr>
            </w:pPr>
          </w:p>
        </w:tc>
      </w:tr>
      <w:tr>
        <w:trPr>
          <w:trHeight w:val="230"/>
        </w:trPr>
        <w:tc>
          <w:tcPr>
            <w:tcW w:w="540" w:type="dxa"/>
            <w:vAlign w:val="bottom"/>
            <w:tcBorders>
              <w:right w:val="single" w:sz="8" w:color="auto"/>
            </w:tcBorders>
          </w:tcPr>
          <w:p>
            <w:pPr>
              <w:spacing w:after="0"/>
              <w:rPr>
                <w:sz w:val="20"/>
                <w:szCs w:val="20"/>
                <w:color w:val="auto"/>
              </w:rPr>
            </w:pPr>
          </w:p>
        </w:tc>
        <w:tc>
          <w:tcPr>
            <w:tcW w:w="4420" w:type="dxa"/>
            <w:vAlign w:val="bottom"/>
            <w:gridSpan w:val="3"/>
          </w:tcPr>
          <w:p>
            <w:pPr>
              <w:ind w:left="60"/>
              <w:spacing w:after="0"/>
              <w:rPr>
                <w:sz w:val="20"/>
                <w:szCs w:val="20"/>
                <w:color w:val="auto"/>
              </w:rPr>
            </w:pPr>
            <w:r>
              <w:rPr>
                <w:rFonts w:ascii="Arial" w:cs="Arial" w:eastAsia="Arial" w:hAnsi="Arial"/>
                <w:sz w:val="18"/>
                <w:szCs w:val="18"/>
                <w:color w:val="auto"/>
                <w:w w:val="97"/>
              </w:rPr>
              <w:t>I.R.S. Identification No. of above persons (entities only).</w:t>
            </w:r>
          </w:p>
        </w:tc>
        <w:tc>
          <w:tcPr>
            <w:tcW w:w="6220" w:type="dxa"/>
            <w:vAlign w:val="bottom"/>
          </w:tcPr>
          <w:p>
            <w:pPr>
              <w:spacing w:after="0"/>
              <w:rPr>
                <w:sz w:val="20"/>
                <w:szCs w:val="20"/>
                <w:color w:val="auto"/>
              </w:rPr>
            </w:pPr>
          </w:p>
        </w:tc>
      </w:tr>
      <w:tr>
        <w:trPr>
          <w:trHeight w:val="432"/>
        </w:trPr>
        <w:tc>
          <w:tcPr>
            <w:tcW w:w="54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The TCW Group, Inc., on behalf of the TCW Business Unit</w:t>
            </w:r>
          </w:p>
        </w:tc>
      </w:tr>
      <w:tr>
        <w:trPr>
          <w:trHeight w:val="224"/>
        </w:trPr>
        <w:tc>
          <w:tcPr>
            <w:tcW w:w="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106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404"/>
        </w:trPr>
        <w:tc>
          <w:tcPr>
            <w:tcW w:w="54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20" w:type="dxa"/>
            <w:vAlign w:val="bottom"/>
          </w:tcPr>
          <w:p>
            <w:pPr>
              <w:ind w:left="2260"/>
              <w:spacing w:after="0"/>
              <w:rPr>
                <w:sz w:val="20"/>
                <w:szCs w:val="20"/>
                <w:color w:val="auto"/>
              </w:rPr>
            </w:pPr>
            <w:r>
              <w:rPr>
                <w:rFonts w:ascii="Arial" w:cs="Arial" w:eastAsia="Arial" w:hAnsi="Arial"/>
                <w:sz w:val="18"/>
                <w:szCs w:val="18"/>
                <w:color w:val="auto"/>
              </w:rPr>
              <w:t>(a)</w:t>
            </w:r>
          </w:p>
        </w:tc>
        <w:tc>
          <w:tcPr>
            <w:tcW w:w="6220" w:type="dxa"/>
            <w:vAlign w:val="bottom"/>
          </w:tcPr>
          <w:p>
            <w:pPr>
              <w:jc w:val="right"/>
              <w:ind w:right="6010"/>
              <w:spacing w:after="0"/>
              <w:rPr>
                <w:sz w:val="20"/>
                <w:szCs w:val="20"/>
                <w:color w:val="auto"/>
              </w:rPr>
            </w:pPr>
            <w:r>
              <w:rPr>
                <w:rFonts w:ascii="Arial" w:cs="Arial" w:eastAsia="Arial" w:hAnsi="Arial"/>
                <w:sz w:val="18"/>
                <w:szCs w:val="18"/>
                <w:color w:val="auto"/>
                <w:w w:val="99"/>
              </w:rPr>
              <w:t>o</w:t>
            </w:r>
          </w:p>
        </w:tc>
      </w:tr>
      <w:tr>
        <w:trPr>
          <w:trHeight w:val="230"/>
        </w:trPr>
        <w:tc>
          <w:tcPr>
            <w:tcW w:w="5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(b)</w:t>
            </w:r>
          </w:p>
        </w:tc>
        <w:tc>
          <w:tcPr>
            <w:tcW w:w="6220" w:type="dxa"/>
            <w:vAlign w:val="bottom"/>
            <w:tcBorders>
              <w:bottom w:val="single" w:sz="8" w:color="auto"/>
            </w:tcBorders>
          </w:tcPr>
          <w:p>
            <w:pPr>
              <w:jc w:val="right"/>
              <w:ind w:right="5990"/>
              <w:spacing w:after="0"/>
              <w:rPr>
                <w:sz w:val="20"/>
                <w:szCs w:val="20"/>
                <w:color w:val="auto"/>
              </w:rPr>
            </w:pPr>
            <w:r>
              <w:rPr>
                <w:rFonts w:ascii="Arial" w:cs="Arial" w:eastAsia="Arial" w:hAnsi="Arial"/>
                <w:sz w:val="18"/>
                <w:szCs w:val="18"/>
                <w:color w:val="auto"/>
              </w:rPr>
              <w:t>x</w:t>
            </w:r>
          </w:p>
        </w:tc>
      </w:tr>
      <w:tr>
        <w:trPr>
          <w:trHeight w:val="224"/>
        </w:trPr>
        <w:tc>
          <w:tcPr>
            <w:tcW w:w="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14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220" w:type="dxa"/>
            <w:vAlign w:val="bottom"/>
          </w:tcPr>
          <w:p>
            <w:pPr>
              <w:spacing w:after="0"/>
              <w:rPr>
                <w:sz w:val="19"/>
                <w:szCs w:val="19"/>
                <w:color w:val="auto"/>
              </w:rPr>
            </w:pPr>
          </w:p>
        </w:tc>
      </w:tr>
      <w:tr>
        <w:trPr>
          <w:trHeight w:val="418"/>
        </w:trPr>
        <w:tc>
          <w:tcPr>
            <w:tcW w:w="540" w:type="dxa"/>
            <w:vAlign w:val="bottom"/>
            <w:tcBorders>
              <w:bottom w:val="single" w:sz="8" w:color="auto"/>
              <w:right w:val="single" w:sz="8" w:color="auto"/>
            </w:tcBorders>
          </w:tcPr>
          <w:p>
            <w:pPr>
              <w:spacing w:after="0"/>
              <w:rPr>
                <w:sz w:val="24"/>
                <w:szCs w:val="24"/>
                <w:color w:val="auto"/>
              </w:rPr>
            </w:pPr>
          </w:p>
        </w:tc>
        <w:tc>
          <w:tcPr>
            <w:tcW w:w="4420" w:type="dxa"/>
            <w:vAlign w:val="bottom"/>
            <w:tcBorders>
              <w:bottom w:val="single" w:sz="8" w:color="auto"/>
            </w:tcBorders>
            <w:gridSpan w:val="3"/>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r>
        <w:trPr>
          <w:trHeight w:val="224"/>
        </w:trPr>
        <w:tc>
          <w:tcPr>
            <w:tcW w:w="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442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6220" w:type="dxa"/>
            <w:vAlign w:val="bottom"/>
          </w:tcPr>
          <w:p>
            <w:pPr>
              <w:spacing w:after="0"/>
              <w:rPr>
                <w:sz w:val="19"/>
                <w:szCs w:val="19"/>
                <w:color w:val="auto"/>
              </w:rPr>
            </w:pPr>
          </w:p>
        </w:tc>
      </w:tr>
      <w:tr>
        <w:trPr>
          <w:trHeight w:val="418"/>
        </w:trPr>
        <w:tc>
          <w:tcPr>
            <w:tcW w:w="5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5"/>
              </w:rPr>
              <w:t>Nevada corporation</w:t>
            </w:r>
          </w:p>
        </w:tc>
        <w:tc>
          <w:tcPr>
            <w:tcW w:w="25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r>
        <w:trPr>
          <w:trHeight w:val="195"/>
        </w:trPr>
        <w:tc>
          <w:tcPr>
            <w:tcW w:w="19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Number of Shares</w:t>
            </w:r>
          </w:p>
        </w:tc>
        <w:tc>
          <w:tcPr>
            <w:tcW w:w="50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5.</w:t>
            </w:r>
          </w:p>
        </w:tc>
        <w:tc>
          <w:tcPr>
            <w:tcW w:w="2520" w:type="dxa"/>
            <w:vAlign w:val="bottom"/>
          </w:tcPr>
          <w:p>
            <w:pPr>
              <w:ind w:left="60"/>
              <w:spacing w:after="0" w:line="195" w:lineRule="exact"/>
              <w:rPr>
                <w:sz w:val="20"/>
                <w:szCs w:val="20"/>
                <w:color w:val="auto"/>
              </w:rPr>
            </w:pPr>
            <w:r>
              <w:rPr>
                <w:rFonts w:ascii="Arial" w:cs="Arial" w:eastAsia="Arial" w:hAnsi="Arial"/>
                <w:sz w:val="18"/>
                <w:szCs w:val="18"/>
                <w:color w:val="auto"/>
              </w:rPr>
              <w:t>Sole Voting Power</w:t>
            </w:r>
          </w:p>
        </w:tc>
        <w:tc>
          <w:tcPr>
            <w:tcW w:w="6220" w:type="dxa"/>
            <w:vAlign w:val="bottom"/>
          </w:tcPr>
          <w:p>
            <w:pPr>
              <w:jc w:val="right"/>
              <w:ind w:right="5270"/>
              <w:spacing w:after="0" w:line="195" w:lineRule="exact"/>
              <w:rPr>
                <w:sz w:val="20"/>
                <w:szCs w:val="20"/>
                <w:color w:val="auto"/>
              </w:rPr>
            </w:pPr>
            <w:r>
              <w:rPr>
                <w:rFonts w:ascii="Arial" w:cs="Arial" w:eastAsia="Arial" w:hAnsi="Arial"/>
                <w:sz w:val="18"/>
                <w:szCs w:val="18"/>
                <w:color w:val="auto"/>
              </w:rPr>
              <w:t>-0-</w:t>
            </w:r>
          </w:p>
        </w:tc>
      </w:tr>
      <w:tr>
        <w:trPr>
          <w:trHeight w:val="230"/>
        </w:trPr>
        <w:tc>
          <w:tcPr>
            <w:tcW w:w="19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Beneficially Owned</w:t>
            </w:r>
          </w:p>
        </w:tc>
        <w:tc>
          <w:tcPr>
            <w:tcW w:w="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6220" w:type="dxa"/>
            <w:vAlign w:val="bottom"/>
            <w:tcBorders>
              <w:bottom w:val="single" w:sz="8" w:color="auto"/>
            </w:tcBorders>
          </w:tcPr>
          <w:p>
            <w:pPr>
              <w:spacing w:after="0"/>
              <w:rPr>
                <w:sz w:val="20"/>
                <w:szCs w:val="20"/>
                <w:color w:val="auto"/>
              </w:rPr>
            </w:pPr>
          </w:p>
        </w:tc>
      </w:tr>
      <w:tr>
        <w:trPr>
          <w:trHeight w:val="195"/>
        </w:trPr>
        <w:tc>
          <w:tcPr>
            <w:tcW w:w="19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by Each Reporting</w:t>
            </w:r>
          </w:p>
        </w:tc>
        <w:tc>
          <w:tcPr>
            <w:tcW w:w="50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6.</w:t>
            </w:r>
          </w:p>
        </w:tc>
        <w:tc>
          <w:tcPr>
            <w:tcW w:w="252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6220" w:type="dxa"/>
            <w:vAlign w:val="bottom"/>
          </w:tcPr>
          <w:p>
            <w:pPr>
              <w:jc w:val="right"/>
              <w:ind w:right="5270"/>
              <w:spacing w:after="0" w:line="195" w:lineRule="exact"/>
              <w:rPr>
                <w:sz w:val="20"/>
                <w:szCs w:val="20"/>
                <w:color w:val="auto"/>
              </w:rPr>
            </w:pPr>
            <w:r>
              <w:rPr>
                <w:rFonts w:ascii="Arial" w:cs="Arial" w:eastAsia="Arial" w:hAnsi="Arial"/>
                <w:sz w:val="18"/>
                <w:szCs w:val="18"/>
                <w:color w:val="auto"/>
              </w:rPr>
              <w:t>498,990</w:t>
            </w:r>
          </w:p>
        </w:tc>
      </w:tr>
      <w:tr>
        <w:trPr>
          <w:trHeight w:val="230"/>
        </w:trPr>
        <w:tc>
          <w:tcPr>
            <w:tcW w:w="19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Person With</w:t>
            </w:r>
          </w:p>
        </w:tc>
        <w:tc>
          <w:tcPr>
            <w:tcW w:w="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6220" w:type="dxa"/>
            <w:vAlign w:val="bottom"/>
            <w:tcBorders>
              <w:bottom w:val="single" w:sz="8" w:color="auto"/>
            </w:tcBorders>
          </w:tcPr>
          <w:p>
            <w:pPr>
              <w:spacing w:after="0"/>
              <w:rPr>
                <w:sz w:val="20"/>
                <w:szCs w:val="20"/>
                <w:color w:val="auto"/>
              </w:rPr>
            </w:pPr>
          </w:p>
        </w:tc>
      </w:tr>
      <w:tr>
        <w:trPr>
          <w:trHeight w:val="224"/>
        </w:trPr>
        <w:tc>
          <w:tcPr>
            <w:tcW w:w="5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7.</w:t>
            </w:r>
          </w:p>
        </w:tc>
        <w:tc>
          <w:tcPr>
            <w:tcW w:w="25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6220" w:type="dxa"/>
            <w:vAlign w:val="bottom"/>
          </w:tcPr>
          <w:p>
            <w:pPr>
              <w:jc w:val="right"/>
              <w:ind w:right="5270"/>
              <w:spacing w:after="0"/>
              <w:rPr>
                <w:sz w:val="20"/>
                <w:szCs w:val="20"/>
                <w:color w:val="auto"/>
              </w:rPr>
            </w:pPr>
            <w:r>
              <w:rPr>
                <w:rFonts w:ascii="Arial" w:cs="Arial" w:eastAsia="Arial" w:hAnsi="Arial"/>
                <w:sz w:val="18"/>
                <w:szCs w:val="18"/>
                <w:color w:val="auto"/>
              </w:rPr>
              <w:t>-0-</w:t>
            </w:r>
          </w:p>
        </w:tc>
      </w:tr>
      <w:tr>
        <w:trPr>
          <w:trHeight w:val="202"/>
        </w:trPr>
        <w:tc>
          <w:tcPr>
            <w:tcW w:w="5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6220" w:type="dxa"/>
            <w:vAlign w:val="bottom"/>
            <w:tcBorders>
              <w:bottom w:val="single" w:sz="8" w:color="auto"/>
            </w:tcBorders>
          </w:tcPr>
          <w:p>
            <w:pPr>
              <w:spacing w:after="0"/>
              <w:rPr>
                <w:sz w:val="17"/>
                <w:szCs w:val="17"/>
                <w:color w:val="auto"/>
              </w:rPr>
            </w:pPr>
          </w:p>
        </w:tc>
      </w:tr>
      <w:tr>
        <w:trPr>
          <w:trHeight w:val="224"/>
        </w:trPr>
        <w:tc>
          <w:tcPr>
            <w:tcW w:w="54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25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6220" w:type="dxa"/>
            <w:vAlign w:val="bottom"/>
          </w:tcPr>
          <w:p>
            <w:pPr>
              <w:jc w:val="right"/>
              <w:ind w:right="5270"/>
              <w:spacing w:after="0"/>
              <w:rPr>
                <w:sz w:val="20"/>
                <w:szCs w:val="20"/>
                <w:color w:val="auto"/>
              </w:rPr>
            </w:pPr>
            <w:r>
              <w:rPr>
                <w:rFonts w:ascii="Arial" w:cs="Arial" w:eastAsia="Arial" w:hAnsi="Arial"/>
                <w:sz w:val="18"/>
                <w:szCs w:val="18"/>
                <w:color w:val="auto"/>
              </w:rPr>
              <w:t>501,540</w:t>
            </w:r>
          </w:p>
        </w:tc>
      </w:tr>
      <w:tr>
        <w:trPr>
          <w:trHeight w:val="202"/>
        </w:trPr>
        <w:tc>
          <w:tcPr>
            <w:tcW w:w="54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8740" w:type="dxa"/>
            <w:vAlign w:val="bottom"/>
            <w:tcBorders>
              <w:bottom w:val="single" w:sz="8" w:color="auto"/>
            </w:tcBorders>
            <w:gridSpan w:val="2"/>
          </w:tcPr>
          <w:p>
            <w:pPr>
              <w:spacing w:after="0"/>
              <w:rPr>
                <w:sz w:val="17"/>
                <w:szCs w:val="17"/>
                <w:color w:val="auto"/>
              </w:rPr>
            </w:pPr>
          </w:p>
        </w:tc>
      </w:tr>
      <w:tr>
        <w:trPr>
          <w:trHeight w:val="224"/>
        </w:trPr>
        <w:tc>
          <w:tcPr>
            <w:tcW w:w="540" w:type="dxa"/>
            <w:vAlign w:val="bottom"/>
          </w:tcPr>
          <w:p>
            <w:pPr>
              <w:ind w:left="80"/>
              <w:spacing w:after="0"/>
              <w:rPr>
                <w:sz w:val="20"/>
                <w:szCs w:val="20"/>
                <w:color w:val="auto"/>
              </w:rPr>
            </w:pPr>
            <w:r>
              <w:rPr>
                <w:rFonts w:ascii="Arial" w:cs="Arial" w:eastAsia="Arial" w:hAnsi="Arial"/>
                <w:sz w:val="18"/>
                <w:szCs w:val="18"/>
                <w:color w:val="auto"/>
              </w:rPr>
              <w:t>9.</w:t>
            </w:r>
          </w:p>
        </w:tc>
        <w:tc>
          <w:tcPr>
            <w:tcW w:w="106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8"/>
        </w:trPr>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501,540</w:t>
            </w:r>
          </w:p>
        </w:tc>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ind w:left="80"/>
              <w:spacing w:after="0"/>
              <w:rPr>
                <w:sz w:val="20"/>
                <w:szCs w:val="20"/>
                <w:color w:val="auto"/>
              </w:rPr>
            </w:pPr>
            <w:r>
              <w:rPr>
                <w:rFonts w:ascii="Arial" w:cs="Arial" w:eastAsia="Arial" w:hAnsi="Arial"/>
                <w:sz w:val="18"/>
                <w:szCs w:val="18"/>
                <w:color w:val="auto"/>
              </w:rPr>
              <w:t>10.</w:t>
            </w:r>
          </w:p>
        </w:tc>
        <w:tc>
          <w:tcPr>
            <w:tcW w:w="106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 o</w:t>
            </w:r>
          </w:p>
        </w:tc>
      </w:tr>
      <w:tr>
        <w:trPr>
          <w:trHeight w:val="418"/>
        </w:trPr>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ind w:left="80"/>
              <w:spacing w:after="0"/>
              <w:rPr>
                <w:sz w:val="20"/>
                <w:szCs w:val="20"/>
                <w:color w:val="auto"/>
              </w:rPr>
            </w:pPr>
            <w:r>
              <w:rPr>
                <w:rFonts w:ascii="Arial" w:cs="Arial" w:eastAsia="Arial" w:hAnsi="Arial"/>
                <w:sz w:val="18"/>
                <w:szCs w:val="18"/>
                <w:color w:val="auto"/>
              </w:rPr>
              <w:t>11.</w:t>
            </w:r>
          </w:p>
        </w:tc>
        <w:tc>
          <w:tcPr>
            <w:tcW w:w="442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6220" w:type="dxa"/>
            <w:vAlign w:val="bottom"/>
          </w:tcPr>
          <w:p>
            <w:pPr>
              <w:spacing w:after="0"/>
              <w:rPr>
                <w:sz w:val="19"/>
                <w:szCs w:val="19"/>
                <w:color w:val="auto"/>
              </w:rPr>
            </w:pPr>
          </w:p>
        </w:tc>
      </w:tr>
      <w:tr>
        <w:trPr>
          <w:trHeight w:val="418"/>
        </w:trPr>
        <w:tc>
          <w:tcPr>
            <w:tcW w:w="540" w:type="dxa"/>
            <w:vAlign w:val="bottom"/>
          </w:tcPr>
          <w:p>
            <w:pPr>
              <w:spacing w:after="0"/>
              <w:rPr>
                <w:sz w:val="24"/>
                <w:szCs w:val="24"/>
                <w:color w:val="auto"/>
              </w:rPr>
            </w:pPr>
          </w:p>
        </w:tc>
        <w:tc>
          <w:tcPr>
            <w:tcW w:w="4420" w:type="dxa"/>
            <w:vAlign w:val="bottom"/>
            <w:gridSpan w:val="3"/>
          </w:tcPr>
          <w:p>
            <w:pPr>
              <w:ind w:left="400"/>
              <w:spacing w:after="0"/>
              <w:rPr>
                <w:sz w:val="20"/>
                <w:szCs w:val="20"/>
                <w:color w:val="auto"/>
              </w:rPr>
            </w:pPr>
            <w:r>
              <w:rPr>
                <w:rFonts w:ascii="Arial" w:cs="Arial" w:eastAsia="Arial" w:hAnsi="Arial"/>
                <w:sz w:val="18"/>
                <w:szCs w:val="18"/>
                <w:color w:val="auto"/>
              </w:rPr>
              <w:t>2.0% (see response to Item 4)</w:t>
            </w:r>
          </w:p>
        </w:tc>
        <w:tc>
          <w:tcPr>
            <w:tcW w:w="6220" w:type="dxa"/>
            <w:vAlign w:val="bottom"/>
          </w:tcPr>
          <w:p>
            <w:pPr>
              <w:spacing w:after="0"/>
              <w:rPr>
                <w:sz w:val="24"/>
                <w:szCs w:val="24"/>
                <w:color w:val="auto"/>
              </w:rPr>
            </w:pPr>
          </w:p>
        </w:tc>
      </w:tr>
    </w:tbl>
    <w:p>
      <w:pPr>
        <w:ind w:left="600" w:hanging="513"/>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ectPr>
          <w:pgSz w:w="11900" w:h="16838" w:orient="portrait"/>
          <w:cols w:equalWidth="0" w:num="1">
            <w:col w:w="11400"/>
          </w:cols>
          <w:pgMar w:left="240" w:top="449" w:right="259" w:bottom="0" w:gutter="0" w:footer="0" w:header="0"/>
        </w:sectPr>
      </w:pPr>
    </w:p>
    <w:bookmarkStart w:id="1" w:name="page2"/>
    <w:bookmarkEnd w:id="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092315"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283210"/>
                    </a:xfrm>
                    <a:prstGeom prst="rect">
                      <a:avLst/>
                    </a:prstGeom>
                    <a:noFill/>
                  </pic:spPr>
                </pic:pic>
              </a:graphicData>
            </a:graphic>
          </wp:anchor>
        </w:drawing>
        <w:t>HC/CO</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Item 1(a). Name of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7000 Shoreline Court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Persons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TCW Group, Inc., on behalf of the TCW Business Unit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865 South Figueroa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 Angeles, CA 90017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(Nevada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34385P108</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225" w:lineRule="exact"/>
        <w:rPr>
          <w:sz w:val="20"/>
          <w:szCs w:val="20"/>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 (15 U.S.C. 78o).</w:t>
      </w:r>
    </w:p>
    <w:p>
      <w:pPr>
        <w:spacing w:after="0" w:line="23" w:lineRule="exact"/>
        <w:rPr>
          <w:rFonts w:ascii="Arial" w:cs="Arial" w:eastAsia="Arial" w:hAnsi="Arial"/>
          <w:sz w:val="18"/>
          <w:szCs w:val="18"/>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 (15 U.S.C. 78c).</w:t>
      </w:r>
    </w:p>
    <w:p>
      <w:pPr>
        <w:spacing w:after="0" w:line="9" w:lineRule="exact"/>
        <w:rPr>
          <w:rFonts w:ascii="Arial" w:cs="Arial" w:eastAsia="Arial" w:hAnsi="Arial"/>
          <w:sz w:val="18"/>
          <w:szCs w:val="18"/>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9" w:lineRule="exact"/>
        <w:rPr>
          <w:rFonts w:ascii="Arial" w:cs="Arial" w:eastAsia="Arial" w:hAnsi="Arial"/>
          <w:sz w:val="18"/>
          <w:szCs w:val="18"/>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9" w:lineRule="exact"/>
        <w:rPr>
          <w:rFonts w:ascii="Arial" w:cs="Arial" w:eastAsia="Arial" w:hAnsi="Arial"/>
          <w:sz w:val="18"/>
          <w:szCs w:val="18"/>
          <w:color w:val="auto"/>
        </w:rPr>
      </w:pPr>
    </w:p>
    <w:p>
      <w:pPr>
        <w:ind w:left="1120" w:hanging="45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TCW Group, Inc., on behalf of the TCW Business Unit</w:t>
      </w:r>
    </w:p>
    <w:p>
      <w:pPr>
        <w:spacing w:after="0" w:line="211" w:lineRule="exact"/>
        <w:rPr>
          <w:sz w:val="20"/>
          <w:szCs w:val="20"/>
          <w:color w:val="auto"/>
        </w:rPr>
      </w:pPr>
    </w:p>
    <w:p>
      <w:pPr>
        <w:ind w:left="1120" w:hanging="45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3" w:lineRule="exact"/>
        <w:rPr>
          <w:rFonts w:ascii="Arial" w:cs="Arial" w:eastAsia="Arial" w:hAnsi="Arial"/>
          <w:sz w:val="18"/>
          <w:szCs w:val="18"/>
          <w:color w:val="auto"/>
        </w:rPr>
      </w:pPr>
    </w:p>
    <w:p>
      <w:pPr>
        <w:ind w:left="1580" w:hanging="915"/>
        <w:spacing w:after="0" w:line="250" w:lineRule="auto"/>
        <w:tabs>
          <w:tab w:leader="none" w:pos="1121" w:val="left"/>
        </w:tabs>
        <w:numPr>
          <w:ilvl w:val="0"/>
          <w:numId w:val="4"/>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ind w:left="1120" w:hanging="45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§240.13d-1(b)(1)(ii)(J);</w:t>
      </w:r>
    </w:p>
    <w:p>
      <w:pPr>
        <w:spacing w:after="0" w:line="9" w:lineRule="exact"/>
        <w:rPr>
          <w:rFonts w:ascii="Arial" w:cs="Arial" w:eastAsia="Arial" w:hAnsi="Arial"/>
          <w:sz w:val="18"/>
          <w:szCs w:val="18"/>
          <w:color w:val="auto"/>
        </w:rPr>
      </w:pPr>
    </w:p>
    <w:p>
      <w:pPr>
        <w:ind w:left="1120" w:hanging="455"/>
        <w:spacing w:after="0" w:line="207" w:lineRule="exact"/>
        <w:tabs>
          <w:tab w:leader="none" w:pos="11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1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this statement is filed pursuant to Rule 13d-1(c), check this box. o</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The TCW Group, Inc., on behalf of the Business Unit ***</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501,540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2.0%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none.</w:t>
      </w:r>
    </w:p>
    <w:p>
      <w:pPr>
        <w:sectPr>
          <w:pgSz w:w="11900" w:h="16838" w:orient="portrait"/>
          <w:cols w:equalWidth="0" w:num="1">
            <w:col w:w="11160"/>
          </w:cols>
          <w:pgMar w:left="240" w:top="341" w:right="499" w:bottom="0" w:gutter="0" w:footer="0" w:header="0"/>
        </w:sectPr>
      </w:pPr>
    </w:p>
    <w:bookmarkStart w:id="2" w:name="page3"/>
    <w:bookmarkEnd w:id="2"/>
    <w:p>
      <w:pPr>
        <w:ind w:left="1380" w:hanging="724"/>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498,990</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none.</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501,540</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right="60" w:hanging="652"/>
        <w:spacing w:after="0" w:line="302" w:lineRule="auto"/>
        <w:tabs>
          <w:tab w:leader="none" w:pos="65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54" w:lineRule="exact"/>
        <w:rPr>
          <w:rFonts w:ascii="Arial" w:cs="Arial" w:eastAsia="Arial" w:hAnsi="Arial"/>
          <w:sz w:val="16"/>
          <w:szCs w:val="16"/>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Not applicable.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Because this statement is filed pursuant to Rule 13d-1(b), the following certification is included:</w:t>
      </w:r>
    </w:p>
    <w:p>
      <w:pPr>
        <w:spacing w:after="0" w:line="225" w:lineRule="exact"/>
        <w:rPr>
          <w:sz w:val="20"/>
          <w:szCs w:val="20"/>
          <w:color w:val="auto"/>
        </w:rPr>
      </w:pPr>
    </w:p>
    <w:p>
      <w:pPr>
        <w:jc w:val="both"/>
        <w:ind w:left="660" w:right="4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14th day of February,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TCW Group, Inc., on behalf of the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TCW Business Unit</w:t>
      </w:r>
    </w:p>
    <w:p>
      <w:pPr>
        <w:spacing w:after="0" w:line="21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Linda D. Barker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Linda 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RELEVANT SUBSIDIARIES OF PARENT HOLDING COMPANY</w:t>
      </w:r>
    </w:p>
    <w:p>
      <w:pPr>
        <w:sectPr>
          <w:pgSz w:w="11900" w:h="16838" w:orient="portrait"/>
          <w:cols w:equalWidth="0" w:num="1">
            <w:col w:w="11360"/>
          </w:cols>
          <w:pgMar w:left="240" w:top="341" w:right="29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A: TCW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 Holding Company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TCW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Relevant Subsidiaries that are persons described in Rule 13d-1(b)</w:t>
      </w:r>
      <w:r>
        <w:rPr>
          <w:rFonts w:ascii="Arial" w:cs="Arial" w:eastAsia="Arial" w:hAnsi="Arial"/>
          <w:sz w:val="18"/>
          <w:szCs w:val="18"/>
          <w:color w:val="auto"/>
        </w:rPr>
        <w:t>:</w:t>
      </w:r>
    </w:p>
    <w:p>
      <w:pPr>
        <w:spacing w:after="0" w:line="225" w:lineRule="exact"/>
        <w:rPr>
          <w:sz w:val="20"/>
          <w:szCs w:val="20"/>
          <w:color w:val="auto"/>
        </w:rPr>
      </w:pPr>
    </w:p>
    <w:p>
      <w:pPr>
        <w:ind w:left="660" w:right="260" w:hanging="652"/>
        <w:spacing w:after="0" w:line="277" w:lineRule="auto"/>
        <w:tabs>
          <w:tab w:leader="none" w:pos="681" w:val="left"/>
        </w:tabs>
        <w:numPr>
          <w:ilvl w:val="0"/>
          <w:numId w:val="8"/>
        </w:numPr>
        <w:rPr>
          <w:rFonts w:ascii="Arial" w:cs="Arial" w:eastAsia="Arial" w:hAnsi="Arial"/>
          <w:sz w:val="18"/>
          <w:szCs w:val="18"/>
          <w:color w:val="auto"/>
        </w:rPr>
      </w:pPr>
      <w:r>
        <w:rPr>
          <w:rFonts w:ascii="Arial" w:cs="Arial" w:eastAsia="Arial" w:hAnsi="Arial"/>
          <w:sz w:val="18"/>
          <w:szCs w:val="18"/>
          <w:color w:val="auto"/>
        </w:rPr>
        <w:t>TCW Asset Management Company, a California corporation and an Investment Adviser registered under Section 203 of the Investment Advisers Act of 1940.</w:t>
      </w:r>
    </w:p>
    <w:p>
      <w:pPr>
        <w:spacing w:after="0" w:line="170" w:lineRule="exact"/>
        <w:rPr>
          <w:rFonts w:ascii="Arial" w:cs="Arial" w:eastAsia="Arial" w:hAnsi="Arial"/>
          <w:sz w:val="18"/>
          <w:szCs w:val="18"/>
          <w:color w:val="auto"/>
        </w:rPr>
      </w:pPr>
    </w:p>
    <w:p>
      <w:pPr>
        <w:ind w:left="660" w:right="540" w:hanging="652"/>
        <w:spacing w:after="0" w:line="277" w:lineRule="auto"/>
        <w:tabs>
          <w:tab w:leader="none" w:pos="6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TCW Investment Management Company, a California corporation and an Investment Adviser registered under Section 203 of the Investment Advisers Act of 1940.</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Schedule 13G is being filed by the TCW Group, Inc., a Nevada corporation (“TCW”), on behalf of itself and its direct and indirect subsidiaries, which collectively constitute The TCW Group, Inc. business unit (the “TCW Business Unit” or the “Reporting Person”). The TCW Business Unit is primarily engaged in the provision of investment management services.</w:t>
      </w:r>
    </w:p>
    <w:p>
      <w:pPr>
        <w:spacing w:after="0" w:line="18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As of December 31, 2012, the TCW Business Unit was independently operated and its ultimate parent was Société Générale, S.A., (“SG”). As of February 6, 2013, the TCW Business Unit is majority owned by investment funds affiliated with The Carlyle Group. As such, SG (as of December 31, 2012) and entities affiliated with The Carlyle Group (for periods after February 6, 2013) may be deemed to share beneficial ownership the securities reported herein.</w:t>
      </w:r>
    </w:p>
    <w:p>
      <w:pPr>
        <w:spacing w:after="0" w:line="252" w:lineRule="auto"/>
        <w:rPr>
          <w:sz w:val="20"/>
          <w:szCs w:val="20"/>
          <w:color w:val="auto"/>
        </w:rPr>
      </w:pPr>
      <w:r>
        <w:rPr>
          <w:rFonts w:ascii="Arial" w:cs="Arial" w:eastAsia="Arial" w:hAnsi="Arial"/>
          <w:sz w:val="18"/>
          <w:szCs w:val="18"/>
          <w:color w:val="auto"/>
        </w:rPr>
        <w:t>Furthermore, entities affiliated with each of SG and The Carlyle Group may beneficially own shares of the issuer to which this schedule relates (the “Shares”) and such Shares are not reported herein. The TCW Business Unit is or was managed separately and operated independently from SG (as of December 31, 2012) and The Carlyle Group (for periods after February 6, 2013), respectively, and information barriers are in place between the TCW Business Unit and The Carlyle Group. Therefore, in accordance with Rule 13d-4 under the Exchange Act, each of SG and The Carlyle Group disclaims beneficial ownership of the Shares beneficially owned by the Reporting Person and the Reporting Person disclaims beneficial ownership of any Shares which may be owned by SG or The Carlyle Group.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x"/>
      <w:numFmt w:val="bullet"/>
      <w:start w:val="1"/>
    </w:lvl>
  </w:abstractNum>
  <w:abstractNum w:abstractNumId="1">
    <w:nsid w:val="46E87CCD"/>
    <w:multiLevelType w:val="hybridMultilevel"/>
    <w:lvl w:ilvl="0">
      <w:lvlJc w:val="left"/>
      <w:lvlText w:val="%1."/>
      <w:numFmt w:val="decimal"/>
      <w:start w:val="1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8"/>
    </w:lvl>
  </w:abstractNum>
  <w:abstractNum w:abstractNumId="4">
    <w:nsid w:val="2EB141F2"/>
    <w:multiLevelType w:val="hybridMultilevel"/>
    <w:lvl w:ilvl="0">
      <w:lvlJc w:val="left"/>
      <w:lvlText w:val="(%1)"/>
      <w:numFmt w:val="lowerLetter"/>
      <w:start w:val="1"/>
    </w:lvl>
    <w:lvl w:ilvl="1">
      <w:lvlJc w:val="left"/>
      <w:lvlText w:val="(%2)"/>
      <w:numFmt w:val="lowerLetter"/>
      <w:start w:val="9"/>
    </w:lvl>
  </w:abstractNum>
  <w:abstractNum w:abstractNumId="5">
    <w:nsid w:val="41B71EFB"/>
    <w:multiLevelType w:val="hybridMultilevel"/>
    <w:lvl w:ilvl="0">
      <w:lvlJc w:val="left"/>
      <w:lvlText w:val="**"/>
      <w:numFmt w:val="bullet"/>
      <w:start w:val="1"/>
    </w:lvl>
    <w:lvl w:ilvl="1">
      <w:lvlJc w:val="left"/>
      <w:lvlText w:val="(%2)"/>
      <w:numFmt w:val="lowerRoman"/>
      <w:start w:val="2"/>
    </w:lvl>
  </w:abstractNum>
  <w:abstractNum w:abstractNumId="6">
    <w:nsid w:val="79E2A9E3"/>
    <w:multiLevelType w:val="hybridMultilevel"/>
    <w:lvl w:ilvl="0">
      <w:lvlJc w:val="left"/>
      <w:lvlText w:val="***"/>
      <w:numFmt w:val="bullet"/>
      <w:start w:val="1"/>
    </w:lvl>
    <w:lvl w:ilvl="1">
      <w:lvlJc w:val="left"/>
      <w:lvlText w:val="%2"/>
      <w:numFmt w:val="lowerRoman"/>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2019-12-07T03:19:31Z</dcterms:created>
  <dcterms:modified xsi:type="dcterms:W3CDTF">2019-12-07T03:19:31Z</dcterms:modified>
</cp:coreProperties>
</file>