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 xml:space="preserve">WASHINGTON, </w:t>
      </w:r>
      <w:r>
        <w:rPr>
          <w:rFonts w:ascii="Times New Roman" w:cs="Times New Roman" w:eastAsia="Times New Roman" w:hAnsi="Times New Roman"/>
          <w:sz w:val="17"/>
          <w:szCs w:val="17"/>
          <w:b w:val="1"/>
          <w:bCs w:val="1"/>
          <w:color w:val="auto"/>
        </w:rPr>
        <w:t>D.C.</w:t>
      </w:r>
      <w:r>
        <w:rPr>
          <w:rFonts w:ascii="Times New Roman" w:cs="Times New Roman" w:eastAsia="Times New Roman" w:hAnsi="Times New Roman"/>
          <w:sz w:val="20"/>
          <w:szCs w:val="20"/>
          <w:b w:val="1"/>
          <w:bCs w:val="1"/>
          <w:color w:val="auto"/>
        </w:rPr>
        <w:t xml:space="preserve">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Standard BioTools Inc.</w:t>
      </w:r>
    </w:p>
    <w:p>
      <w:pPr>
        <w:spacing w:after="0" w:line="7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1820" w:type="dxa"/>
            <w:vAlign w:val="bottom"/>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6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144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220"/>
        </w:trPr>
        <w:tc>
          <w:tcPr>
            <w:tcW w:w="1820" w:type="dxa"/>
            <w:vAlign w:val="bottom"/>
          </w:tcPr>
          <w:p>
            <w:pPr>
              <w:jc w:val="center"/>
              <w:ind w:right="162"/>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564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rPr>
              <w:t>(Commission</w:t>
            </w:r>
          </w:p>
        </w:tc>
        <w:tc>
          <w:tcPr>
            <w:tcW w:w="1440" w:type="dxa"/>
            <w:vAlign w:val="bottom"/>
          </w:tcPr>
          <w:p>
            <w:pPr>
              <w:jc w:val="center"/>
              <w:ind w:left="302"/>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820" w:type="dxa"/>
            <w:vAlign w:val="bottom"/>
          </w:tcPr>
          <w:p>
            <w:pPr>
              <w:jc w:val="center"/>
              <w:ind w:right="162"/>
              <w:spacing w:after="0"/>
              <w:rPr>
                <w:sz w:val="20"/>
                <w:szCs w:val="20"/>
                <w:color w:val="auto"/>
              </w:rPr>
            </w:pPr>
            <w:r>
              <w:rPr>
                <w:rFonts w:ascii="Times New Roman" w:cs="Times New Roman" w:eastAsia="Times New Roman" w:hAnsi="Times New Roman"/>
                <w:sz w:val="14"/>
                <w:szCs w:val="14"/>
                <w:color w:val="auto"/>
              </w:rPr>
              <w:t>of Incorporation)</w:t>
            </w:r>
          </w:p>
        </w:tc>
        <w:tc>
          <w:tcPr>
            <w:tcW w:w="564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rPr>
              <w:t>File Number)</w:t>
            </w:r>
          </w:p>
        </w:tc>
        <w:tc>
          <w:tcPr>
            <w:tcW w:w="1440" w:type="dxa"/>
            <w:vAlign w:val="bottom"/>
          </w:tcPr>
          <w:p>
            <w:pPr>
              <w:jc w:val="center"/>
              <w:ind w:left="282"/>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608"/>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2 Tower Place, Suite 2000, South San Francisco, California 94080</w:t>
            </w:r>
          </w:p>
        </w:tc>
        <w:tc>
          <w:tcPr>
            <w:tcW w:w="1440" w:type="dxa"/>
            <w:vAlign w:val="bottom"/>
          </w:tcPr>
          <w:p>
            <w:pPr>
              <w:spacing w:after="0"/>
              <w:rPr>
                <w:sz w:val="24"/>
                <w:szCs w:val="24"/>
                <w:color w:val="auto"/>
              </w:rPr>
            </w:pPr>
          </w:p>
        </w:tc>
      </w:tr>
      <w:tr>
        <w:trPr>
          <w:trHeight w:val="188"/>
        </w:trPr>
        <w:tc>
          <w:tcPr>
            <w:tcW w:w="1820" w:type="dxa"/>
            <w:vAlign w:val="bottom"/>
          </w:tcPr>
          <w:p>
            <w:pPr>
              <w:spacing w:after="0"/>
              <w:rPr>
                <w:sz w:val="16"/>
                <w:szCs w:val="16"/>
                <w:color w:val="auto"/>
              </w:rPr>
            </w:pPr>
          </w:p>
        </w:tc>
        <w:tc>
          <w:tcPr>
            <w:tcW w:w="564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440" w:type="dxa"/>
            <w:vAlign w:val="bottom"/>
          </w:tcPr>
          <w:p>
            <w:pPr>
              <w:spacing w:after="0"/>
              <w:rPr>
                <w:sz w:val="16"/>
                <w:szCs w:val="16"/>
                <w:color w:val="auto"/>
              </w:rPr>
            </w:pPr>
          </w:p>
        </w:tc>
      </w:tr>
      <w:tr>
        <w:trPr>
          <w:trHeight w:val="460"/>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1440" w:type="dxa"/>
            <w:vAlign w:val="bottom"/>
          </w:tcPr>
          <w:p>
            <w:pPr>
              <w:spacing w:after="0"/>
              <w:rPr>
                <w:sz w:val="24"/>
                <w:szCs w:val="24"/>
                <w:color w:val="auto"/>
              </w:rPr>
            </w:pPr>
          </w:p>
        </w:tc>
      </w:tr>
      <w:tr>
        <w:trPr>
          <w:trHeight w:val="188"/>
        </w:trPr>
        <w:tc>
          <w:tcPr>
            <w:tcW w:w="1820" w:type="dxa"/>
            <w:vAlign w:val="bottom"/>
          </w:tcPr>
          <w:p>
            <w:pPr>
              <w:spacing w:after="0"/>
              <w:rPr>
                <w:sz w:val="16"/>
                <w:szCs w:val="16"/>
                <w:color w:val="auto"/>
              </w:rPr>
            </w:pPr>
          </w:p>
        </w:tc>
        <w:tc>
          <w:tcPr>
            <w:tcW w:w="564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440" w:type="dxa"/>
            <w:vAlign w:val="bottom"/>
          </w:tcPr>
          <w:p>
            <w:pPr>
              <w:spacing w:after="0"/>
              <w:rPr>
                <w:sz w:val="16"/>
                <w:szCs w:val="16"/>
                <w:color w:val="auto"/>
              </w:rPr>
            </w:pPr>
          </w:p>
        </w:tc>
      </w:tr>
      <w:tr>
        <w:trPr>
          <w:trHeight w:val="486"/>
        </w:trPr>
        <w:tc>
          <w:tcPr>
            <w:tcW w:w="1820" w:type="dxa"/>
            <w:vAlign w:val="bottom"/>
          </w:tcPr>
          <w:p>
            <w:pPr>
              <w:spacing w:after="0"/>
              <w:rPr>
                <w:sz w:val="24"/>
                <w:szCs w:val="24"/>
                <w:color w:val="auto"/>
              </w:rPr>
            </w:pPr>
          </w:p>
        </w:tc>
        <w:tc>
          <w:tcPr>
            <w:tcW w:w="5640" w:type="dxa"/>
            <w:vAlign w:val="bottom"/>
          </w:tcPr>
          <w:p>
            <w:pPr>
              <w:jc w:val="center"/>
              <w:ind w:right="81"/>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440" w:type="dxa"/>
            <w:vAlign w:val="bottom"/>
          </w:tcPr>
          <w:p>
            <w:pPr>
              <w:spacing w:after="0"/>
              <w:rPr>
                <w:sz w:val="24"/>
                <w:szCs w:val="24"/>
                <w:color w:val="auto"/>
              </w:rPr>
            </w:pPr>
          </w:p>
        </w:tc>
      </w:tr>
    </w:tbl>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240" w:lineRule="exact"/>
        <w:rPr>
          <w:sz w:val="24"/>
          <w:szCs w:val="24"/>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221" w:lineRule="exact"/>
        <w:rPr>
          <w:rFonts w:ascii="MS PGothic" w:cs="MS PGothic" w:eastAsia="MS PGothic" w:hAnsi="MS PGothic"/>
          <w:sz w:val="16"/>
          <w:szCs w:val="16"/>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14d-2(b) under the Exchange Act (17 CFR 240.14d-2(b))</w:t>
      </w:r>
    </w:p>
    <w:p>
      <w:pPr>
        <w:spacing w:after="0" w:line="221"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13e-4(c) under the Exchange Act (17 CFR 240.13e-4(c))</w:t>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r>
      <w:tr>
        <w:trPr>
          <w:trHeight w:val="250"/>
        </w:trPr>
        <w:tc>
          <w:tcPr>
            <w:tcW w:w="4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LAB</w:t>
            </w: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41"/>
        </w:trPr>
        <w:tc>
          <w:tcPr>
            <w:tcW w:w="4180" w:type="dxa"/>
            <w:vAlign w:val="bottom"/>
            <w:tcBorders>
              <w:left w:val="single" w:sz="8" w:color="auto"/>
              <w:bottom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4160" w:type="dxa"/>
            <w:vAlign w:val="bottom"/>
            <w:tcBorders>
              <w:bottom w:val="single" w:sz="8" w:color="auto"/>
              <w:right w:val="single" w:sz="8" w:color="auto"/>
            </w:tcBorders>
          </w:tcPr>
          <w:p>
            <w:pPr>
              <w:spacing w:after="0"/>
              <w:rPr>
                <w:sz w:val="3"/>
                <w:szCs w:val="3"/>
                <w:color w:val="auto"/>
              </w:rPr>
            </w:pPr>
          </w:p>
        </w:tc>
      </w:tr>
    </w:tbl>
    <w:p>
      <w:pPr>
        <w:spacing w:after="0" w:line="33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89" w:right="319" w:bottom="874" w:gutter="0" w:footer="0" w:header="0"/>
        </w:sectPr>
      </w:pPr>
    </w:p>
    <w:bookmarkStart w:id="1" w:name="page2"/>
    <w:bookmarkEnd w:id="1"/>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August 2, 2022, Standard BioTools Inc. (the “Company”) provided notice to the participants in the Company’s 2020 Change of Control and Severance Plan (the “Severance Plan”) that the Company will not extend the term of the Severance Plan beyond its initial three-year term, which will come to a conclusion on August 4, 2023. The Company is evaluating severance arrangements for current Severance Plan participants and other key employees that may be implemented following the termination of the Severance Plan. The notice to not extend the term of the Severance Plan was provided as directed by the Company’s Compensation Committee on July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655320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391" w:lineRule="exact"/>
        <w:rPr>
          <w:sz w:val="20"/>
          <w:szCs w:val="20"/>
          <w:color w:val="auto"/>
        </w:rPr>
      </w:pPr>
    </w:p>
    <w:p>
      <w:pPr>
        <w:ind w:left="20"/>
        <w:spacing w:after="0"/>
        <w:tabs>
          <w:tab w:leader="none" w:pos="4320" w:val="left"/>
          <w:tab w:leader="none" w:pos="5060" w:val="left"/>
        </w:tabs>
        <w:rPr>
          <w:sz w:val="20"/>
          <w:szCs w:val="20"/>
          <w:color w:val="auto"/>
        </w:rPr>
      </w:pPr>
      <w:r>
        <w:rPr>
          <w:rFonts w:ascii="Times New Roman" w:cs="Times New Roman" w:eastAsia="Times New Roman" w:hAnsi="Times New Roman"/>
          <w:sz w:val="18"/>
          <w:szCs w:val="18"/>
          <w:color w:val="auto"/>
        </w:rPr>
        <w:t>Date: August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43180</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Vikram Jog</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600"/>
      </w:cols>
      <w:pgMar w:left="320" w:top="1089"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2022-08-03T16:32:04Z</dcterms:created>
  <dcterms:modified xsi:type="dcterms:W3CDTF">2022-08-03T16:32:04Z</dcterms:modified>
</cp:coreProperties>
</file>