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8199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199120"/>
                    </a:xfrm>
                    <a:prstGeom prst="rect">
                      <a:avLst/>
                    </a:prstGeom>
                    <a:noFill/>
                  </pic:spPr>
                </pic:pic>
              </a:graphicData>
            </a:graphic>
          </wp:anchor>
        </w:drawing>
      </w:r>
    </w:p>
    <w:p>
      <w:pPr>
        <w:spacing w:after="0" w:line="38" w:lineRule="exact"/>
        <w:rPr>
          <w:sz w:val="24"/>
          <w:szCs w:val="24"/>
          <w:color w:val="auto"/>
        </w:rPr>
      </w:pPr>
    </w:p>
    <w:p>
      <w:pPr>
        <w:sectPr>
          <w:pgSz w:w="11900" w:h="16863"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6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COLELLA SAMUEL D</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4"/>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52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28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FLUIDIGM CORPORATION</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03/10/2020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7000 SHORELINE COURT, SUITE 100</w:t>
            </w:r>
          </w:p>
        </w:tc>
        <w:tc>
          <w:tcPr>
            <w:tcW w:w="80" w:type="dxa"/>
            <w:vAlign w:val="bottom"/>
            <w:tcBorders>
              <w:bottom w:val="single" w:sz="8" w:color="2C2C2C"/>
            </w:tcBorders>
          </w:tcPr>
          <w:p>
            <w:pPr>
              <w:spacing w:after="0"/>
              <w:rPr>
                <w:sz w:val="21"/>
                <w:szCs w:val="21"/>
                <w:color w:val="auto"/>
              </w:rPr>
            </w:pPr>
          </w:p>
        </w:tc>
        <w:tc>
          <w:tcPr>
            <w:tcW w:w="12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3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114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360" w:type="dxa"/>
            <w:vAlign w:val="bottom"/>
            <w:vMerge w:val="restart"/>
          </w:tcPr>
          <w:p>
            <w:pPr>
              <w:ind w:left="1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14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3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5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98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tcPr>
          <w:p>
            <w:pPr>
              <w:ind w:left="1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jc w:val="center"/>
              <w:ind w:right="1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6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w w:val="96"/>
              </w:rPr>
              <w:t>03/10/2020</w:t>
            </w:r>
          </w:p>
        </w:tc>
        <w:tc>
          <w:tcPr>
            <w:tcW w:w="1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P</w:t>
            </w:r>
          </w:p>
        </w:tc>
        <w:tc>
          <w:tcPr>
            <w:tcW w:w="82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10,000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2.7738</w:t>
            </w:r>
            <w:r>
              <w:rPr>
                <w:rFonts w:ascii="Arial" w:cs="Arial" w:eastAsia="Arial" w:hAnsi="Arial"/>
                <w:sz w:val="22"/>
                <w:szCs w:val="22"/>
                <w:color w:val="008000"/>
                <w:w w:val="95"/>
                <w:vertAlign w:val="superscript"/>
              </w:rPr>
              <w:t>(1)</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1"/>
              </w:rPr>
              <w:t>151,109</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w w:val="96"/>
              </w:rPr>
              <w:t>03/11/2020</w:t>
            </w:r>
          </w:p>
        </w:tc>
        <w:tc>
          <w:tcPr>
            <w:tcW w:w="1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P</w:t>
            </w:r>
          </w:p>
        </w:tc>
        <w:tc>
          <w:tcPr>
            <w:tcW w:w="82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10,000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2.6545</w:t>
            </w:r>
            <w:r>
              <w:rPr>
                <w:rFonts w:ascii="Arial" w:cs="Arial" w:eastAsia="Arial" w:hAnsi="Arial"/>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1"/>
              </w:rPr>
              <w:t>161,109</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3"/>
              </w:rPr>
              <w:t>5,561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69,272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dated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Non-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7"/>
                <w:szCs w:val="17"/>
                <w:color w:val="0000FF"/>
                <w:w w:val="93"/>
              </w:rPr>
              <w:t>3,326</w:t>
            </w:r>
          </w:p>
        </w:tc>
        <w:tc>
          <w:tcPr>
            <w:tcW w:w="8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dated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range of prices for the transactions reported is between $2.755 and $2.78 per share. $2.7738 represents the weighted average purchase price per share. The Reporting Person will provide upon request by the Commission staff, the issuer, or a security holder of the issuer full information regarding the number of shares purchased at each separate price.</w:t>
      </w:r>
    </w:p>
    <w:p>
      <w:pPr>
        <w:spacing w:after="0" w:line="1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range of prices for the transactions reported is between $2.645 and $2.67 per share. $2.6545 represents the weighted average purchase price per share. The Reporting Person will provide upon request by the Commission staff, the issuer, or a security holder of the issuer full information regarding the number of shares purchased at each separate price.</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Samuel D. Colella by</w:t>
            </w:r>
          </w:p>
        </w:tc>
        <w:tc>
          <w:tcPr>
            <w:tcW w:w="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03/12/2020</w:t>
            </w:r>
          </w:p>
        </w:tc>
      </w:tr>
    </w:tbl>
    <w:p>
      <w:pPr>
        <w:sectPr>
          <w:pgSz w:w="11900" w:h="16863" w:orient="portrait"/>
          <w:cols w:equalWidth="0" w:num="1">
            <w:col w:w="11000"/>
          </w:cols>
          <w:pgMar w:left="460" w:top="225" w:right="43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Nicholas Khadder,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5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2020-03-12T20:29:34Z</dcterms:created>
  <dcterms:modified xsi:type="dcterms:W3CDTF">2020-03-12T20:29:34Z</dcterms:modified>
</cp:coreProperties>
</file>